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526" w:rsidRDefault="00CB2526" w:rsidP="00E165BC">
      <w:pPr>
        <w:pStyle w:val="papertitle"/>
        <w:spacing w:before="100" w:beforeAutospacing="1" w:after="100" w:afterAutospacing="1"/>
      </w:pPr>
      <w:r>
        <w:t>Processor Hardware Bugs &amp;</w:t>
      </w:r>
    </w:p>
    <w:p w:rsidR="00D7522C" w:rsidRPr="00C4210A" w:rsidRDefault="00CB2526" w:rsidP="00C4210A">
      <w:pPr>
        <w:pStyle w:val="papertitle"/>
        <w:spacing w:before="100" w:beforeAutospacing="1" w:after="100" w:afterAutospacing="1"/>
      </w:pPr>
      <w:r>
        <w:t>Open Source RISC-V Core (Ibex)</w:t>
      </w:r>
    </w:p>
    <w:p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="001A3B3D" w:rsidRPr="00F847A6" w:rsidRDefault="00BD670B" w:rsidP="00C4210A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lastRenderedPageBreak/>
        <w:br w:type="column"/>
      </w:r>
      <w:r w:rsidR="00C4210A">
        <w:rPr>
          <w:sz w:val="18"/>
          <w:szCs w:val="18"/>
        </w:rPr>
        <w:lastRenderedPageBreak/>
        <w:t xml:space="preserve">Jishnu Das, </w:t>
      </w:r>
      <w:r w:rsidR="00CB2526">
        <w:rPr>
          <w:sz w:val="18"/>
          <w:szCs w:val="18"/>
        </w:rPr>
        <w:t>IIT-BHU</w:t>
      </w:r>
      <w:r w:rsidR="001A3B3D" w:rsidRPr="00F847A6">
        <w:rPr>
          <w:i/>
          <w:sz w:val="18"/>
          <w:szCs w:val="18"/>
        </w:rPr>
        <w:br/>
      </w:r>
      <w:r w:rsidR="00CB2526">
        <w:rPr>
          <w:sz w:val="18"/>
          <w:szCs w:val="18"/>
        </w:rPr>
        <w:t>Varanasi, India</w:t>
      </w:r>
      <w:r w:rsidR="00CB2526">
        <w:rPr>
          <w:sz w:val="18"/>
          <w:szCs w:val="18"/>
        </w:rPr>
        <w:br/>
        <w:t>jishnuganeshdas@gmail.com</w:t>
      </w:r>
    </w:p>
    <w:p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lastRenderedPageBreak/>
        <w:br w:type="column"/>
      </w:r>
    </w:p>
    <w:p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 w:rsidR="002823F4">
        <w:t xml:space="preserve"> - </w:t>
      </w:r>
      <w:r w:rsidR="00CB2526">
        <w:t>This report discusses about the various processor hardware bugs</w:t>
      </w:r>
      <w:r w:rsidR="002823F4">
        <w:t>, especially Pentium</w:t>
      </w:r>
      <w:r w:rsidR="00CB2526">
        <w:t xml:space="preserve"> and </w:t>
      </w:r>
      <w:r w:rsidR="002823F4">
        <w:t xml:space="preserve">AMD cores their history. It then </w:t>
      </w:r>
      <w:r w:rsidR="00CB2526">
        <w:t xml:space="preserve">discusses the </w:t>
      </w:r>
      <w:r w:rsidR="009D5B08">
        <w:t xml:space="preserve">open source RISC-V core Ibex, and gives a brief overview of the core. </w:t>
      </w:r>
    </w:p>
    <w:p w:rsidR="009303D9" w:rsidRPr="004D72B5" w:rsidRDefault="002823F4" w:rsidP="00972203">
      <w:pPr>
        <w:pStyle w:val="Keywords"/>
      </w:pPr>
      <w:r>
        <w:t>Keywords – RISC-V</w:t>
      </w:r>
      <w:r w:rsidR="00D7522C">
        <w:t>,</w:t>
      </w:r>
      <w:r>
        <w:t xml:space="preserve">  Ibex </w:t>
      </w:r>
      <w:r w:rsidR="00D7522C">
        <w:t>,</w:t>
      </w:r>
      <w:r>
        <w:t xml:space="preserve"> Hardware bugs.</w:t>
      </w:r>
    </w:p>
    <w:p w:rsidR="009303D9" w:rsidRPr="00D632BE" w:rsidRDefault="008F625B" w:rsidP="006B6B66">
      <w:pPr>
        <w:pStyle w:val="Heading1"/>
      </w:pPr>
      <w:r>
        <w:t>Introduction</w:t>
      </w:r>
    </w:p>
    <w:p w:rsidR="009303D9" w:rsidRPr="008F625B" w:rsidRDefault="008F625B" w:rsidP="00E7596C">
      <w:pPr>
        <w:pStyle w:val="BodyText"/>
      </w:pPr>
      <w:r>
        <w:t>Some unpredictable or inaccurate processor behavior is ter</w:t>
      </w:r>
      <w:r w:rsidR="00BB3E41">
        <w:t xml:space="preserve">med a hardware bug, caused by </w:t>
      </w:r>
      <w:r>
        <w:t>design defects in the processor. They can have serious consequences such as processor crash, data corruption, I/O failure, wrong computation or a processor hang</w:t>
      </w:r>
      <w:r w:rsidR="00BB3E41">
        <w:t xml:space="preserve">. </w:t>
      </w:r>
      <w:r w:rsidRPr="008F625B">
        <w:rPr>
          <w:shd w:val="clear" w:color="auto" w:fill="FFFFFF"/>
        </w:rPr>
        <w:t>RISC-V is an open standard instruction set architecture</w:t>
      </w:r>
      <w:r>
        <w:rPr>
          <w:shd w:val="clear" w:color="auto" w:fill="FFFFFF"/>
        </w:rPr>
        <w:t xml:space="preserve"> (ISA)</w:t>
      </w:r>
      <w:r w:rsidRPr="008F625B">
        <w:rPr>
          <w:shd w:val="clear" w:color="auto" w:fill="FFFFFF"/>
        </w:rPr>
        <w:t xml:space="preserve"> based on established reduced instruction set computer principles</w:t>
      </w:r>
      <w:r>
        <w:rPr>
          <w:shd w:val="clear" w:color="auto" w:fill="FFFFFF"/>
        </w:rPr>
        <w:t>, developed at UC-Berkeley</w:t>
      </w:r>
      <w:r w:rsidR="00BB3E41">
        <w:rPr>
          <w:shd w:val="clear" w:color="auto" w:fill="FFFFFF"/>
        </w:rPr>
        <w:t xml:space="preserve">. </w:t>
      </w:r>
      <w:r w:rsidRPr="008F625B">
        <w:rPr>
          <w:shd w:val="clear" w:color="auto" w:fill="FFFFFF"/>
        </w:rPr>
        <w:t>RISC-V is provided under royalty-free open-source licenses</w:t>
      </w:r>
      <w:r>
        <w:rPr>
          <w:shd w:val="clear" w:color="auto" w:fill="FFFFFF"/>
        </w:rPr>
        <w:t xml:space="preserve">. </w:t>
      </w:r>
      <w:r w:rsidRPr="0077510B">
        <w:rPr>
          <w:lang w:val="en-IN"/>
        </w:rPr>
        <w:t>Ibex is a RISC-V-based open-source CPU core developed by ETH Zurich and the University of Bologna and presently maintained by the lowRISC foundation.</w:t>
      </w:r>
      <w:r>
        <w:rPr>
          <w:lang w:val="en-IN"/>
        </w:rPr>
        <w:t xml:space="preserve"> I have introduced so</w:t>
      </w:r>
      <w:r w:rsidR="00BB3E41">
        <w:rPr>
          <w:lang w:val="en-IN"/>
        </w:rPr>
        <w:t xml:space="preserve">me prominent processor bugs </w:t>
      </w:r>
      <w:r>
        <w:rPr>
          <w:lang w:val="en-IN"/>
        </w:rPr>
        <w:t>and Ibex core, discussing its features and highlighting its main features.</w:t>
      </w:r>
    </w:p>
    <w:p w:rsidR="009303D9" w:rsidRDefault="009C315C" w:rsidP="009C315C">
      <w:pPr>
        <w:pStyle w:val="Heading1"/>
      </w:pPr>
      <w:r>
        <w:t>Processor Hardware Bugs</w:t>
      </w:r>
    </w:p>
    <w:p w:rsidR="009303D9" w:rsidRDefault="007162A3" w:rsidP="0081703D">
      <w:pPr>
        <w:pStyle w:val="BodyText"/>
      </w:pPr>
      <w:r>
        <w:t xml:space="preserve">The conditions </w:t>
      </w:r>
      <w:r w:rsidR="008F625B">
        <w:t xml:space="preserve">that cause hardware bug </w:t>
      </w:r>
      <w:r>
        <w:t>can be L1 cache miss (Defect1 of Table1), a snoop request (Defect2 of Table1), and an I/O interrupt with timing information (Defect3 of Table1).</w:t>
      </w:r>
      <w:r w:rsidR="00BB3E41">
        <w:t xml:space="preserve"> </w:t>
      </w:r>
      <w:r>
        <w:t>Pentium flo</w:t>
      </w:r>
      <w:r w:rsidR="00BB3E41">
        <w:t>ating-point division</w:t>
      </w:r>
      <w:r w:rsidR="001F6801">
        <w:t xml:space="preserve"> [2]</w:t>
      </w:r>
      <w:r w:rsidR="00BB3E41">
        <w:t xml:space="preserve"> bug </w:t>
      </w:r>
      <w:r>
        <w:t>caused an error in the 9th or the 10th decimal digit, leading to $50 million in chip recalls. Pentium III</w:t>
      </w:r>
      <w:r w:rsidR="001F6801">
        <w:t xml:space="preserve"> [3]</w:t>
      </w:r>
      <w:r>
        <w:t xml:space="preserve"> had a defect, so equipment manufacturers had to stop shipping Intel servers. Prefetch and cache problems in Pentium 4</w:t>
      </w:r>
      <w:r w:rsidR="001F6801">
        <w:t xml:space="preserve"> [4]</w:t>
      </w:r>
      <w:r>
        <w:t xml:space="preserve"> led to Intel disabling the prefetching in the core. Itanium 2 processors </w:t>
      </w:r>
      <w:r w:rsidR="001F6801">
        <w:t xml:space="preserve">[5] </w:t>
      </w:r>
      <w:r>
        <w:t>and AMD Athlon 64</w:t>
      </w:r>
      <w:r w:rsidR="001F6801">
        <w:t xml:space="preserve"> [6]</w:t>
      </w:r>
      <w:r>
        <w:t xml:space="preserve"> have been hit with bugs causing incorrect results. IBM PPC 750GX</w:t>
      </w:r>
      <w:r w:rsidR="001F6801">
        <w:t xml:space="preserve"> [7]</w:t>
      </w:r>
      <w:r>
        <w:t xml:space="preserve"> had circuit errors, causing IBM to reduce clock frequency from rated 1 GHz to 933 MHz.</w:t>
      </w:r>
      <w:r w:rsidR="008F625B">
        <w:t xml:space="preserve"> </w:t>
      </w:r>
      <w:r w:rsidR="00BB3E41">
        <w:t>Speculative execution in processors causes security vulnerabilities like Spectre. Out-of-order processors trying to read arbitrary kernel-memory locations cause Meltdown, another security vulnerability.</w:t>
      </w:r>
    </w:p>
    <w:p w:rsidR="00171245" w:rsidRDefault="00171245" w:rsidP="002823F4">
      <w:pPr>
        <w:pStyle w:val="BodyText"/>
        <w:jc w:val="left"/>
      </w:pPr>
      <w:r>
        <w:rPr>
          <w:noProof/>
        </w:rPr>
        <w:drawing>
          <wp:inline distT="0" distB="0" distL="0" distR="0">
            <wp:extent cx="2881328" cy="1945402"/>
            <wp:effectExtent l="19050" t="0" r="0" b="0"/>
            <wp:docPr id="8" name="Picture 7" descr="Screenshot 2023-07-18 0658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7-18 06582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703" cy="194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3D" w:rsidRPr="005B520E" w:rsidRDefault="00171245" w:rsidP="00BB3E41">
      <w:pPr>
        <w:pStyle w:val="BodyText"/>
      </w:pPr>
      <w:r>
        <w:t xml:space="preserve">       Table 1 :  Examples of Processor defects</w:t>
      </w:r>
    </w:p>
    <w:p w:rsidR="009C315C" w:rsidRDefault="00EA3171" w:rsidP="009C315C">
      <w:pPr>
        <w:pStyle w:val="Heading1"/>
        <w:numPr>
          <w:ilvl w:val="0"/>
          <w:numId w:val="0"/>
        </w:numPr>
        <w:jc w:val="both"/>
      </w:pPr>
      <w:r w:rsidRPr="00EA3171">
        <w:rPr>
          <w:lang w:val="en-IN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5.95pt;margin-top:1.8pt;width:222pt;height:136.1pt;z-index:251657216;mso-width-relative:margin;mso-height-relative:margin">
            <v:textbox>
              <w:txbxContent>
                <w:p w:rsidR="009C315C" w:rsidRDefault="007162A3">
                  <w:r>
                    <w:rPr>
                      <w:noProof/>
                    </w:rPr>
                    <w:drawing>
                      <wp:inline distT="0" distB="0" distL="0" distR="0">
                        <wp:extent cx="2582033" cy="1595597"/>
                        <wp:effectExtent l="19050" t="0" r="8767" b="0"/>
                        <wp:docPr id="4" name="Picture 3" descr="blockdiagram.tif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lockdiagram.tiff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84782" cy="159729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C315C" w:rsidRDefault="009C315C" w:rsidP="009C315C">
      <w:pPr>
        <w:pStyle w:val="Heading1"/>
        <w:numPr>
          <w:ilvl w:val="0"/>
          <w:numId w:val="0"/>
        </w:numPr>
        <w:jc w:val="both"/>
      </w:pPr>
    </w:p>
    <w:p w:rsidR="009C315C" w:rsidRDefault="009C315C" w:rsidP="009C315C">
      <w:pPr>
        <w:pStyle w:val="Heading1"/>
        <w:numPr>
          <w:ilvl w:val="0"/>
          <w:numId w:val="0"/>
        </w:numPr>
        <w:jc w:val="both"/>
      </w:pPr>
    </w:p>
    <w:p w:rsidR="009C315C" w:rsidRDefault="009C315C" w:rsidP="009C315C">
      <w:pPr>
        <w:pStyle w:val="Heading1"/>
        <w:numPr>
          <w:ilvl w:val="0"/>
          <w:numId w:val="0"/>
        </w:numPr>
        <w:jc w:val="both"/>
      </w:pPr>
    </w:p>
    <w:p w:rsidR="009C315C" w:rsidRDefault="009C315C" w:rsidP="009C315C">
      <w:pPr>
        <w:pStyle w:val="Heading1"/>
        <w:numPr>
          <w:ilvl w:val="0"/>
          <w:numId w:val="0"/>
        </w:numPr>
        <w:jc w:val="both"/>
      </w:pPr>
    </w:p>
    <w:p w:rsidR="009C315C" w:rsidRDefault="009C315C" w:rsidP="009C315C">
      <w:pPr>
        <w:pStyle w:val="Heading1"/>
        <w:numPr>
          <w:ilvl w:val="0"/>
          <w:numId w:val="0"/>
        </w:numPr>
        <w:jc w:val="both"/>
      </w:pPr>
    </w:p>
    <w:p w:rsidR="009C315C" w:rsidRDefault="009C315C" w:rsidP="009C315C"/>
    <w:p w:rsidR="002823F4" w:rsidRDefault="002823F4" w:rsidP="009C315C"/>
    <w:p w:rsidR="002823F4" w:rsidRDefault="002823F4" w:rsidP="009C315C"/>
    <w:p w:rsidR="002823F4" w:rsidRDefault="007162A3" w:rsidP="002823F4">
      <w:r>
        <w:t>Figure</w:t>
      </w:r>
      <w:r w:rsidR="009C315C">
        <w:t xml:space="preserve"> 1 : A block diagram of Ibex core</w:t>
      </w:r>
    </w:p>
    <w:p w:rsidR="009303D9" w:rsidRDefault="009D5B08" w:rsidP="0077510B">
      <w:pPr>
        <w:pStyle w:val="Heading1"/>
      </w:pPr>
      <w:r>
        <w:t xml:space="preserve">Open source risc-v core </w:t>
      </w:r>
      <w:r w:rsidR="0077510B">
        <w:t>: ‘</w:t>
      </w:r>
      <w:r>
        <w:t>Ibex</w:t>
      </w:r>
      <w:r w:rsidR="0077510B">
        <w:t>’</w:t>
      </w:r>
    </w:p>
    <w:p w:rsidR="00A1234C" w:rsidRPr="0081703D" w:rsidRDefault="008F625B" w:rsidP="00171245">
      <w:pPr>
        <w:pStyle w:val="BodyText"/>
        <w:rPr>
          <w:lang w:val="en-IN"/>
        </w:rPr>
      </w:pPr>
      <w:r>
        <w:rPr>
          <w:lang w:val="en-IN"/>
        </w:rPr>
        <w:t>Ibex</w:t>
      </w:r>
      <w:r w:rsidR="0077510B" w:rsidRPr="0077510B">
        <w:rPr>
          <w:lang w:val="en-IN"/>
        </w:rPr>
        <w:t xml:space="preserve"> is a 32-bit CPU core written in SystemVerilog, is easily parameterizable and is especially suited for embedded control applications. </w:t>
      </w:r>
      <w:r w:rsidR="002823F4">
        <w:rPr>
          <w:lang w:val="en-IN"/>
        </w:rPr>
        <w:t>The block diagram is given in Fig. 1.</w:t>
      </w:r>
      <w:r w:rsidR="0077510B" w:rsidRPr="0077510B">
        <w:rPr>
          <w:lang w:val="en-IN"/>
        </w:rPr>
        <w:t>It supports the Integer (I) or Embedded (E), Integer Multiplication and Division (M), Compressed (C), and B (Bit Manipulation) extensions. It has introduced several configurations - namely micro, small, maxperf and maxperf-pmp-bmful based on the architecture of the multiplier unit and various security features.</w:t>
      </w:r>
      <w:r w:rsidR="00171245">
        <w:rPr>
          <w:lang w:val="en-IN"/>
        </w:rPr>
        <w:t xml:space="preserve"> </w:t>
      </w:r>
      <w:r w:rsidR="0077510B" w:rsidRPr="0077510B">
        <w:rPr>
          <w:lang w:val="en-IN"/>
        </w:rPr>
        <w:t xml:space="preserve">Ibex is a 2-stage pipelined core but has an extension of adding a 3rd core, the Writeback stage. The two pipelined stages are - Instruction Fetch (IF) and the Instruction Decode and Execute (ID/EX) stage. The IF stage fetches instructions from memory via a prefetch buffer, capable of fetching 1 instruction per cycle if the instruction side memory system allows. The ID/EX stage decodes fetched instruction and immediately executes it, register read and write all occur in this stage. Multi-cycle instructions will stall this stage until they are complete. </w:t>
      </w:r>
    </w:p>
    <w:p w:rsidR="00171245" w:rsidRDefault="00171245" w:rsidP="00171245">
      <w:pPr>
        <w:pStyle w:val="Heading5"/>
      </w:pPr>
      <w:r w:rsidRPr="005B520E">
        <w:t>References</w:t>
      </w:r>
    </w:p>
    <w:p w:rsidR="00171245" w:rsidRDefault="00171245" w:rsidP="00171245">
      <w:pPr>
        <w:pStyle w:val="references"/>
        <w:ind w:left="354" w:hanging="354"/>
      </w:pPr>
      <w:r w:rsidRPr="00171245">
        <w:t>S. R. Sarangi, A. Tiwari and J. Torrellas, "Phoenix: Detecting and Recovering from Permanent Processor Design Bugs with Programmable Hardware," 2006 39th Annual IEEE/ACM International Symposium on Microarchitecture (MICRO'06), Orlando, FL, USA, 2006, pp. 26-37, doi: 10.1109/MICRO.2006.41.</w:t>
      </w:r>
    </w:p>
    <w:p w:rsidR="00C4210A" w:rsidRDefault="00C4210A" w:rsidP="00171245">
      <w:pPr>
        <w:pStyle w:val="references"/>
        <w:ind w:left="354" w:hanging="354"/>
      </w:pPr>
      <w:r>
        <w:t>T. R. Halfhill. The truth behind the Pentium bug</w:t>
      </w:r>
      <w:r w:rsidR="002823F4">
        <w:t xml:space="preserve"> </w:t>
      </w:r>
      <w:r>
        <w:t xml:space="preserve">: </w:t>
      </w:r>
      <w:hyperlink r:id="rId11" w:history="1">
        <w:r w:rsidRPr="007834D8">
          <w:rPr>
            <w:rStyle w:val="Hyperlink"/>
          </w:rPr>
          <w:t>https://www.halfhill.co</w:t>
        </w:r>
        <w:r w:rsidRPr="007834D8">
          <w:rPr>
            <w:rStyle w:val="Hyperlink"/>
          </w:rPr>
          <w:t>m</w:t>
        </w:r>
        <w:r w:rsidRPr="007834D8">
          <w:rPr>
            <w:rStyle w:val="Hyperlink"/>
          </w:rPr>
          <w:t>/byte/1995-3_truth.html</w:t>
        </w:r>
      </w:hyperlink>
      <w:r>
        <w:t>.</w:t>
      </w:r>
    </w:p>
    <w:p w:rsidR="00C4210A" w:rsidRDefault="00C4210A" w:rsidP="00171245">
      <w:pPr>
        <w:pStyle w:val="references"/>
        <w:ind w:left="354" w:hanging="354"/>
      </w:pPr>
      <w:r w:rsidRPr="00C4210A">
        <w:t>M. Hachman. Boot-up bug discovered in In</w:t>
      </w:r>
      <w:r>
        <w:t xml:space="preserve">tel’s desktop Coppermine chips : </w:t>
      </w:r>
      <w:hyperlink r:id="rId12" w:history="1">
        <w:r w:rsidR="002823F4" w:rsidRPr="007834D8">
          <w:rPr>
            <w:rStyle w:val="Hyperlink"/>
          </w:rPr>
          <w:t>http://www.my-esm.com</w:t>
        </w:r>
      </w:hyperlink>
      <w:r w:rsidR="002823F4">
        <w:t xml:space="preserve"> </w:t>
      </w:r>
      <w:r w:rsidRPr="00C4210A">
        <w:t>, December 1999</w:t>
      </w:r>
      <w:r>
        <w:t>.</w:t>
      </w:r>
    </w:p>
    <w:p w:rsidR="00C4210A" w:rsidRDefault="00C4210A" w:rsidP="00C4210A">
      <w:pPr>
        <w:pStyle w:val="references"/>
        <w:ind w:left="354" w:hanging="354"/>
      </w:pPr>
      <w:r>
        <w:t xml:space="preserve">M. Magee. Intel’s hidden Xeon, Pentium 4 bugs. : </w:t>
      </w:r>
      <w:hyperlink r:id="rId13" w:history="1">
        <w:r w:rsidR="002823F4" w:rsidRPr="007834D8">
          <w:rPr>
            <w:rStyle w:val="Hyperlink"/>
          </w:rPr>
          <w:t>http://www.theinquirer.net</w:t>
        </w:r>
      </w:hyperlink>
      <w:r w:rsidR="002823F4">
        <w:t xml:space="preserve"> </w:t>
      </w:r>
      <w:r>
        <w:t>, August 2002.</w:t>
      </w:r>
    </w:p>
    <w:p w:rsidR="00C4210A" w:rsidRDefault="00C4210A" w:rsidP="00171245">
      <w:pPr>
        <w:pStyle w:val="references"/>
        <w:ind w:left="354" w:hanging="354"/>
      </w:pPr>
      <w:r>
        <w:t xml:space="preserve">M. Hachman. Bug found in Intel’s Itanium 2 could cause data loss. </w:t>
      </w:r>
      <w:hyperlink r:id="rId14" w:history="1">
        <w:r w:rsidR="002823F4" w:rsidRPr="007834D8">
          <w:rPr>
            <w:rStyle w:val="Hyperlink"/>
          </w:rPr>
          <w:t>http://www.extremetech.com</w:t>
        </w:r>
      </w:hyperlink>
      <w:r w:rsidR="002823F4">
        <w:t xml:space="preserve"> </w:t>
      </w:r>
      <w:r>
        <w:t>, May 2003.</w:t>
      </w:r>
    </w:p>
    <w:p w:rsidR="00C4210A" w:rsidRDefault="00C4210A" w:rsidP="00171245">
      <w:pPr>
        <w:pStyle w:val="references"/>
        <w:ind w:left="354" w:hanging="354"/>
      </w:pPr>
      <w:r>
        <w:t xml:space="preserve">Inquirer Staff. AMD Opteron bug can cause incorrect results. </w:t>
      </w:r>
      <w:hyperlink r:id="rId15" w:history="1">
        <w:r w:rsidR="002823F4" w:rsidRPr="007834D8">
          <w:rPr>
            <w:rStyle w:val="Hyperlink"/>
          </w:rPr>
          <w:t>http://www.theinquirer.net</w:t>
        </w:r>
      </w:hyperlink>
      <w:r w:rsidR="002823F4">
        <w:t xml:space="preserve"> </w:t>
      </w:r>
      <w:r>
        <w:t>, June 2004.</w:t>
      </w:r>
    </w:p>
    <w:p w:rsidR="00C4210A" w:rsidRDefault="00C4210A" w:rsidP="00171245">
      <w:pPr>
        <w:pStyle w:val="references"/>
        <w:ind w:left="354" w:hanging="354"/>
      </w:pPr>
      <w:r>
        <w:t xml:space="preserve">Inquirer Staff. IBM Power PC 1GHz chip only runs properly at 933MHz. </w:t>
      </w:r>
      <w:hyperlink r:id="rId16" w:history="1">
        <w:r w:rsidR="002823F4" w:rsidRPr="007834D8">
          <w:rPr>
            <w:rStyle w:val="Hyperlink"/>
          </w:rPr>
          <w:t>http://www.theinquirer.net</w:t>
        </w:r>
      </w:hyperlink>
      <w:r w:rsidR="002823F4">
        <w:t xml:space="preserve"> </w:t>
      </w:r>
      <w:r>
        <w:t>, August 2004.</w:t>
      </w:r>
    </w:p>
    <w:p w:rsidR="00BB3E41" w:rsidRDefault="00BB3E41" w:rsidP="00BB3E41">
      <w:pPr>
        <w:pStyle w:val="references"/>
        <w:ind w:left="354" w:hanging="354"/>
        <w:jc w:val="left"/>
      </w:pPr>
      <w:r>
        <w:t xml:space="preserve">Ibex Reference Guide : </w:t>
      </w:r>
      <w:hyperlink r:id="rId17" w:history="1">
        <w:r w:rsidRPr="007834D8">
          <w:rPr>
            <w:rStyle w:val="Hyperlink"/>
          </w:rPr>
          <w:t>https://ibex-core.readthedocs.io/en/latest/03_reference/index.html</w:t>
        </w:r>
      </w:hyperlink>
      <w:r>
        <w:t xml:space="preserve"> </w:t>
      </w:r>
    </w:p>
    <w:p w:rsidR="00A1234C" w:rsidRPr="00A1234C" w:rsidRDefault="00A1234C" w:rsidP="00A1234C">
      <w:pPr>
        <w:jc w:val="both"/>
      </w:pPr>
    </w:p>
    <w:sectPr w:rsidR="00A1234C" w:rsidRPr="00A1234C" w:rsidSect="0081703D">
      <w:type w:val="continuous"/>
      <w:pgSz w:w="11906" w:h="16838" w:code="9"/>
      <w:pgMar w:top="1080" w:right="907" w:bottom="1440" w:left="907" w:header="720" w:footer="720" w:gutter="0"/>
      <w:cols w:num="2"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469" w:rsidRDefault="00FE6469" w:rsidP="001A3B3D">
      <w:r>
        <w:separator/>
      </w:r>
    </w:p>
  </w:endnote>
  <w:endnote w:type="continuationSeparator" w:id="1">
    <w:p w:rsidR="00FE6469" w:rsidRDefault="00FE6469" w:rsidP="001A3B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B3D" w:rsidRPr="00C4210A" w:rsidRDefault="001A3B3D" w:rsidP="0056610F">
    <w:pPr>
      <w:pStyle w:val="Footer"/>
      <w:jc w:val="left"/>
      <w:rPr>
        <w:sz w:val="16"/>
        <w:szCs w:val="16"/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469" w:rsidRDefault="00FE6469" w:rsidP="001A3B3D">
      <w:r>
        <w:separator/>
      </w:r>
    </w:p>
  </w:footnote>
  <w:footnote w:type="continuationSeparator" w:id="1">
    <w:p w:rsidR="00FE6469" w:rsidRDefault="00FE6469" w:rsidP="001A3B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9303D9"/>
    <w:rsid w:val="0004781E"/>
    <w:rsid w:val="0008758A"/>
    <w:rsid w:val="000C1E68"/>
    <w:rsid w:val="00171245"/>
    <w:rsid w:val="00183E36"/>
    <w:rsid w:val="001A2EFD"/>
    <w:rsid w:val="001A3B3D"/>
    <w:rsid w:val="001B67DC"/>
    <w:rsid w:val="001F6801"/>
    <w:rsid w:val="002254A9"/>
    <w:rsid w:val="00233D97"/>
    <w:rsid w:val="002347A2"/>
    <w:rsid w:val="002823F4"/>
    <w:rsid w:val="002850E3"/>
    <w:rsid w:val="00343A5C"/>
    <w:rsid w:val="00354FCF"/>
    <w:rsid w:val="003A19E2"/>
    <w:rsid w:val="003B4E04"/>
    <w:rsid w:val="003F5A08"/>
    <w:rsid w:val="00420716"/>
    <w:rsid w:val="004325FB"/>
    <w:rsid w:val="004432BA"/>
    <w:rsid w:val="0044407E"/>
    <w:rsid w:val="00447BB9"/>
    <w:rsid w:val="0046031D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162A3"/>
    <w:rsid w:val="00740EEA"/>
    <w:rsid w:val="0077510B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1703D"/>
    <w:rsid w:val="00836367"/>
    <w:rsid w:val="00873603"/>
    <w:rsid w:val="008A2C7D"/>
    <w:rsid w:val="008C4B23"/>
    <w:rsid w:val="008F625B"/>
    <w:rsid w:val="008F6E2C"/>
    <w:rsid w:val="009303D9"/>
    <w:rsid w:val="00933C64"/>
    <w:rsid w:val="00972203"/>
    <w:rsid w:val="009C315C"/>
    <w:rsid w:val="009D5B08"/>
    <w:rsid w:val="009F1D79"/>
    <w:rsid w:val="00A059B3"/>
    <w:rsid w:val="00A1234C"/>
    <w:rsid w:val="00AE3409"/>
    <w:rsid w:val="00B11A60"/>
    <w:rsid w:val="00B22613"/>
    <w:rsid w:val="00B768D1"/>
    <w:rsid w:val="00BA1025"/>
    <w:rsid w:val="00BB3E41"/>
    <w:rsid w:val="00BC3420"/>
    <w:rsid w:val="00BD670B"/>
    <w:rsid w:val="00BE7D3C"/>
    <w:rsid w:val="00BF5FF6"/>
    <w:rsid w:val="00C0207F"/>
    <w:rsid w:val="00C16117"/>
    <w:rsid w:val="00C3075A"/>
    <w:rsid w:val="00C4210A"/>
    <w:rsid w:val="00C43F8B"/>
    <w:rsid w:val="00C919A4"/>
    <w:rsid w:val="00CA4392"/>
    <w:rsid w:val="00CB2526"/>
    <w:rsid w:val="00CC393F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A3171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6469"/>
    <w:rsid w:val="00FE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A3171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rsid w:val="00EA3171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rsid w:val="00EA3171"/>
    <w:pPr>
      <w:jc w:val="center"/>
    </w:pPr>
  </w:style>
  <w:style w:type="paragraph" w:customStyle="1" w:styleId="Author">
    <w:name w:val="Author"/>
    <w:rsid w:val="00EA3171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</w:rPr>
  </w:style>
  <w:style w:type="character" w:customStyle="1" w:styleId="BodyTextChar">
    <w:name w:val="Body Text Char"/>
    <w:link w:val="BodyText"/>
    <w:rsid w:val="00E7596C"/>
    <w:rPr>
      <w:spacing w:val="-1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rsid w:val="00EA3171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rsid w:val="00EA3171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rsid w:val="00EA3171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rsid w:val="00EA3171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rsid w:val="00EA3171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sid w:val="00EA3171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EA3171"/>
    <w:rPr>
      <w:i/>
      <w:iCs/>
      <w:sz w:val="15"/>
      <w:szCs w:val="15"/>
    </w:rPr>
  </w:style>
  <w:style w:type="paragraph" w:customStyle="1" w:styleId="tablecopy">
    <w:name w:val="table copy"/>
    <w:rsid w:val="00EA3171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rsid w:val="00EA3171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BalloonText">
    <w:name w:val="Balloon Text"/>
    <w:basedOn w:val="Normal"/>
    <w:link w:val="BalloonTextChar"/>
    <w:rsid w:val="009C3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31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C421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4210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theinquirer.ne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y-esm.com" TargetMode="External"/><Relationship Id="rId17" Type="http://schemas.openxmlformats.org/officeDocument/2006/relationships/hyperlink" Target="https://ibex-core.readthedocs.io/en/latest/03_reference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heinquirer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alfhill.com/byte/1995-3_trut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heinquirer.net" TargetMode="External"/><Relationship Id="rId10" Type="http://schemas.openxmlformats.org/officeDocument/2006/relationships/image" Target="media/image2.tif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extreme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2F871-46D6-4C12-A178-66CE483D9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Mr. Jishnu Das</dc:creator>
  <cp:lastModifiedBy>Ganesh Das</cp:lastModifiedBy>
  <cp:revision>3</cp:revision>
  <dcterms:created xsi:type="dcterms:W3CDTF">2023-07-16T21:38:00Z</dcterms:created>
  <dcterms:modified xsi:type="dcterms:W3CDTF">2023-07-18T02:24:00Z</dcterms:modified>
</cp:coreProperties>
</file>