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Name of the project              : </w:t>
      </w:r>
      <w:r w:rsidDel="00000000" w:rsidR="00000000" w:rsidRPr="00000000">
        <w:rPr>
          <w:b w:val="1"/>
          <w:rtl w:val="0"/>
        </w:rPr>
        <w:t xml:space="preserve">FRIENDS GARDEN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Paragraph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Friends Garden, a residential project by Friends Builders, stands as a testament to our commitment to crafting exceptional living spaces. Nestled in the serene surroundings of Kakraitha, Agra, this project offers a tranquil escape from the bustling city life. With construction completed between 2004 and 2007, Friends Garden comprises 66 meticulously designed units, providing a perfect blend of comfort and style. The project spans an impressive 87.5k square feet, ensuring spacious living areas for residents.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Friends Garden has been a resounding success, with all units being sold. Its prime location along N.H.2 adds to its appeal, offering convenience and easy accessibility to key destinations. Experience the essence of peaceful living at Friends Garden, where quality craftsmanship and serene surroundings come together to create an unparalleled residential experience.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hd w:fill="fff2cc" w:val="clear"/>
        </w:rPr>
      </w:pPr>
      <w:r w:rsidDel="00000000" w:rsidR="00000000" w:rsidRPr="00000000">
        <w:rPr>
          <w:sz w:val="24"/>
          <w:szCs w:val="24"/>
          <w:shd w:fill="fff2cc" w:val="clear"/>
          <w:rtl w:val="0"/>
        </w:rPr>
        <w:t xml:space="preserve">(D1) Units                         : </w:t>
      </w:r>
      <w:r w:rsidDel="00000000" w:rsidR="00000000" w:rsidRPr="00000000">
        <w:rPr>
          <w:b w:val="1"/>
          <w:shd w:fill="fff2cc" w:val="clear"/>
          <w:rtl w:val="0"/>
        </w:rPr>
        <w:t xml:space="preserve">66</w:t>
      </w:r>
    </w:p>
    <w:p w:rsidR="00000000" w:rsidDel="00000000" w:rsidP="00000000" w:rsidRDefault="00000000" w:rsidRPr="00000000" w14:paraId="0000000C">
      <w:pPr>
        <w:rPr>
          <w:b w:val="1"/>
          <w:shd w:fill="fff2cc" w:val="clear"/>
        </w:rPr>
      </w:pPr>
      <w:r w:rsidDel="00000000" w:rsidR="00000000" w:rsidRPr="00000000">
        <w:rPr>
          <w:shd w:fill="fff2cc" w:val="clear"/>
          <w:rtl w:val="0"/>
        </w:rPr>
        <w:t xml:space="preserve">(D2) Bedroom                      :</w:t>
      </w:r>
      <w:r w:rsidDel="00000000" w:rsidR="00000000" w:rsidRPr="00000000">
        <w:rPr>
          <w:b w:val="1"/>
          <w:shd w:fill="fff2cc" w:val="clear"/>
          <w:rtl w:val="0"/>
        </w:rPr>
        <w:t xml:space="preserve"> 2 - 4</w:t>
      </w:r>
    </w:p>
    <w:p w:rsidR="00000000" w:rsidDel="00000000" w:rsidP="00000000" w:rsidRDefault="00000000" w:rsidRPr="00000000" w14:paraId="0000000D">
      <w:pPr>
        <w:rPr>
          <w:b w:val="1"/>
          <w:shd w:fill="fff2cc" w:val="clear"/>
        </w:rPr>
      </w:pPr>
      <w:r w:rsidDel="00000000" w:rsidR="00000000" w:rsidRPr="00000000">
        <w:rPr>
          <w:shd w:fill="fff2cc" w:val="clear"/>
          <w:rtl w:val="0"/>
        </w:rPr>
        <w:t xml:space="preserve">(D3) Area                             : </w:t>
      </w:r>
      <w:r w:rsidDel="00000000" w:rsidR="00000000" w:rsidRPr="00000000">
        <w:rPr>
          <w:b w:val="1"/>
          <w:shd w:fill="fff2cc" w:val="clear"/>
          <w:rtl w:val="0"/>
        </w:rPr>
        <w:t xml:space="preserve">87.5k</w:t>
      </w:r>
    </w:p>
    <w:p w:rsidR="00000000" w:rsidDel="00000000" w:rsidP="00000000" w:rsidRDefault="00000000" w:rsidRPr="00000000" w14:paraId="0000000E">
      <w:pPr>
        <w:rPr>
          <w:b w:val="1"/>
          <w:shd w:fill="fff2cc" w:val="clea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Type                                     : </w:t>
      </w:r>
      <w:r w:rsidDel="00000000" w:rsidR="00000000" w:rsidRPr="00000000">
        <w:rPr>
          <w:b w:val="1"/>
          <w:rtl w:val="0"/>
        </w:rPr>
        <w:t xml:space="preserve">RESIDENTIAL </w:t>
      </w:r>
    </w:p>
    <w:p w:rsidR="00000000" w:rsidDel="00000000" w:rsidP="00000000" w:rsidRDefault="00000000" w:rsidRPr="00000000" w14:paraId="00000010">
      <w:pPr>
        <w:rPr>
          <w:b w:val="1"/>
        </w:rPr>
      </w:pPr>
      <w:r w:rsidDel="00000000" w:rsidR="00000000" w:rsidRPr="00000000">
        <w:rPr>
          <w:rtl w:val="0"/>
        </w:rPr>
        <w:t xml:space="preserve">Status                                   : </w:t>
      </w:r>
      <w:r w:rsidDel="00000000" w:rsidR="00000000" w:rsidRPr="00000000">
        <w:rPr>
          <w:b w:val="1"/>
          <w:rtl w:val="0"/>
        </w:rPr>
        <w:t xml:space="preserve">FINISHED/SOLD</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t xml:space="preserve">Location                               : </w:t>
      </w:r>
      <w:r w:rsidDel="00000000" w:rsidR="00000000" w:rsidRPr="00000000">
        <w:rPr>
          <w:b w:val="1"/>
          <w:sz w:val="24"/>
          <w:szCs w:val="24"/>
          <w:rtl w:val="0"/>
        </w:rPr>
        <w:t xml:space="preserve">KAKRAITHA,  N.H.2. AGRA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rPr>
          <w:b w:val="1"/>
          <w:sz w:val="24"/>
          <w:szCs w:val="24"/>
          <w:shd w:fill="fff2cc" w:val="clear"/>
        </w:rPr>
      </w:pPr>
      <w:r w:rsidDel="00000000" w:rsidR="00000000" w:rsidRPr="00000000">
        <w:rPr>
          <w:sz w:val="24"/>
          <w:szCs w:val="24"/>
          <w:rtl w:val="0"/>
        </w:rPr>
        <w:t xml:space="preserve">Timeframe                        : </w:t>
      </w:r>
      <w:r w:rsidDel="00000000" w:rsidR="00000000" w:rsidRPr="00000000">
        <w:rPr>
          <w:b w:val="1"/>
          <w:sz w:val="24"/>
          <w:szCs w:val="24"/>
          <w:rtl w:val="0"/>
        </w:rPr>
        <w:t xml:space="preserve">2004 - 2007</w:t>
      </w:r>
      <w:r w:rsidDel="00000000" w:rsidR="00000000" w:rsidRPr="00000000">
        <w:rPr>
          <w:rtl w:val="0"/>
        </w:rPr>
      </w:r>
    </w:p>
    <w:p w:rsidR="00000000" w:rsidDel="00000000" w:rsidP="00000000" w:rsidRDefault="00000000" w:rsidRPr="00000000" w14:paraId="00000013">
      <w:pPr>
        <w:rPr>
          <w:b w:val="1"/>
          <w:shd w:fill="fff2cc" w:val="clea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