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E2D" w:rsidRPr="00140E2D" w:rsidRDefault="00140E2D" w:rsidP="00140E2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140E2D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Architectural Blueprint &amp; Technical Specification</w:t>
      </w:r>
    </w:p>
    <w:p w:rsidR="00140E2D" w:rsidRPr="00140E2D" w:rsidRDefault="00140E2D" w:rsidP="00140E2D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Project: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proofErr w:type="spellStart"/>
      <w:r w:rsidRPr="00140E2D">
        <w:rPr>
          <w:rFonts w:ascii="Arial" w:eastAsia="Times New Roman" w:hAnsi="Arial" w:cs="Arial"/>
          <w:sz w:val="24"/>
          <w:szCs w:val="24"/>
          <w:lang w:eastAsia="en-GB"/>
        </w:rPr>
        <w:t>OmniGuard</w:t>
      </w:r>
      <w:proofErr w:type="spellEnd"/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Hybrid RAG Ingestion Pipeline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Document Focus: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High-Throughput Batch Vectorization &amp; Idempotent Sync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Environment Bounds: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Resource-Constrained Host (16GB RAM Legacy Hardware)</w:t>
      </w:r>
    </w:p>
    <w:p w:rsidR="00140E2D" w:rsidRPr="00140E2D" w:rsidRDefault="00140E2D" w:rsidP="00140E2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0E2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140E2D" w:rsidRPr="00140E2D" w:rsidRDefault="00140E2D" w:rsidP="00140E2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140E2D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Module 1: Comprehensive Architecture Document</w:t>
      </w:r>
    </w:p>
    <w:p w:rsidR="00140E2D" w:rsidRPr="00140E2D" w:rsidRDefault="00140E2D" w:rsidP="00140E2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140E2D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1. Architectural Style &amp; Core Design Patterns</w:t>
      </w:r>
    </w:p>
    <w:p w:rsidR="00140E2D" w:rsidRPr="00140E2D" w:rsidRDefault="00140E2D" w:rsidP="00140E2D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The </w:t>
      </w:r>
      <w:proofErr w:type="spellStart"/>
      <w:r w:rsidRPr="00140E2D">
        <w:rPr>
          <w:rFonts w:ascii="Arial" w:eastAsia="Times New Roman" w:hAnsi="Arial" w:cs="Arial"/>
          <w:sz w:val="24"/>
          <w:szCs w:val="24"/>
          <w:lang w:eastAsia="en-GB"/>
        </w:rPr>
        <w:t>OmniGuard</w:t>
      </w:r>
      <w:proofErr w:type="spellEnd"/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Vectorization Subsystem is built as an </w:t>
      </w: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Asynchronous Staged Event-Driven Architecture (SEDA)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combined with a </w:t>
      </w: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Pessimistic-to-Idempotent Transaction Bridge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>.</w:t>
      </w:r>
    </w:p>
    <w:p w:rsidR="00140E2D" w:rsidRPr="00140E2D" w:rsidRDefault="00140E2D" w:rsidP="00140E2D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This pattern is explicitly chosen to achieve what is known as </w:t>
      </w: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Resilient Resource-Isolating Compute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>. Instead of allowing intense AI model inference to block incoming document I/O streams or risk crashing a resource-constrained host, workloads are isolated via an immutable storage buffer.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WORKLOAD INDEPENDENCE CAPSULE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┌─────────────────────────────────────────┐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│       </w:t>
      </w:r>
      <w:proofErr w:type="spellStart"/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>OmniGuard</w:t>
      </w:r>
      <w:proofErr w:type="spellEnd"/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Processor Tier          │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gramStart"/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>│  (</w:t>
      </w:r>
      <w:proofErr w:type="gramEnd"/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>Burst-Driven I/O &amp; Text Extraction)   │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└────────────────────┬────────────────────┘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▼ (Atomic Transaction Write)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┌─────────────────────────────────────────┐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│     </w:t>
      </w:r>
      <w:proofErr w:type="spellStart"/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>dbo.StagingIngestionBuffer</w:t>
      </w:r>
      <w:proofErr w:type="spellEnd"/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│</w:t>
      </w:r>
      <w:r w:rsidRPr="00140E2D">
        <w:rPr>
          <w:rFonts w:ascii="Cambria Math" w:eastAsia="Times New Roman" w:hAnsi="Cambria Math" w:cs="Cambria Math"/>
          <w:sz w:val="21"/>
          <w:szCs w:val="21"/>
          <w:lang w:eastAsia="en-GB"/>
        </w:rPr>
        <w:t>◀</w:t>
      </w: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>── Durable Staging Boundary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└────────────────────┬────────────────────┘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▼ (Throttled Timer Trigger: 10s Loop)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┌─────────────────────────────────────────┐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│    </w:t>
      </w:r>
      <w:proofErr w:type="spellStart"/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>VectorBatchProcessingEngine</w:t>
      </w:r>
      <w:proofErr w:type="spellEnd"/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│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│   - Local ONNX Transformer Inference    │</w:t>
      </w:r>
      <w:r w:rsidRPr="00140E2D">
        <w:rPr>
          <w:rFonts w:ascii="Cambria Math" w:eastAsia="Times New Roman" w:hAnsi="Cambria Math" w:cs="Cambria Math"/>
          <w:sz w:val="21"/>
          <w:szCs w:val="21"/>
          <w:lang w:eastAsia="en-GB"/>
        </w:rPr>
        <w:t>◀</w:t>
      </w: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>── Core Compute Boundary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│   - Idempotent Pinecone Delivery </w:t>
      </w:r>
      <w:proofErr w:type="gramStart"/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>Layer  │</w:t>
      </w:r>
      <w:proofErr w:type="gramEnd"/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└─────────────────────────────────────────┘</w:t>
      </w:r>
    </w:p>
    <w:p w:rsidR="00140E2D" w:rsidRPr="00140E2D" w:rsidRDefault="00140E2D" w:rsidP="00140E2D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The data flow runs on </w:t>
      </w: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Workload Independence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>:</w:t>
      </w:r>
    </w:p>
    <w:p w:rsidR="00140E2D" w:rsidRPr="00140E2D" w:rsidRDefault="00140E2D" w:rsidP="00140E2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The Extraction Phase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treats text data processing as high-volume, </w:t>
      </w:r>
      <w:proofErr w:type="spellStart"/>
      <w:r w:rsidRPr="00140E2D">
        <w:rPr>
          <w:rFonts w:ascii="Arial" w:eastAsia="Times New Roman" w:hAnsi="Arial" w:cs="Arial"/>
          <w:sz w:val="24"/>
          <w:szCs w:val="24"/>
          <w:lang w:eastAsia="en-GB"/>
        </w:rPr>
        <w:t>bursty</w:t>
      </w:r>
      <w:proofErr w:type="spellEnd"/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I/O.</w:t>
      </w:r>
    </w:p>
    <w:p w:rsidR="00140E2D" w:rsidRDefault="00140E2D" w:rsidP="00140E2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The Vectorization Phase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treats data processing as a steady, heavily throttled, and resource-controlled compute loops.</w:t>
      </w:r>
    </w:p>
    <w:p w:rsidR="00140E2D" w:rsidRDefault="00140E2D" w:rsidP="00140E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140E2D" w:rsidRDefault="00140E2D" w:rsidP="00140E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140E2D" w:rsidRDefault="00140E2D" w:rsidP="00140E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140E2D" w:rsidRDefault="00140E2D" w:rsidP="00140E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140E2D" w:rsidRDefault="00140E2D" w:rsidP="00140E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140E2D" w:rsidRPr="00140E2D" w:rsidRDefault="00140E2D" w:rsidP="00140E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140E2D" w:rsidRPr="00140E2D" w:rsidRDefault="00140E2D" w:rsidP="00140E2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140E2D">
        <w:rPr>
          <w:rFonts w:ascii="Arial" w:eastAsia="Times New Roman" w:hAnsi="Arial" w:cs="Arial"/>
          <w:b/>
          <w:bCs/>
          <w:sz w:val="30"/>
          <w:szCs w:val="30"/>
          <w:lang w:eastAsia="en-GB"/>
        </w:rPr>
        <w:lastRenderedPageBreak/>
        <w:t>2. Distributed Runtime Flow Architecture</w:t>
      </w:r>
    </w:p>
    <w:p w:rsidR="00140E2D" w:rsidRPr="00140E2D" w:rsidRDefault="00140E2D" w:rsidP="00140E2D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sz w:val="24"/>
          <w:szCs w:val="24"/>
          <w:lang w:eastAsia="en-GB"/>
        </w:rPr>
        <w:t>The end-to-end lifecycle of a text chunk as it moves through the orchestration pipeline follows a strict sequence:</w:t>
      </w:r>
    </w:p>
    <w:p w:rsidR="00140E2D" w:rsidRPr="00140E2D" w:rsidRDefault="00140E2D" w:rsidP="00140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>[SQL Buffer] ──► [1. Atomic Lock Selection] ──► [2. Memory Flat Allocation] ──► [3. ONNX Local Inference] ──► [4. Bulk HTTP Payload] ──► [5. State Resolution]</w:t>
      </w:r>
    </w:p>
    <w:p w:rsidR="00140E2D" w:rsidRPr="00140E2D" w:rsidRDefault="00140E2D" w:rsidP="00140E2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Atomic Lock Selection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>: The background worker wakes up via a timer trigger and calls the repository layer. It uses a single database transaction to select, lock, and mutate the status of the top 50 records simultaneously.</w:t>
      </w:r>
    </w:p>
    <w:p w:rsidR="00140E2D" w:rsidRPr="00140E2D" w:rsidRDefault="00140E2D" w:rsidP="00140E2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Memory-Flat Allocation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: The locked data models are mapped into memory structures as a collection of </w:t>
      </w:r>
      <w:proofErr w:type="spellStart"/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>StagingBufferItem</w:t>
      </w:r>
      <w:proofErr w:type="spellEnd"/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records.</w:t>
      </w:r>
    </w:p>
    <w:p w:rsidR="00140E2D" w:rsidRPr="00140E2D" w:rsidRDefault="00140E2D" w:rsidP="00140E2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ONNX Local Inference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>: Chunks are processed sequentially through your embedded transformer model. The text strings are parsed, tokenized, and converted into dense numerical arrays within the local CPU execution space.</w:t>
      </w:r>
    </w:p>
    <w:p w:rsidR="00140E2D" w:rsidRPr="00140E2D" w:rsidRDefault="00140E2D" w:rsidP="00140E2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Bulk HTTP Payload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>: The 50 computed arrays are bundled into a single JSON body and delivered over the network via an optimized HTTP connection channel.</w:t>
      </w:r>
    </w:p>
    <w:p w:rsidR="00140E2D" w:rsidRDefault="00140E2D" w:rsidP="00140E2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State Resolution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>: The network response is verified. A final database command closes out the batch transaction, moving successful records to a completed state while isolating failures.</w:t>
      </w:r>
    </w:p>
    <w:p w:rsidR="00140E2D" w:rsidRPr="00140E2D" w:rsidRDefault="00140E2D" w:rsidP="00140E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140E2D" w:rsidRPr="00140E2D" w:rsidRDefault="00140E2D" w:rsidP="00140E2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140E2D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3. Concrete Failure Matrix &amp; Recovery Protocols</w:t>
      </w:r>
    </w:p>
    <w:p w:rsidR="00140E2D" w:rsidRPr="00140E2D" w:rsidRDefault="00140E2D" w:rsidP="00140E2D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sz w:val="24"/>
          <w:szCs w:val="24"/>
          <w:lang w:eastAsia="en-GB"/>
        </w:rPr>
        <w:t>Distributed systems must be engineered with the expectation that components will fail. The architecture handles real-world failures through specific recovery protocols:</w:t>
      </w:r>
    </w:p>
    <w:p w:rsidR="00140E2D" w:rsidRDefault="00140E2D" w:rsidP="00140E2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Transient Database Network Dropout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: If the worker loses its connection to SQL Server while fetching records, the script aborts immediately. No locks are granted, and no rows are modified. The system remains in a safe, </w:t>
      </w:r>
      <w:proofErr w:type="spellStart"/>
      <w:r w:rsidRPr="00140E2D">
        <w:rPr>
          <w:rFonts w:ascii="Arial" w:eastAsia="Times New Roman" w:hAnsi="Arial" w:cs="Arial"/>
          <w:sz w:val="24"/>
          <w:szCs w:val="24"/>
          <w:lang w:eastAsia="en-GB"/>
        </w:rPr>
        <w:t>unmutated</w:t>
      </w:r>
      <w:proofErr w:type="spellEnd"/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state until the next timer tick.</w:t>
      </w:r>
    </w:p>
    <w:p w:rsidR="00140E2D" w:rsidRPr="00140E2D" w:rsidRDefault="00140E2D" w:rsidP="00140E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140E2D" w:rsidRDefault="00140E2D" w:rsidP="00140E2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ONNX Local Memory Out-of-Bound Error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>: If a malformed text chunk crashes the ONNX model, an internal catch block intercepts the exception. The failing row is flagged with the error message and assigned a failure state, allowing the remaining 49 valid vectors to continue processing uninterrupted.</w:t>
      </w:r>
    </w:p>
    <w:p w:rsidR="00140E2D" w:rsidRDefault="00140E2D" w:rsidP="00140E2D">
      <w:pPr>
        <w:pStyle w:val="ListParagraph"/>
        <w:rPr>
          <w:rFonts w:ascii="Arial" w:eastAsia="Times New Roman" w:hAnsi="Arial" w:cs="Arial"/>
          <w:sz w:val="24"/>
          <w:szCs w:val="24"/>
          <w:lang w:eastAsia="en-GB"/>
        </w:rPr>
      </w:pPr>
    </w:p>
    <w:p w:rsidR="00140E2D" w:rsidRPr="00140E2D" w:rsidRDefault="00140E2D" w:rsidP="00140E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140E2D" w:rsidRDefault="00140E2D" w:rsidP="00140E2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Pinecone Target Timeout or Network Drop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>: If the network connection drops while uploading to Pinecone, the engine catches the exception. To prevent data loss, all successfully generated vectors in that batch are reassigned to a failure state. The database clears the record locks, allowing the entire batch to safely retry on the next execution cycle.</w:t>
      </w:r>
    </w:p>
    <w:p w:rsidR="00140E2D" w:rsidRPr="00140E2D" w:rsidRDefault="00140E2D" w:rsidP="00140E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bookmarkStart w:id="0" w:name="_GoBack"/>
      <w:bookmarkEnd w:id="0"/>
    </w:p>
    <w:p w:rsidR="00140E2D" w:rsidRPr="00140E2D" w:rsidRDefault="00140E2D" w:rsidP="00140E2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140E2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Total Host Power Failure / Container Crash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: If the local host suddenly loses power mid-process, the </w:t>
      </w:r>
      <w:proofErr w:type="spellStart"/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>CompleteBatchAsync</w:t>
      </w:r>
      <w:proofErr w:type="spellEnd"/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transaction never executes. The rows remain marked as </w:t>
      </w:r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>Status = 1</w:t>
      </w:r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with </w:t>
      </w:r>
      <w:proofErr w:type="spellStart"/>
      <w:proofErr w:type="gramStart"/>
      <w:r w:rsidRPr="00140E2D">
        <w:rPr>
          <w:rFonts w:ascii="Arial" w:eastAsia="Times New Roman" w:hAnsi="Arial" w:cs="Arial"/>
          <w:sz w:val="24"/>
          <w:szCs w:val="24"/>
          <w:lang w:eastAsia="en-GB"/>
        </w:rPr>
        <w:t>a</w:t>
      </w:r>
      <w:proofErr w:type="spellEnd"/>
      <w:proofErr w:type="gramEnd"/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active </w:t>
      </w:r>
      <w:proofErr w:type="spellStart"/>
      <w:r w:rsidRPr="00140E2D">
        <w:rPr>
          <w:rFonts w:ascii="Courier New" w:eastAsia="Times New Roman" w:hAnsi="Courier New" w:cs="Courier New"/>
          <w:sz w:val="21"/>
          <w:szCs w:val="21"/>
          <w:lang w:eastAsia="en-GB"/>
        </w:rPr>
        <w:t>LockedUntil</w:t>
      </w:r>
      <w:proofErr w:type="spellEnd"/>
      <w:r w:rsidRPr="00140E2D">
        <w:rPr>
          <w:rFonts w:ascii="Arial" w:eastAsia="Times New Roman" w:hAnsi="Arial" w:cs="Arial"/>
          <w:sz w:val="24"/>
          <w:szCs w:val="24"/>
          <w:lang w:eastAsia="en-GB"/>
        </w:rPr>
        <w:t xml:space="preserve"> timestamp. Once the 5-minute lock duration expires, the system automatically makes those rows visible again, allowing the pipeline to self-heal without manual intervention.</w:t>
      </w:r>
    </w:p>
    <w:p w:rsidR="005800C3" w:rsidRDefault="005800C3"/>
    <w:sectPr w:rsidR="00580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450CAD"/>
    <w:multiLevelType w:val="multilevel"/>
    <w:tmpl w:val="FB16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FA3EB8"/>
    <w:multiLevelType w:val="multilevel"/>
    <w:tmpl w:val="B73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D65A7"/>
    <w:multiLevelType w:val="multilevel"/>
    <w:tmpl w:val="FA122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353"/>
    <w:rsid w:val="00140E2D"/>
    <w:rsid w:val="005800C3"/>
    <w:rsid w:val="0085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32278"/>
  <w15:chartTrackingRefBased/>
  <w15:docId w15:val="{9AB214CC-02A9-4C69-8845-2A2A0D05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0E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E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E2D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40E2D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140E2D"/>
  </w:style>
  <w:style w:type="character" w:customStyle="1" w:styleId="t286pc">
    <w:name w:val="t286pc"/>
    <w:basedOn w:val="DefaultParagraphFont"/>
    <w:rsid w:val="00140E2D"/>
  </w:style>
  <w:style w:type="paragraph" w:styleId="ListParagraph">
    <w:name w:val="List Paragraph"/>
    <w:basedOn w:val="Normal"/>
    <w:uiPriority w:val="34"/>
    <w:qFormat/>
    <w:rsid w:val="00140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93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94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91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68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12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075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603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6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8265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131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9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08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50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82820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4453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59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680</Words>
  <Characters>3876</Characters>
  <Application>Microsoft Office Word</Application>
  <DocSecurity>0</DocSecurity>
  <Lines>32</Lines>
  <Paragraphs>9</Paragraphs>
  <ScaleCrop>false</ScaleCrop>
  <Company>HP</Company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Gautam</dc:creator>
  <cp:keywords/>
  <dc:description/>
  <cp:lastModifiedBy>Jitendra Gautam</cp:lastModifiedBy>
  <cp:revision>2</cp:revision>
  <dcterms:created xsi:type="dcterms:W3CDTF">2026-05-19T20:07:00Z</dcterms:created>
  <dcterms:modified xsi:type="dcterms:W3CDTF">2026-05-19T20:08:00Z</dcterms:modified>
</cp:coreProperties>
</file>