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lastRenderedPageBreak/>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lastRenderedPageBreak/>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lastRenderedPageBreak/>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lastRenderedPageBreak/>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lastRenderedPageBreak/>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lastRenderedPageBreak/>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lastRenderedPageBreak/>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Reflection in C# is used to retrieve metadata on types at runtime. In other words, you can use reflection to inspect metadata of the types in your program dynamically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lastRenderedPageBreak/>
        <w:t>To work with reflection in .Net, you should include the System.Reflection namespace in your program. In using reflection, you get objects of the type "Type" that can be used to represent assemblies, types, or 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Pr="00BA708B" w:rsidRDefault="00BA708B" w:rsidP="00BA708B">
      <w:pPr>
        <w:rPr>
          <w:rFonts w:ascii="Bookman Old Style" w:hAnsi="Bookman Old Style"/>
          <w:sz w:val="20"/>
          <w:szCs w:val="20"/>
        </w:rPr>
      </w:pPr>
      <w:r w:rsidRPr="00BA708B">
        <w:rPr>
          <w:rFonts w:ascii="Bookman Old Style" w:hAnsi="Bookman Old Style"/>
          <w:sz w:val="20"/>
          <w:szCs w:val="20"/>
        </w:rPr>
        <w:t>In C#, covariance and contravariance enable implicit reference conversion for array types, delegate types, and generic type arguments. Covariance preserves assignment compatibility and contravariance reverses it.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00"/>
          <w:sz w:val="20"/>
          <w:szCs w:val="20"/>
          <w:lang w:bidi="hi-IN"/>
        </w:rPr>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00"/>
          <w:sz w:val="19"/>
          <w:szCs w:val="19"/>
          <w:lang w:bidi="hi-IN"/>
        </w:rPr>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116406">
      <w:pPr>
        <w:pStyle w:val="ListParagraph"/>
        <w:numPr>
          <w:ilvl w:val="0"/>
          <w:numId w:val="40"/>
        </w:numPr>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should we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C031C8" w:rsidRDefault="00C031C8"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lastRenderedPageBreak/>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Pr="00604D12"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w:t>
      </w:r>
      <w:bookmarkStart w:id="0" w:name="_GoBack"/>
      <w:bookmarkEnd w:id="0"/>
      <w:r w:rsidRPr="00465B5E">
        <w:rPr>
          <w:rFonts w:ascii="Bookman Old Style" w:hAnsi="Bookman Old Style"/>
          <w:sz w:val="20"/>
          <w:szCs w:val="20"/>
        </w:rPr>
        <w:t>ese two is that Task.WaitAny is a blocking operation.</w:t>
      </w:r>
    </w:p>
    <w:sectPr w:rsidR="00465B5E"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406" w:rsidRDefault="00116406" w:rsidP="002B5288">
      <w:pPr>
        <w:spacing w:after="0" w:line="240" w:lineRule="auto"/>
      </w:pPr>
      <w:r>
        <w:separator/>
      </w:r>
    </w:p>
  </w:endnote>
  <w:endnote w:type="continuationSeparator" w:id="0">
    <w:p w:rsidR="00116406" w:rsidRDefault="00116406"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406" w:rsidRDefault="00116406" w:rsidP="002B5288">
      <w:pPr>
        <w:spacing w:after="0" w:line="240" w:lineRule="auto"/>
      </w:pPr>
      <w:r>
        <w:separator/>
      </w:r>
    </w:p>
  </w:footnote>
  <w:footnote w:type="continuationSeparator" w:id="0">
    <w:p w:rsidR="00116406" w:rsidRDefault="00116406"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4E6E"/>
    <w:rsid w:val="00017231"/>
    <w:rsid w:val="000200CB"/>
    <w:rsid w:val="00030DAD"/>
    <w:rsid w:val="00033707"/>
    <w:rsid w:val="000345C1"/>
    <w:rsid w:val="00035198"/>
    <w:rsid w:val="0003549E"/>
    <w:rsid w:val="000425BE"/>
    <w:rsid w:val="00045984"/>
    <w:rsid w:val="000540EC"/>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4F65"/>
    <w:rsid w:val="001C6379"/>
    <w:rsid w:val="001C7319"/>
    <w:rsid w:val="001D0145"/>
    <w:rsid w:val="001D28E2"/>
    <w:rsid w:val="001D32E5"/>
    <w:rsid w:val="001D3778"/>
    <w:rsid w:val="001D3FA3"/>
    <w:rsid w:val="001D45CD"/>
    <w:rsid w:val="001D5174"/>
    <w:rsid w:val="001D5D59"/>
    <w:rsid w:val="001D74EA"/>
    <w:rsid w:val="001E154D"/>
    <w:rsid w:val="001E502F"/>
    <w:rsid w:val="001E53F6"/>
    <w:rsid w:val="001F73AF"/>
    <w:rsid w:val="001F77DE"/>
    <w:rsid w:val="00202394"/>
    <w:rsid w:val="00207D09"/>
    <w:rsid w:val="00207EAC"/>
    <w:rsid w:val="00211797"/>
    <w:rsid w:val="00213FA8"/>
    <w:rsid w:val="002163A3"/>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6203"/>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A76"/>
    <w:rsid w:val="004A0841"/>
    <w:rsid w:val="004A1F72"/>
    <w:rsid w:val="004A2489"/>
    <w:rsid w:val="004A272E"/>
    <w:rsid w:val="004A2D5C"/>
    <w:rsid w:val="004A6B22"/>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76D7"/>
    <w:rsid w:val="00527B45"/>
    <w:rsid w:val="005301E9"/>
    <w:rsid w:val="00530311"/>
    <w:rsid w:val="0053282F"/>
    <w:rsid w:val="00534F03"/>
    <w:rsid w:val="00536487"/>
    <w:rsid w:val="00541BC9"/>
    <w:rsid w:val="00544856"/>
    <w:rsid w:val="00544A1E"/>
    <w:rsid w:val="00547E64"/>
    <w:rsid w:val="00552D23"/>
    <w:rsid w:val="00563C5E"/>
    <w:rsid w:val="00566F0C"/>
    <w:rsid w:val="0057145B"/>
    <w:rsid w:val="00577E91"/>
    <w:rsid w:val="0058308A"/>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532A"/>
    <w:rsid w:val="00640A55"/>
    <w:rsid w:val="00640C73"/>
    <w:rsid w:val="00642E4D"/>
    <w:rsid w:val="00644DE8"/>
    <w:rsid w:val="00651309"/>
    <w:rsid w:val="006513EB"/>
    <w:rsid w:val="006565E9"/>
    <w:rsid w:val="00657149"/>
    <w:rsid w:val="00661427"/>
    <w:rsid w:val="0066203A"/>
    <w:rsid w:val="006656E2"/>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22CC"/>
    <w:rsid w:val="007F5F74"/>
    <w:rsid w:val="00806348"/>
    <w:rsid w:val="00806CD7"/>
    <w:rsid w:val="00810C25"/>
    <w:rsid w:val="008135F0"/>
    <w:rsid w:val="00813795"/>
    <w:rsid w:val="00824B82"/>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EDE"/>
    <w:rsid w:val="00D007BE"/>
    <w:rsid w:val="00D02EC6"/>
    <w:rsid w:val="00D05487"/>
    <w:rsid w:val="00D06C85"/>
    <w:rsid w:val="00D07D73"/>
    <w:rsid w:val="00D209C0"/>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33EA"/>
    <w:rsid w:val="00DC612B"/>
    <w:rsid w:val="00DC7DA6"/>
    <w:rsid w:val="00DD23AE"/>
    <w:rsid w:val="00DD2D1E"/>
    <w:rsid w:val="00DD2F1C"/>
    <w:rsid w:val="00DD4D91"/>
    <w:rsid w:val="00DD51BB"/>
    <w:rsid w:val="00DE1C60"/>
    <w:rsid w:val="00DE57DF"/>
    <w:rsid w:val="00DF2FEF"/>
    <w:rsid w:val="00DF6F84"/>
    <w:rsid w:val="00E00970"/>
    <w:rsid w:val="00E02EDE"/>
    <w:rsid w:val="00E04D96"/>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3D7B5-8C80-4AFC-B6D1-E1E93A9D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26</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1322</cp:revision>
  <dcterms:created xsi:type="dcterms:W3CDTF">2018-09-30T09:22:00Z</dcterms:created>
  <dcterms:modified xsi:type="dcterms:W3CDTF">2020-12-04T18:29:00Z</dcterms:modified>
</cp:coreProperties>
</file>