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ind w:right="2"/>
        <w:rPr>
          <w:u w:val="none"/>
        </w:rPr>
      </w:pPr>
      <w:r>
        <w:rPr>
          <w:spacing w:val="-2"/>
          <w:u w:val="single"/>
        </w:rPr>
        <w:t>ASSIGNMENT</w:t>
      </w:r>
      <w:r>
        <w:rPr>
          <w:spacing w:val="-12"/>
          <w:u w:val="single"/>
        </w:rPr>
        <w:t> </w:t>
      </w:r>
      <w:r>
        <w:rPr>
          <w:spacing w:val="-10"/>
          <w:u w:val="single"/>
        </w:rPr>
        <w:t>3</w:t>
      </w:r>
    </w:p>
    <w:p>
      <w:pPr>
        <w:pStyle w:val="Title"/>
        <w:spacing w:before="198"/>
        <w:rPr>
          <w:u w:val="none"/>
        </w:rPr>
      </w:pPr>
      <w:r>
        <w:rPr>
          <w:u w:val="single"/>
        </w:rPr>
        <w:t>Interactive</w:t>
      </w:r>
      <w:r>
        <w:rPr>
          <w:spacing w:val="-15"/>
          <w:u w:val="single"/>
        </w:rPr>
        <w:t> </w:t>
      </w:r>
      <w:r>
        <w:rPr>
          <w:u w:val="single"/>
        </w:rPr>
        <w:t>Dashboard</w:t>
      </w:r>
      <w:r>
        <w:rPr>
          <w:spacing w:val="-10"/>
          <w:u w:val="single"/>
        </w:rPr>
        <w:t> </w:t>
      </w:r>
      <w:r>
        <w:rPr>
          <w:u w:val="single"/>
        </w:rPr>
        <w:t>–</w:t>
      </w:r>
      <w:r>
        <w:rPr>
          <w:spacing w:val="-13"/>
          <w:u w:val="single"/>
        </w:rPr>
        <w:t> </w:t>
      </w:r>
      <w:r>
        <w:rPr>
          <w:u w:val="single"/>
        </w:rPr>
        <w:t>Supermarket</w:t>
      </w:r>
      <w:r>
        <w:rPr>
          <w:spacing w:val="-14"/>
          <w:u w:val="single"/>
        </w:rPr>
        <w:t> </w:t>
      </w:r>
      <w:r>
        <w:rPr>
          <w:spacing w:val="-2"/>
          <w:u w:val="single"/>
        </w:rPr>
        <w:t>Sales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8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1216907</wp:posOffset>
            </wp:positionH>
            <wp:positionV relativeFrom="paragraph">
              <wp:posOffset>277750</wp:posOffset>
            </wp:positionV>
            <wp:extent cx="5004404" cy="327640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404" cy="3276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9"/>
        <w:rPr>
          <w:b/>
        </w:rPr>
      </w:pPr>
    </w:p>
    <w:p>
      <w:pPr>
        <w:pStyle w:val="BodyText"/>
        <w:spacing w:line="259" w:lineRule="auto"/>
        <w:ind w:left="23"/>
      </w:pPr>
      <w:r>
        <w:rPr/>
        <w:t>The Supermarket Sales Dashboard (Jan–Mar 2019) shows that Food and Beverages had the highest total</w:t>
      </w:r>
      <w:r>
        <w:rPr>
          <w:spacing w:val="-5"/>
        </w:rPr>
        <w:t> </w:t>
      </w:r>
      <w:r>
        <w:rPr/>
        <w:t>sales</w:t>
      </w:r>
      <w:r>
        <w:rPr>
          <w:spacing w:val="-1"/>
        </w:rPr>
        <w:t> </w:t>
      </w:r>
      <w:r>
        <w:rPr/>
        <w:t>(56,145), while</w:t>
      </w:r>
      <w:r>
        <w:rPr>
          <w:spacing w:val="-8"/>
        </w:rPr>
        <w:t> </w:t>
      </w:r>
      <w:r>
        <w:rPr/>
        <w:t>Health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Beauty</w:t>
      </w:r>
      <w:r>
        <w:rPr>
          <w:spacing w:val="-1"/>
        </w:rPr>
        <w:t> </w:t>
      </w:r>
      <w:r>
        <w:rPr/>
        <w:t>had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lowest (49,194). Naypyitaw</w:t>
      </w:r>
      <w:r>
        <w:rPr>
          <w:spacing w:val="-7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highest average rating (7.44) for fashion accessories. The overall average rating was 7.03, with 902 invoices and total revenue of $54,306. Sales peaked around early February and mid-March.</w:t>
      </w:r>
    </w:p>
    <w:sectPr>
      <w:type w:val="continuous"/>
      <w:pgSz w:w="11910" w:h="16840"/>
      <w:pgMar w:top="1360" w:bottom="280" w:left="1417" w:right="1417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right="1"/>
      <w:jc w:val="center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Meghana</dc:creator>
  <dcterms:created xsi:type="dcterms:W3CDTF">2025-07-02T16:26:48Z</dcterms:created>
  <dcterms:modified xsi:type="dcterms:W3CDTF">2025-07-02T16:26:48Z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www.ilovepdf.com</vt:lpwstr>
  </property>
</Properties>
</file>