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Me Tab Content</w:t>
      </w:r>
    </w:p>
    <w:p>
      <w:pPr>
        <w:pStyle w:val="Heading2"/>
      </w:pPr>
      <w:r>
        <w:t>Hero Statement:</w:t>
      </w:r>
    </w:p>
    <w:p>
      <w:r>
        <w:t>Learning. Building. Discovering what's possible.</w:t>
      </w:r>
    </w:p>
    <w:p>
      <w:pPr>
        <w:pStyle w:val="Heading2"/>
      </w:pPr>
      <w:r>
        <w:t>About Section - 7 Paragraphs:</w:t>
      </w:r>
    </w:p>
    <w:p>
      <w:r>
        <w:t>I've always been drawn to understanding how complex systems work. The brain just happens to be the most fascinating one I've found.</w:t>
      </w:r>
    </w:p>
    <w:p>
      <w:r>
        <w:t>My interest in Alzheimer's disease began with an undergraduate research project that first introduced me to protein misfolding through amyloid-β aggregation, one of the defining pathological features of the disease. I became fascinated by the molecular events that initiate disease, believing that understanding how pathology begins could help explain how it progresses. But the deeper I explored these mechanisms, the more I realized that neurodegeneration could not be explained by proteins alone. What started as a question about molecular pathology gradually became a much broader question: how do events occurring at one biological scale ultimately shape disease at another?</w:t>
      </w:r>
    </w:p>
    <w:p>
      <w:r>
        <w:t>That question has guided every step of my PhD. Rather than following a single pathway, each project expanded the way I thought about neurodegeneration. What began as a question about protein misfolding grew to encompass cellular metabolism, neuroimmune interactions, human disease models, and therapeutic development. Looking back, I don't see these as different research directions, but as different perspectives on the same biological problem.</w:t>
      </w:r>
    </w:p>
    <w:p>
      <w:r>
        <w:t>One of my favorite parts of research has been collaborating with people who think completely differently from I do. Working alongside biologists, chemists, computational scientists, and engineers has taught me that meaningful progress rarely comes from studying one mechanism in isolation. The most rewarding collaborations have been the ones where different perspectives come together to solve problems that none of us could have tackled alone.</w:t>
      </w:r>
    </w:p>
    <w:p>
      <w:r>
        <w:t>That way of thinking has become one of the things I enjoy most about science. I love connecting ideas that don't obviously belong together and building tools that make difficult problems easier to solve. Whether it's developing new experimental models, creating image analysis pipelines, or exploring how AI can complement experimental biology, I enjoy building things that help us ask better questions.</w:t>
      </w:r>
    </w:p>
    <w:p>
      <w:r>
        <w:t>Outside the lab, those same instincts shape many of the things I enjoy. I love building practical tools that make everyday life a little easier, exploring new places through camping, and investing in the friendships that have become one of the most meaningful parts of my life. To me, curiosity isn't confined to research. It's simply how I move through the world.</w:t>
      </w:r>
    </w:p>
    <w:p>
      <w:r>
        <w:t>Today, I'm excited by research that bridges fundamental biology and therapeutic discovery, asking not only what drives neurodegeneration but also how we can translate those insights into better interventions. Ultimately, I want my work to help bridge the gap between understanding neurodegeneration and changing its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