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D3AE" w14:textId="16AF1443" w:rsidR="00DA4065" w:rsidRPr="007B487B" w:rsidRDefault="00E3521C" w:rsidP="00DA4065">
      <w:pPr>
        <w:jc w:val="center"/>
        <w:rPr>
          <w:rFonts w:ascii="Calibri" w:hAnsi="Calibri" w:cs="Calibri"/>
          <w:b/>
          <w:bCs/>
          <w:sz w:val="40"/>
          <w:szCs w:val="40"/>
        </w:rPr>
      </w:pPr>
      <w:r w:rsidRPr="007B487B">
        <w:rPr>
          <w:rFonts w:ascii="Calibri" w:hAnsi="Calibri" w:cs="Calibri"/>
          <w:b/>
          <w:bCs/>
          <w:sz w:val="32"/>
          <w:szCs w:val="32"/>
        </w:rPr>
        <w:t>Customer Engagement &amp; Product Utilization Analytics for Retention Strategy</w:t>
      </w:r>
    </w:p>
    <w:p w14:paraId="7D06642D" w14:textId="05273CE1" w:rsidR="008D6711" w:rsidRPr="00A22003" w:rsidRDefault="00DA4065" w:rsidP="00A22003">
      <w:pPr>
        <w:jc w:val="center"/>
        <w:rPr>
          <w:rFonts w:ascii="Calibri" w:hAnsi="Calibri" w:cs="Calibri"/>
          <w:b/>
          <w:bCs/>
        </w:rPr>
      </w:pPr>
      <w:r w:rsidRPr="007B487B">
        <w:rPr>
          <w:rFonts w:ascii="Calibri" w:hAnsi="Calibri" w:cs="Calibri"/>
        </w:rPr>
        <w:t xml:space="preserve">By </w:t>
      </w:r>
      <w:r w:rsidRPr="007B487B">
        <w:rPr>
          <w:rFonts w:ascii="Calibri" w:hAnsi="Calibri" w:cs="Calibri"/>
          <w:b/>
          <w:bCs/>
        </w:rPr>
        <w:t>Jitin Raju</w:t>
      </w:r>
    </w:p>
    <w:p w14:paraId="63503895" w14:textId="77777777" w:rsidR="00E65A75" w:rsidRPr="007B487B" w:rsidRDefault="00E65A75" w:rsidP="00E65A75">
      <w:pPr>
        <w:jc w:val="both"/>
        <w:rPr>
          <w:rFonts w:ascii="Calibri" w:hAnsi="Calibri" w:cs="Calibri"/>
          <w:b/>
          <w:bCs/>
          <w:sz w:val="28"/>
          <w:szCs w:val="28"/>
        </w:rPr>
      </w:pPr>
      <w:r w:rsidRPr="007B487B">
        <w:rPr>
          <w:rFonts w:ascii="Calibri" w:hAnsi="Calibri" w:cs="Calibri"/>
          <w:b/>
          <w:bCs/>
          <w:sz w:val="28"/>
          <w:szCs w:val="28"/>
        </w:rPr>
        <w:t>Abstract</w:t>
      </w:r>
    </w:p>
    <w:p w14:paraId="7A8F377A" w14:textId="5D50E67F" w:rsidR="00E65A75" w:rsidRPr="007B487B" w:rsidRDefault="00E3521C" w:rsidP="00E3521C">
      <w:pPr>
        <w:jc w:val="both"/>
        <w:rPr>
          <w:rFonts w:ascii="Calibri" w:hAnsi="Calibri" w:cs="Calibri"/>
        </w:rPr>
      </w:pPr>
      <w:r w:rsidRPr="007B487B">
        <w:rPr>
          <w:rFonts w:ascii="Calibri" w:hAnsi="Calibri" w:cs="Calibri"/>
        </w:rPr>
        <w:t>Customer churn is a persistent challenge for banks, often hidden beneath layers of engagement data and product usage metrics. This study applies accessible Python</w:t>
      </w:r>
      <w:r w:rsidRPr="007B487B">
        <w:rPr>
          <w:rFonts w:ascii="Calibri" w:hAnsi="Calibri" w:cs="Calibri"/>
        </w:rPr>
        <w:noBreakHyphen/>
        <w:t>based analytics to uncover how engagement profiles, product depth, and financial commitment influence retention. Using clear visualizations — such as churn rates across single vs multi</w:t>
      </w:r>
      <w:r w:rsidRPr="007B487B">
        <w:rPr>
          <w:rFonts w:ascii="Calibri" w:hAnsi="Calibri" w:cs="Calibri"/>
        </w:rPr>
        <w:noBreakHyphen/>
        <w:t>product customers, sticky vs non</w:t>
      </w:r>
      <w:r w:rsidRPr="007B487B">
        <w:rPr>
          <w:rFonts w:ascii="Calibri" w:hAnsi="Calibri" w:cs="Calibri"/>
        </w:rPr>
        <w:noBreakHyphen/>
        <w:t>sticky profiles, and high</w:t>
      </w:r>
      <w:r w:rsidRPr="007B487B">
        <w:rPr>
          <w:rFonts w:ascii="Calibri" w:hAnsi="Calibri" w:cs="Calibri"/>
        </w:rPr>
        <w:noBreakHyphen/>
        <w:t>balance disengaged segments — the analysis reveals that engagement and product depth are stronger predictors of loyalty than financial value alone. Premium customers, while financially significant, remain at risk if disengaged, whereas sticky customers demonstrate resilience against churn. The findings support practical retention strategies focused on product bundling, engagement thresholds, and relationship strength indices, offering banks a data</w:t>
      </w:r>
      <w:r w:rsidRPr="007B487B">
        <w:rPr>
          <w:rFonts w:ascii="Calibri" w:hAnsi="Calibri" w:cs="Calibri"/>
        </w:rPr>
        <w:noBreakHyphen/>
        <w:t>driven yet human</w:t>
      </w:r>
      <w:r w:rsidRPr="007B487B">
        <w:rPr>
          <w:rFonts w:ascii="Calibri" w:hAnsi="Calibri" w:cs="Calibri"/>
        </w:rPr>
        <w:noBreakHyphen/>
      </w:r>
      <w:proofErr w:type="spellStart"/>
      <w:r w:rsidRPr="007B487B">
        <w:rPr>
          <w:rFonts w:ascii="Calibri" w:hAnsi="Calibri" w:cs="Calibri"/>
        </w:rPr>
        <w:t>centered</w:t>
      </w:r>
      <w:proofErr w:type="spellEnd"/>
      <w:r w:rsidRPr="007B487B">
        <w:rPr>
          <w:rFonts w:ascii="Calibri" w:hAnsi="Calibri" w:cs="Calibri"/>
        </w:rPr>
        <w:t xml:space="preserve"> approach to reducing churn.</w:t>
      </w:r>
    </w:p>
    <w:p w14:paraId="72B7CE60" w14:textId="7972CAC2" w:rsidR="00DA4065" w:rsidRPr="007B487B" w:rsidRDefault="00DA4065" w:rsidP="00E65A75">
      <w:pPr>
        <w:pStyle w:val="ListParagraph"/>
        <w:numPr>
          <w:ilvl w:val="0"/>
          <w:numId w:val="19"/>
        </w:numPr>
        <w:jc w:val="both"/>
        <w:rPr>
          <w:rFonts w:ascii="Calibri" w:hAnsi="Calibri" w:cs="Calibri"/>
          <w:b/>
          <w:bCs/>
          <w:sz w:val="28"/>
          <w:szCs w:val="28"/>
        </w:rPr>
      </w:pPr>
      <w:r w:rsidRPr="007B487B">
        <w:rPr>
          <w:rFonts w:ascii="Calibri" w:hAnsi="Calibri" w:cs="Calibri"/>
          <w:b/>
          <w:bCs/>
          <w:sz w:val="28"/>
          <w:szCs w:val="28"/>
        </w:rPr>
        <w:t>Introduction</w:t>
      </w:r>
    </w:p>
    <w:p w14:paraId="53B908B2" w14:textId="77777777" w:rsidR="00E3521C" w:rsidRPr="007B487B" w:rsidRDefault="00E3521C" w:rsidP="00E3521C">
      <w:pPr>
        <w:jc w:val="both"/>
        <w:rPr>
          <w:rFonts w:ascii="Calibri" w:hAnsi="Calibri" w:cs="Calibri"/>
        </w:rPr>
      </w:pPr>
      <w:r w:rsidRPr="007B487B">
        <w:rPr>
          <w:rFonts w:ascii="Calibri" w:hAnsi="Calibri" w:cs="Calibri"/>
        </w:rPr>
        <w:t>Banks often collect large amounts of customer data, but struggle to translate it into actionable retention strategies. This study uses Python</w:t>
      </w:r>
      <w:r w:rsidRPr="007B487B">
        <w:rPr>
          <w:rFonts w:ascii="Calibri" w:hAnsi="Calibri" w:cs="Calibri"/>
        </w:rPr>
        <w:noBreakHyphen/>
        <w:t>based analytics and visualization to explore how engagement, product depth, and financial commitment influence churn. The goal is to highlight practical insights that can guide retention decisions.</w:t>
      </w:r>
    </w:p>
    <w:p w14:paraId="70AAFDFE" w14:textId="53E001FC" w:rsidR="001A1A42" w:rsidRPr="007B487B" w:rsidRDefault="001A1A42" w:rsidP="00E65A75">
      <w:pPr>
        <w:jc w:val="both"/>
        <w:rPr>
          <w:rFonts w:ascii="Calibri" w:hAnsi="Calibri" w:cs="Calibri"/>
        </w:rPr>
      </w:pPr>
    </w:p>
    <w:p w14:paraId="36F81C28" w14:textId="5EC1ADA5" w:rsidR="00E65A75" w:rsidRPr="007B487B" w:rsidRDefault="00E65A75" w:rsidP="00E65A75">
      <w:pPr>
        <w:jc w:val="both"/>
        <w:rPr>
          <w:rFonts w:ascii="Calibri" w:hAnsi="Calibri" w:cs="Calibri"/>
          <w:b/>
          <w:bCs/>
        </w:rPr>
      </w:pPr>
      <w:r w:rsidRPr="007B487B">
        <w:rPr>
          <w:rFonts w:ascii="Calibri" w:hAnsi="Calibri" w:cs="Calibri"/>
          <w:b/>
          <w:bCs/>
        </w:rPr>
        <w:t>1.1 Problem Statement</w:t>
      </w:r>
    </w:p>
    <w:p w14:paraId="18125F3B" w14:textId="77777777" w:rsidR="00E3521C" w:rsidRPr="007B487B" w:rsidRDefault="00E3521C" w:rsidP="007657F4">
      <w:pPr>
        <w:spacing w:line="240" w:lineRule="auto"/>
        <w:jc w:val="both"/>
        <w:rPr>
          <w:rFonts w:ascii="Calibri" w:hAnsi="Calibri" w:cs="Calibri"/>
        </w:rPr>
      </w:pPr>
      <w:r w:rsidRPr="007B487B">
        <w:rPr>
          <w:rFonts w:ascii="Calibri" w:hAnsi="Calibri" w:cs="Calibri"/>
        </w:rPr>
        <w:t>Despite having data on customer engagement and product usage, banks often lack:</w:t>
      </w:r>
    </w:p>
    <w:p w14:paraId="13DC27D6" w14:textId="268218E6" w:rsidR="00E3521C" w:rsidRPr="007B487B" w:rsidRDefault="00E3521C" w:rsidP="007657F4">
      <w:pPr>
        <w:numPr>
          <w:ilvl w:val="0"/>
          <w:numId w:val="24"/>
        </w:numPr>
        <w:spacing w:line="240" w:lineRule="auto"/>
        <w:jc w:val="both"/>
        <w:rPr>
          <w:rFonts w:ascii="Calibri" w:hAnsi="Calibri" w:cs="Calibri"/>
        </w:rPr>
      </w:pPr>
      <w:r w:rsidRPr="007B487B">
        <w:rPr>
          <w:rFonts w:ascii="Calibri" w:hAnsi="Calibri" w:cs="Calibri"/>
        </w:rPr>
        <w:t xml:space="preserve">Quantitative insight into which </w:t>
      </w:r>
      <w:proofErr w:type="spellStart"/>
      <w:r w:rsidRPr="007B487B">
        <w:rPr>
          <w:rFonts w:ascii="Calibri" w:hAnsi="Calibri" w:cs="Calibri"/>
        </w:rPr>
        <w:t>behaviors</w:t>
      </w:r>
      <w:proofErr w:type="spellEnd"/>
      <w:r w:rsidRPr="007B487B">
        <w:rPr>
          <w:rFonts w:ascii="Calibri" w:hAnsi="Calibri" w:cs="Calibri"/>
        </w:rPr>
        <w:t xml:space="preserve"> drive retention</w:t>
      </w:r>
    </w:p>
    <w:p w14:paraId="7FF10891" w14:textId="2F6BEDAB" w:rsidR="00E3521C" w:rsidRPr="007B487B" w:rsidRDefault="00E3521C" w:rsidP="007657F4">
      <w:pPr>
        <w:numPr>
          <w:ilvl w:val="0"/>
          <w:numId w:val="24"/>
        </w:numPr>
        <w:spacing w:line="240" w:lineRule="auto"/>
        <w:jc w:val="both"/>
        <w:rPr>
          <w:rFonts w:ascii="Calibri" w:hAnsi="Calibri" w:cs="Calibri"/>
        </w:rPr>
      </w:pPr>
      <w:r w:rsidRPr="007B487B">
        <w:rPr>
          <w:rFonts w:ascii="Calibri" w:hAnsi="Calibri" w:cs="Calibri"/>
        </w:rPr>
        <w:t>Clarity on whether product depth reduces churn</w:t>
      </w:r>
    </w:p>
    <w:p w14:paraId="5CE29BFC" w14:textId="6A0022BC" w:rsidR="00E3521C" w:rsidRPr="007B487B" w:rsidRDefault="00E3521C" w:rsidP="007657F4">
      <w:pPr>
        <w:numPr>
          <w:ilvl w:val="0"/>
          <w:numId w:val="24"/>
        </w:numPr>
        <w:spacing w:line="240" w:lineRule="auto"/>
        <w:jc w:val="both"/>
        <w:rPr>
          <w:rFonts w:ascii="Calibri" w:hAnsi="Calibri" w:cs="Calibri"/>
        </w:rPr>
      </w:pPr>
      <w:r w:rsidRPr="007B487B">
        <w:rPr>
          <w:rFonts w:ascii="Calibri" w:hAnsi="Calibri" w:cs="Calibri"/>
        </w:rPr>
        <w:t>Evidence on whether high balances alone ensure loyalty</w:t>
      </w:r>
    </w:p>
    <w:p w14:paraId="4C51DDBC" w14:textId="708777F8" w:rsidR="00E65A75" w:rsidRPr="007B487B" w:rsidRDefault="00E65A75" w:rsidP="00E65A75">
      <w:pPr>
        <w:ind w:left="720"/>
        <w:jc w:val="both"/>
        <w:rPr>
          <w:rFonts w:ascii="Calibri" w:hAnsi="Calibri" w:cs="Calibri"/>
        </w:rPr>
      </w:pPr>
    </w:p>
    <w:p w14:paraId="6C22B765" w14:textId="7B46677F" w:rsidR="00E65A75" w:rsidRPr="007B487B" w:rsidRDefault="00E65A75" w:rsidP="00E65A75">
      <w:pPr>
        <w:jc w:val="both"/>
        <w:rPr>
          <w:rFonts w:ascii="Calibri" w:hAnsi="Calibri" w:cs="Calibri"/>
          <w:b/>
          <w:bCs/>
        </w:rPr>
      </w:pPr>
      <w:r w:rsidRPr="007B487B">
        <w:rPr>
          <w:rFonts w:ascii="Calibri" w:hAnsi="Calibri" w:cs="Calibri"/>
          <w:b/>
          <w:bCs/>
        </w:rPr>
        <w:t>1.2 Project Objectives</w:t>
      </w:r>
    </w:p>
    <w:p w14:paraId="5C8F8D28" w14:textId="48993355" w:rsidR="00E3521C" w:rsidRPr="007B487B" w:rsidRDefault="00E3521C" w:rsidP="007657F4">
      <w:pPr>
        <w:numPr>
          <w:ilvl w:val="0"/>
          <w:numId w:val="25"/>
        </w:numPr>
        <w:spacing w:line="240" w:lineRule="auto"/>
        <w:ind w:left="714" w:hanging="357"/>
        <w:jc w:val="both"/>
        <w:rPr>
          <w:rFonts w:ascii="Calibri" w:hAnsi="Calibri" w:cs="Calibri"/>
        </w:rPr>
      </w:pPr>
      <w:r w:rsidRPr="007B487B">
        <w:rPr>
          <w:rFonts w:ascii="Calibri" w:hAnsi="Calibri" w:cs="Calibri"/>
        </w:rPr>
        <w:t>Evaluate the relationship between engagement and churn</w:t>
      </w:r>
    </w:p>
    <w:p w14:paraId="0A270CF4" w14:textId="46D5FF89" w:rsidR="00E3521C" w:rsidRPr="007B487B" w:rsidRDefault="00E3521C" w:rsidP="007657F4">
      <w:pPr>
        <w:numPr>
          <w:ilvl w:val="0"/>
          <w:numId w:val="25"/>
        </w:numPr>
        <w:spacing w:line="240" w:lineRule="auto"/>
        <w:ind w:left="714" w:hanging="357"/>
        <w:jc w:val="both"/>
        <w:rPr>
          <w:rFonts w:ascii="Calibri" w:hAnsi="Calibri" w:cs="Calibri"/>
        </w:rPr>
      </w:pPr>
      <w:r w:rsidRPr="007B487B">
        <w:rPr>
          <w:rFonts w:ascii="Calibri" w:hAnsi="Calibri" w:cs="Calibri"/>
        </w:rPr>
        <w:t>Measure retention impact of product count and product mix</w:t>
      </w:r>
    </w:p>
    <w:p w14:paraId="1728A2D1" w14:textId="54641F5A" w:rsidR="00E3521C" w:rsidRPr="007B487B" w:rsidRDefault="00E3521C" w:rsidP="007657F4">
      <w:pPr>
        <w:numPr>
          <w:ilvl w:val="0"/>
          <w:numId w:val="25"/>
        </w:numPr>
        <w:spacing w:line="240" w:lineRule="auto"/>
        <w:ind w:left="714" w:hanging="357"/>
        <w:jc w:val="both"/>
        <w:rPr>
          <w:rFonts w:ascii="Calibri" w:hAnsi="Calibri" w:cs="Calibri"/>
        </w:rPr>
      </w:pPr>
      <w:r w:rsidRPr="007B487B">
        <w:rPr>
          <w:rFonts w:ascii="Calibri" w:hAnsi="Calibri" w:cs="Calibri"/>
        </w:rPr>
        <w:t>Identify disengaged yet high-value customers</w:t>
      </w:r>
    </w:p>
    <w:p w14:paraId="29D67B60" w14:textId="77777777" w:rsidR="00C96D68" w:rsidRPr="007B487B" w:rsidRDefault="00C96D68" w:rsidP="00C96D68">
      <w:pPr>
        <w:spacing w:after="0" w:line="240" w:lineRule="auto"/>
        <w:jc w:val="both"/>
        <w:rPr>
          <w:rFonts w:ascii="Calibri" w:hAnsi="Calibri" w:cs="Calibri"/>
        </w:rPr>
      </w:pPr>
    </w:p>
    <w:p w14:paraId="77186BE2" w14:textId="58597CBE" w:rsidR="00E65A75" w:rsidRPr="007B487B" w:rsidRDefault="00E65A75" w:rsidP="00E65A75">
      <w:pPr>
        <w:jc w:val="both"/>
        <w:rPr>
          <w:rFonts w:ascii="Calibri" w:hAnsi="Calibri" w:cs="Calibri"/>
          <w:b/>
          <w:bCs/>
        </w:rPr>
      </w:pPr>
      <w:r w:rsidRPr="007B487B">
        <w:rPr>
          <w:rFonts w:ascii="Calibri" w:hAnsi="Calibri" w:cs="Calibri"/>
          <w:b/>
          <w:bCs/>
        </w:rPr>
        <w:t>1.3 Secondary Objectives</w:t>
      </w:r>
    </w:p>
    <w:p w14:paraId="0080F950" w14:textId="2E7F5A50" w:rsidR="00E3521C" w:rsidRPr="007B487B" w:rsidRDefault="00E3521C" w:rsidP="001902E1">
      <w:pPr>
        <w:pStyle w:val="ListParagraph"/>
        <w:numPr>
          <w:ilvl w:val="0"/>
          <w:numId w:val="27"/>
        </w:numPr>
        <w:spacing w:line="240" w:lineRule="auto"/>
        <w:ind w:left="714" w:hanging="357"/>
        <w:contextualSpacing w:val="0"/>
        <w:jc w:val="both"/>
        <w:rPr>
          <w:rFonts w:ascii="Calibri" w:hAnsi="Calibri" w:cs="Calibri"/>
        </w:rPr>
      </w:pPr>
      <w:r w:rsidRPr="007B487B">
        <w:rPr>
          <w:rFonts w:ascii="Calibri" w:hAnsi="Calibri" w:cs="Calibri"/>
        </w:rPr>
        <w:lastRenderedPageBreak/>
        <w:t>Support engagement-driven retention strategies</w:t>
      </w:r>
    </w:p>
    <w:p w14:paraId="6EE928C2" w14:textId="1EC63B51" w:rsidR="00E3521C" w:rsidRPr="007B487B" w:rsidRDefault="00E3521C" w:rsidP="001902E1">
      <w:pPr>
        <w:pStyle w:val="ListParagraph"/>
        <w:numPr>
          <w:ilvl w:val="0"/>
          <w:numId w:val="27"/>
        </w:numPr>
        <w:spacing w:line="240" w:lineRule="auto"/>
        <w:ind w:left="714" w:hanging="357"/>
        <w:contextualSpacing w:val="0"/>
        <w:jc w:val="both"/>
        <w:rPr>
          <w:rFonts w:ascii="Calibri" w:hAnsi="Calibri" w:cs="Calibri"/>
        </w:rPr>
      </w:pPr>
      <w:r w:rsidRPr="007B487B">
        <w:rPr>
          <w:rFonts w:ascii="Calibri" w:hAnsi="Calibri" w:cs="Calibri"/>
        </w:rPr>
        <w:t>Improve product bundling decisions</w:t>
      </w:r>
    </w:p>
    <w:p w14:paraId="01CD8B40" w14:textId="42146FD0" w:rsidR="00E3521C" w:rsidRPr="007B487B" w:rsidRDefault="00E3521C" w:rsidP="001902E1">
      <w:pPr>
        <w:pStyle w:val="ListParagraph"/>
        <w:numPr>
          <w:ilvl w:val="0"/>
          <w:numId w:val="27"/>
        </w:numPr>
        <w:spacing w:line="240" w:lineRule="auto"/>
        <w:ind w:left="714" w:hanging="357"/>
        <w:contextualSpacing w:val="0"/>
        <w:jc w:val="both"/>
        <w:rPr>
          <w:rFonts w:ascii="Calibri" w:hAnsi="Calibri" w:cs="Calibri"/>
        </w:rPr>
      </w:pPr>
      <w:r w:rsidRPr="007B487B">
        <w:rPr>
          <w:rFonts w:ascii="Calibri" w:hAnsi="Calibri" w:cs="Calibri"/>
        </w:rPr>
        <w:t>Reduce silent churn among premium customers</w:t>
      </w:r>
    </w:p>
    <w:p w14:paraId="48132835" w14:textId="77777777" w:rsidR="001902E1" w:rsidRPr="007B487B" w:rsidRDefault="001902E1" w:rsidP="001902E1">
      <w:pPr>
        <w:spacing w:line="240" w:lineRule="auto"/>
        <w:jc w:val="both"/>
        <w:rPr>
          <w:rFonts w:ascii="Calibri" w:hAnsi="Calibri" w:cs="Calibri"/>
        </w:rPr>
      </w:pPr>
    </w:p>
    <w:p w14:paraId="0D173F5C" w14:textId="026765F5" w:rsidR="00E65A75" w:rsidRPr="007B487B" w:rsidRDefault="00E65A75" w:rsidP="00E65A75">
      <w:pPr>
        <w:jc w:val="both"/>
        <w:rPr>
          <w:rFonts w:ascii="Calibri" w:hAnsi="Calibri" w:cs="Calibri"/>
          <w:b/>
          <w:bCs/>
        </w:rPr>
      </w:pPr>
      <w:r w:rsidRPr="007B487B">
        <w:rPr>
          <w:rFonts w:ascii="Calibri" w:hAnsi="Calibri" w:cs="Calibri"/>
          <w:b/>
          <w:bCs/>
        </w:rPr>
        <w:t>1.4 Dataset Description</w:t>
      </w:r>
    </w:p>
    <w:tbl>
      <w:tblPr>
        <w:tblW w:w="88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1"/>
        <w:gridCol w:w="5532"/>
      </w:tblGrid>
      <w:tr w:rsidR="005A5843" w:rsidRPr="005A5843" w14:paraId="04882A43" w14:textId="77777777" w:rsidTr="007657F4">
        <w:trPr>
          <w:trHeight w:val="519"/>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92832E7" w14:textId="77777777" w:rsidR="005A5843" w:rsidRPr="005A5843" w:rsidRDefault="005A5843" w:rsidP="005A5843">
            <w:pPr>
              <w:jc w:val="both"/>
              <w:rPr>
                <w:rFonts w:ascii="Calibri" w:hAnsi="Calibri" w:cs="Calibri"/>
                <w:b/>
                <w:bCs/>
              </w:rPr>
            </w:pPr>
            <w:r w:rsidRPr="005A5843">
              <w:rPr>
                <w:rFonts w:ascii="Calibri" w:hAnsi="Calibri" w:cs="Calibri"/>
                <w:b/>
                <w:bCs/>
              </w:rPr>
              <w:t>Column</w:t>
            </w:r>
          </w:p>
        </w:tc>
        <w:tc>
          <w:tcPr>
            <w:tcW w:w="0" w:type="auto"/>
            <w:tcBorders>
              <w:top w:val="single" w:sz="2" w:space="0" w:color="auto"/>
              <w:left w:val="single" w:sz="2" w:space="0" w:color="auto"/>
              <w:bottom w:val="single" w:sz="2" w:space="0" w:color="auto"/>
              <w:right w:val="single" w:sz="2" w:space="0" w:color="auto"/>
            </w:tcBorders>
            <w:vAlign w:val="center"/>
            <w:hideMark/>
          </w:tcPr>
          <w:p w14:paraId="7635AF04" w14:textId="77777777" w:rsidR="005A5843" w:rsidRPr="005A5843" w:rsidRDefault="005A5843" w:rsidP="005A5843">
            <w:pPr>
              <w:jc w:val="both"/>
              <w:rPr>
                <w:rFonts w:ascii="Calibri" w:hAnsi="Calibri" w:cs="Calibri"/>
                <w:b/>
                <w:bCs/>
              </w:rPr>
            </w:pPr>
            <w:r w:rsidRPr="005A5843">
              <w:rPr>
                <w:rFonts w:ascii="Calibri" w:hAnsi="Calibri" w:cs="Calibri"/>
                <w:b/>
                <w:bCs/>
              </w:rPr>
              <w:t>Description</w:t>
            </w:r>
          </w:p>
        </w:tc>
      </w:tr>
      <w:tr w:rsidR="005A5843" w:rsidRPr="005A5843" w14:paraId="02EDBE70"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76C9FEEA" w14:textId="77777777" w:rsidR="005A5843" w:rsidRPr="005A5843" w:rsidRDefault="005A5843" w:rsidP="005A5843">
            <w:pPr>
              <w:jc w:val="both"/>
              <w:rPr>
                <w:rFonts w:ascii="Calibri" w:hAnsi="Calibri" w:cs="Calibri"/>
              </w:rPr>
            </w:pPr>
            <w:proofErr w:type="spellStart"/>
            <w:r w:rsidRPr="005A5843">
              <w:rPr>
                <w:rFonts w:ascii="Calibri" w:hAnsi="Calibri" w:cs="Calibri"/>
              </w:rPr>
              <w:t>CustomerId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E454826" w14:textId="77777777" w:rsidR="005A5843" w:rsidRPr="005A5843" w:rsidRDefault="005A5843" w:rsidP="005A5843">
            <w:pPr>
              <w:jc w:val="both"/>
              <w:rPr>
                <w:rFonts w:ascii="Calibri" w:hAnsi="Calibri" w:cs="Calibri"/>
              </w:rPr>
            </w:pPr>
            <w:r w:rsidRPr="005A5843">
              <w:rPr>
                <w:rFonts w:ascii="Calibri" w:hAnsi="Calibri" w:cs="Calibri"/>
              </w:rPr>
              <w:t>Unique customer identifier</w:t>
            </w:r>
          </w:p>
        </w:tc>
      </w:tr>
      <w:tr w:rsidR="005A5843" w:rsidRPr="005A5843" w14:paraId="4116DA06"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75AF7FFD" w14:textId="77777777" w:rsidR="005A5843" w:rsidRPr="005A5843" w:rsidRDefault="005A5843" w:rsidP="005A5843">
            <w:pPr>
              <w:jc w:val="both"/>
              <w:rPr>
                <w:rFonts w:ascii="Calibri" w:hAnsi="Calibri" w:cs="Calibri"/>
              </w:rPr>
            </w:pPr>
            <w:r w:rsidRPr="005A5843">
              <w:rPr>
                <w:rFonts w:ascii="Calibri" w:hAnsi="Calibri" w:cs="Calibri"/>
              </w:rPr>
              <w:t>Surname</w:t>
            </w:r>
          </w:p>
        </w:tc>
        <w:tc>
          <w:tcPr>
            <w:tcW w:w="0" w:type="auto"/>
            <w:tcBorders>
              <w:top w:val="single" w:sz="2" w:space="0" w:color="auto"/>
              <w:left w:val="single" w:sz="2" w:space="0" w:color="auto"/>
              <w:bottom w:val="single" w:sz="2" w:space="0" w:color="auto"/>
              <w:right w:val="single" w:sz="2" w:space="0" w:color="auto"/>
            </w:tcBorders>
            <w:vAlign w:val="center"/>
            <w:hideMark/>
          </w:tcPr>
          <w:p w14:paraId="68CDFAAE" w14:textId="77777777" w:rsidR="005A5843" w:rsidRPr="005A5843" w:rsidRDefault="005A5843" w:rsidP="005A5843">
            <w:pPr>
              <w:jc w:val="both"/>
              <w:rPr>
                <w:rFonts w:ascii="Calibri" w:hAnsi="Calibri" w:cs="Calibri"/>
              </w:rPr>
            </w:pPr>
            <w:r w:rsidRPr="005A5843">
              <w:rPr>
                <w:rFonts w:ascii="Calibri" w:hAnsi="Calibri" w:cs="Calibri"/>
              </w:rPr>
              <w:t>Customer surname</w:t>
            </w:r>
          </w:p>
        </w:tc>
      </w:tr>
      <w:tr w:rsidR="005A5843" w:rsidRPr="005A5843" w14:paraId="17E8E7DA"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24B6F8D7" w14:textId="77777777" w:rsidR="005A5843" w:rsidRPr="005A5843" w:rsidRDefault="005A5843" w:rsidP="005A5843">
            <w:pPr>
              <w:jc w:val="both"/>
              <w:rPr>
                <w:rFonts w:ascii="Calibri" w:hAnsi="Calibri" w:cs="Calibri"/>
              </w:rPr>
            </w:pPr>
            <w:proofErr w:type="spellStart"/>
            <w:r w:rsidRPr="005A5843">
              <w:rPr>
                <w:rFonts w:ascii="Calibri" w:hAnsi="Calibri" w:cs="Calibri"/>
              </w:rPr>
              <w:t>CreditScore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A750FB9" w14:textId="77777777" w:rsidR="005A5843" w:rsidRPr="005A5843" w:rsidRDefault="005A5843" w:rsidP="005A5843">
            <w:pPr>
              <w:jc w:val="both"/>
              <w:rPr>
                <w:rFonts w:ascii="Calibri" w:hAnsi="Calibri" w:cs="Calibri"/>
              </w:rPr>
            </w:pPr>
            <w:r w:rsidRPr="005A5843">
              <w:rPr>
                <w:rFonts w:ascii="Calibri" w:hAnsi="Calibri" w:cs="Calibri"/>
              </w:rPr>
              <w:t>Customer creditworthiness</w:t>
            </w:r>
          </w:p>
        </w:tc>
      </w:tr>
      <w:tr w:rsidR="005A5843" w:rsidRPr="005A5843" w14:paraId="3535781F"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5D136026" w14:textId="77777777" w:rsidR="005A5843" w:rsidRPr="005A5843" w:rsidRDefault="005A5843" w:rsidP="005A5843">
            <w:pPr>
              <w:jc w:val="both"/>
              <w:rPr>
                <w:rFonts w:ascii="Calibri" w:hAnsi="Calibri" w:cs="Calibri"/>
              </w:rPr>
            </w:pPr>
            <w:r w:rsidRPr="005A5843">
              <w:rPr>
                <w:rFonts w:ascii="Calibri" w:hAnsi="Calibri" w:cs="Calibri"/>
              </w:rPr>
              <w:t>Geography</w:t>
            </w:r>
          </w:p>
        </w:tc>
        <w:tc>
          <w:tcPr>
            <w:tcW w:w="0" w:type="auto"/>
            <w:tcBorders>
              <w:top w:val="single" w:sz="2" w:space="0" w:color="auto"/>
              <w:left w:val="single" w:sz="2" w:space="0" w:color="auto"/>
              <w:bottom w:val="single" w:sz="2" w:space="0" w:color="auto"/>
              <w:right w:val="single" w:sz="2" w:space="0" w:color="auto"/>
            </w:tcBorders>
            <w:vAlign w:val="center"/>
            <w:hideMark/>
          </w:tcPr>
          <w:p w14:paraId="4B5C765C" w14:textId="77777777" w:rsidR="005A5843" w:rsidRPr="005A5843" w:rsidRDefault="005A5843" w:rsidP="005A5843">
            <w:pPr>
              <w:jc w:val="both"/>
              <w:rPr>
                <w:rFonts w:ascii="Calibri" w:hAnsi="Calibri" w:cs="Calibri"/>
              </w:rPr>
            </w:pPr>
            <w:r w:rsidRPr="005A5843">
              <w:rPr>
                <w:rFonts w:ascii="Calibri" w:hAnsi="Calibri" w:cs="Calibri"/>
              </w:rPr>
              <w:t>France, Spain, Germany</w:t>
            </w:r>
          </w:p>
        </w:tc>
      </w:tr>
      <w:tr w:rsidR="005A5843" w:rsidRPr="005A5843" w14:paraId="490FE12C"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5F4E08CA" w14:textId="77777777" w:rsidR="005A5843" w:rsidRPr="005A5843" w:rsidRDefault="005A5843" w:rsidP="005A5843">
            <w:pPr>
              <w:jc w:val="both"/>
              <w:rPr>
                <w:rFonts w:ascii="Calibri" w:hAnsi="Calibri" w:cs="Calibri"/>
              </w:rPr>
            </w:pPr>
            <w:r w:rsidRPr="005A5843">
              <w:rPr>
                <w:rFonts w:ascii="Calibri" w:hAnsi="Calibri" w:cs="Calibri"/>
              </w:rPr>
              <w:t>Gender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FB40AD1" w14:textId="77777777" w:rsidR="005A5843" w:rsidRPr="005A5843" w:rsidRDefault="005A5843" w:rsidP="005A5843">
            <w:pPr>
              <w:jc w:val="both"/>
              <w:rPr>
                <w:rFonts w:ascii="Calibri" w:hAnsi="Calibri" w:cs="Calibri"/>
              </w:rPr>
            </w:pPr>
            <w:r w:rsidRPr="005A5843">
              <w:rPr>
                <w:rFonts w:ascii="Calibri" w:hAnsi="Calibri" w:cs="Calibri"/>
              </w:rPr>
              <w:t>Male / Female</w:t>
            </w:r>
          </w:p>
        </w:tc>
      </w:tr>
      <w:tr w:rsidR="005A5843" w:rsidRPr="005A5843" w14:paraId="3AFE84F2"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013E2862" w14:textId="77777777" w:rsidR="005A5843" w:rsidRPr="005A5843" w:rsidRDefault="005A5843" w:rsidP="005A5843">
            <w:pPr>
              <w:jc w:val="both"/>
              <w:rPr>
                <w:rFonts w:ascii="Calibri" w:hAnsi="Calibri" w:cs="Calibri"/>
              </w:rPr>
            </w:pPr>
            <w:r w:rsidRPr="005A5843">
              <w:rPr>
                <w:rFonts w:ascii="Calibri" w:hAnsi="Calibri" w:cs="Calibri"/>
              </w:rPr>
              <w:t>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489FF172" w14:textId="77777777" w:rsidR="005A5843" w:rsidRPr="005A5843" w:rsidRDefault="005A5843" w:rsidP="005A5843">
            <w:pPr>
              <w:jc w:val="both"/>
              <w:rPr>
                <w:rFonts w:ascii="Calibri" w:hAnsi="Calibri" w:cs="Calibri"/>
              </w:rPr>
            </w:pPr>
            <w:r w:rsidRPr="005A5843">
              <w:rPr>
                <w:rFonts w:ascii="Calibri" w:hAnsi="Calibri" w:cs="Calibri"/>
              </w:rPr>
              <w:t>Customer age</w:t>
            </w:r>
          </w:p>
        </w:tc>
      </w:tr>
      <w:tr w:rsidR="005A5843" w:rsidRPr="005A5843" w14:paraId="2A7511AA"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513F17BF" w14:textId="77777777" w:rsidR="005A5843" w:rsidRPr="005A5843" w:rsidRDefault="005A5843" w:rsidP="005A5843">
            <w:pPr>
              <w:jc w:val="both"/>
              <w:rPr>
                <w:rFonts w:ascii="Calibri" w:hAnsi="Calibri" w:cs="Calibri"/>
              </w:rPr>
            </w:pPr>
            <w:r w:rsidRPr="005A5843">
              <w:rPr>
                <w:rFonts w:ascii="Calibri" w:hAnsi="Calibri" w:cs="Calibri"/>
              </w:rPr>
              <w:t>Tenure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7C7EE070" w14:textId="77777777" w:rsidR="005A5843" w:rsidRPr="005A5843" w:rsidRDefault="005A5843" w:rsidP="005A5843">
            <w:pPr>
              <w:jc w:val="both"/>
              <w:rPr>
                <w:rFonts w:ascii="Calibri" w:hAnsi="Calibri" w:cs="Calibri"/>
              </w:rPr>
            </w:pPr>
            <w:r w:rsidRPr="005A5843">
              <w:rPr>
                <w:rFonts w:ascii="Calibri" w:hAnsi="Calibri" w:cs="Calibri"/>
              </w:rPr>
              <w:t>Years with the bank</w:t>
            </w:r>
          </w:p>
        </w:tc>
      </w:tr>
      <w:tr w:rsidR="005A5843" w:rsidRPr="005A5843" w14:paraId="06327317"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68336CAA" w14:textId="77777777" w:rsidR="005A5843" w:rsidRPr="005A5843" w:rsidRDefault="005A5843" w:rsidP="005A5843">
            <w:pPr>
              <w:jc w:val="both"/>
              <w:rPr>
                <w:rFonts w:ascii="Calibri" w:hAnsi="Calibri" w:cs="Calibri"/>
              </w:rPr>
            </w:pPr>
            <w:r w:rsidRPr="005A5843">
              <w:rPr>
                <w:rFonts w:ascii="Calibri" w:hAnsi="Calibri" w:cs="Calibri"/>
              </w:rPr>
              <w:t>Balance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17DCA1A8" w14:textId="77777777" w:rsidR="005A5843" w:rsidRPr="005A5843" w:rsidRDefault="005A5843" w:rsidP="005A5843">
            <w:pPr>
              <w:jc w:val="both"/>
              <w:rPr>
                <w:rFonts w:ascii="Calibri" w:hAnsi="Calibri" w:cs="Calibri"/>
              </w:rPr>
            </w:pPr>
            <w:r w:rsidRPr="005A5843">
              <w:rPr>
                <w:rFonts w:ascii="Calibri" w:hAnsi="Calibri" w:cs="Calibri"/>
              </w:rPr>
              <w:t>Account balance</w:t>
            </w:r>
          </w:p>
        </w:tc>
      </w:tr>
      <w:tr w:rsidR="005A5843" w:rsidRPr="005A5843" w14:paraId="2E36D98A"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5875F0A7" w14:textId="77777777" w:rsidR="005A5843" w:rsidRPr="005A5843" w:rsidRDefault="005A5843" w:rsidP="005A5843">
            <w:pPr>
              <w:jc w:val="both"/>
              <w:rPr>
                <w:rFonts w:ascii="Calibri" w:hAnsi="Calibri" w:cs="Calibri"/>
              </w:rPr>
            </w:pPr>
            <w:proofErr w:type="spellStart"/>
            <w:r w:rsidRPr="005A5843">
              <w:rPr>
                <w:rFonts w:ascii="Calibri" w:hAnsi="Calibri" w:cs="Calibri"/>
              </w:rPr>
              <w:t>NumOfProducts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F9E1275" w14:textId="77777777" w:rsidR="005A5843" w:rsidRPr="005A5843" w:rsidRDefault="005A5843" w:rsidP="005A5843">
            <w:pPr>
              <w:jc w:val="both"/>
              <w:rPr>
                <w:rFonts w:ascii="Calibri" w:hAnsi="Calibri" w:cs="Calibri"/>
              </w:rPr>
            </w:pPr>
            <w:r w:rsidRPr="005A5843">
              <w:rPr>
                <w:rFonts w:ascii="Calibri" w:hAnsi="Calibri" w:cs="Calibri"/>
              </w:rPr>
              <w:t>Number of bank products</w:t>
            </w:r>
          </w:p>
        </w:tc>
      </w:tr>
      <w:tr w:rsidR="005A5843" w:rsidRPr="005A5843" w14:paraId="5699F66C"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09443E1B" w14:textId="77777777" w:rsidR="005A5843" w:rsidRPr="005A5843" w:rsidRDefault="005A5843" w:rsidP="005A5843">
            <w:pPr>
              <w:jc w:val="both"/>
              <w:rPr>
                <w:rFonts w:ascii="Calibri" w:hAnsi="Calibri" w:cs="Calibri"/>
              </w:rPr>
            </w:pPr>
            <w:proofErr w:type="spellStart"/>
            <w:r w:rsidRPr="005A5843">
              <w:rPr>
                <w:rFonts w:ascii="Calibri" w:hAnsi="Calibri" w:cs="Calibri"/>
              </w:rPr>
              <w:t>HasCrCard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A0F436A" w14:textId="77777777" w:rsidR="005A5843" w:rsidRPr="005A5843" w:rsidRDefault="005A5843" w:rsidP="005A5843">
            <w:pPr>
              <w:jc w:val="both"/>
              <w:rPr>
                <w:rFonts w:ascii="Calibri" w:hAnsi="Calibri" w:cs="Calibri"/>
              </w:rPr>
            </w:pPr>
            <w:r w:rsidRPr="005A5843">
              <w:rPr>
                <w:rFonts w:ascii="Calibri" w:hAnsi="Calibri" w:cs="Calibri"/>
              </w:rPr>
              <w:t>Credit card ownership</w:t>
            </w:r>
          </w:p>
        </w:tc>
      </w:tr>
      <w:tr w:rsidR="005A5843" w:rsidRPr="005A5843" w14:paraId="0B973626"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6B8F80EC" w14:textId="77777777" w:rsidR="005A5843" w:rsidRPr="005A5843" w:rsidRDefault="005A5843" w:rsidP="005A5843">
            <w:pPr>
              <w:jc w:val="both"/>
              <w:rPr>
                <w:rFonts w:ascii="Calibri" w:hAnsi="Calibri" w:cs="Calibri"/>
              </w:rPr>
            </w:pPr>
            <w:proofErr w:type="spellStart"/>
            <w:r w:rsidRPr="005A5843">
              <w:rPr>
                <w:rFonts w:ascii="Calibri" w:hAnsi="Calibri" w:cs="Calibri"/>
              </w:rPr>
              <w:t>IsActiveMember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B51C8F4" w14:textId="77777777" w:rsidR="005A5843" w:rsidRPr="005A5843" w:rsidRDefault="005A5843" w:rsidP="005A5843">
            <w:pPr>
              <w:jc w:val="both"/>
              <w:rPr>
                <w:rFonts w:ascii="Calibri" w:hAnsi="Calibri" w:cs="Calibri"/>
              </w:rPr>
            </w:pPr>
            <w:r w:rsidRPr="005A5843">
              <w:rPr>
                <w:rFonts w:ascii="Calibri" w:hAnsi="Calibri" w:cs="Calibri"/>
              </w:rPr>
              <w:t>Activity indicator</w:t>
            </w:r>
          </w:p>
        </w:tc>
      </w:tr>
      <w:tr w:rsidR="005A5843" w:rsidRPr="005A5843" w14:paraId="261D3A69" w14:textId="77777777" w:rsidTr="007657F4">
        <w:trPr>
          <w:trHeight w:val="519"/>
        </w:trPr>
        <w:tc>
          <w:tcPr>
            <w:tcW w:w="0" w:type="auto"/>
            <w:tcBorders>
              <w:top w:val="single" w:sz="2" w:space="0" w:color="auto"/>
              <w:left w:val="single" w:sz="2" w:space="0" w:color="auto"/>
              <w:bottom w:val="single" w:sz="2" w:space="0" w:color="auto"/>
              <w:right w:val="single" w:sz="2" w:space="0" w:color="auto"/>
            </w:tcBorders>
            <w:vAlign w:val="center"/>
            <w:hideMark/>
          </w:tcPr>
          <w:p w14:paraId="43050CDF" w14:textId="77777777" w:rsidR="005A5843" w:rsidRPr="005A5843" w:rsidRDefault="005A5843" w:rsidP="005A5843">
            <w:pPr>
              <w:jc w:val="both"/>
              <w:rPr>
                <w:rFonts w:ascii="Calibri" w:hAnsi="Calibri" w:cs="Calibri"/>
              </w:rPr>
            </w:pPr>
            <w:proofErr w:type="spellStart"/>
            <w:r w:rsidRPr="005A5843">
              <w:rPr>
                <w:rFonts w:ascii="Calibri" w:hAnsi="Calibri" w:cs="Calibri"/>
              </w:rPr>
              <w:t>EstimatedSalary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3CBA247" w14:textId="77777777" w:rsidR="005A5843" w:rsidRPr="005A5843" w:rsidRDefault="005A5843" w:rsidP="005A5843">
            <w:pPr>
              <w:jc w:val="both"/>
              <w:rPr>
                <w:rFonts w:ascii="Calibri" w:hAnsi="Calibri" w:cs="Calibri"/>
              </w:rPr>
            </w:pPr>
            <w:r w:rsidRPr="005A5843">
              <w:rPr>
                <w:rFonts w:ascii="Calibri" w:hAnsi="Calibri" w:cs="Calibri"/>
              </w:rPr>
              <w:t>Estimated annual salary</w:t>
            </w:r>
          </w:p>
        </w:tc>
      </w:tr>
      <w:tr w:rsidR="005A5843" w:rsidRPr="005A5843" w14:paraId="4D7A52AF" w14:textId="77777777" w:rsidTr="007657F4">
        <w:trPr>
          <w:trHeight w:val="531"/>
        </w:trPr>
        <w:tc>
          <w:tcPr>
            <w:tcW w:w="0" w:type="auto"/>
            <w:tcBorders>
              <w:top w:val="single" w:sz="2" w:space="0" w:color="auto"/>
              <w:left w:val="single" w:sz="2" w:space="0" w:color="auto"/>
              <w:bottom w:val="single" w:sz="2" w:space="0" w:color="auto"/>
              <w:right w:val="single" w:sz="2" w:space="0" w:color="auto"/>
            </w:tcBorders>
            <w:vAlign w:val="center"/>
            <w:hideMark/>
          </w:tcPr>
          <w:p w14:paraId="4A56A5F6" w14:textId="77777777" w:rsidR="005A5843" w:rsidRPr="005A5843" w:rsidRDefault="005A5843" w:rsidP="005A5843">
            <w:pPr>
              <w:jc w:val="both"/>
              <w:rPr>
                <w:rFonts w:ascii="Calibri" w:hAnsi="Calibri" w:cs="Calibri"/>
              </w:rPr>
            </w:pPr>
            <w:r w:rsidRPr="005A5843">
              <w:rPr>
                <w:rFonts w:ascii="Calibri" w:hAnsi="Calibri" w:cs="Calibri"/>
              </w:rPr>
              <w:t>Exited</w:t>
            </w:r>
          </w:p>
        </w:tc>
        <w:tc>
          <w:tcPr>
            <w:tcW w:w="0" w:type="auto"/>
            <w:tcBorders>
              <w:top w:val="single" w:sz="2" w:space="0" w:color="auto"/>
              <w:left w:val="single" w:sz="2" w:space="0" w:color="auto"/>
              <w:bottom w:val="single" w:sz="2" w:space="0" w:color="auto"/>
              <w:right w:val="single" w:sz="2" w:space="0" w:color="auto"/>
            </w:tcBorders>
            <w:vAlign w:val="center"/>
            <w:hideMark/>
          </w:tcPr>
          <w:p w14:paraId="7929A3B5" w14:textId="77777777" w:rsidR="005A5843" w:rsidRPr="005A5843" w:rsidRDefault="005A5843" w:rsidP="005A5843">
            <w:pPr>
              <w:jc w:val="both"/>
              <w:rPr>
                <w:rFonts w:ascii="Calibri" w:hAnsi="Calibri" w:cs="Calibri"/>
              </w:rPr>
            </w:pPr>
            <w:r w:rsidRPr="005A5843">
              <w:rPr>
                <w:rFonts w:ascii="Calibri" w:hAnsi="Calibri" w:cs="Calibri"/>
              </w:rPr>
              <w:t>Churn indicator (target)</w:t>
            </w:r>
          </w:p>
        </w:tc>
      </w:tr>
    </w:tbl>
    <w:p w14:paraId="117163B2" w14:textId="0D0B3268" w:rsidR="00E65A75" w:rsidRPr="007B487B" w:rsidRDefault="00E65A75" w:rsidP="00E65A75">
      <w:pPr>
        <w:jc w:val="both"/>
        <w:rPr>
          <w:rFonts w:ascii="Calibri" w:hAnsi="Calibri" w:cs="Calibri"/>
        </w:rPr>
      </w:pPr>
    </w:p>
    <w:p w14:paraId="7D353956" w14:textId="761FE662" w:rsidR="00DA4065" w:rsidRPr="007B487B" w:rsidRDefault="00DA4065" w:rsidP="00C54475">
      <w:pPr>
        <w:pStyle w:val="ListParagraph"/>
        <w:numPr>
          <w:ilvl w:val="0"/>
          <w:numId w:val="19"/>
        </w:numPr>
        <w:jc w:val="both"/>
        <w:rPr>
          <w:rFonts w:ascii="Calibri" w:hAnsi="Calibri" w:cs="Calibri"/>
          <w:b/>
          <w:bCs/>
          <w:sz w:val="28"/>
          <w:szCs w:val="28"/>
        </w:rPr>
      </w:pPr>
      <w:r w:rsidRPr="007B487B">
        <w:rPr>
          <w:rFonts w:ascii="Calibri" w:hAnsi="Calibri" w:cs="Calibri"/>
          <w:b/>
          <w:bCs/>
          <w:sz w:val="28"/>
          <w:szCs w:val="28"/>
        </w:rPr>
        <w:t>Methodology</w:t>
      </w:r>
    </w:p>
    <w:p w14:paraId="4FF290C6" w14:textId="77777777" w:rsidR="005A5843" w:rsidRPr="005A5843" w:rsidRDefault="005A5843" w:rsidP="001902E1">
      <w:pPr>
        <w:jc w:val="both"/>
        <w:rPr>
          <w:rFonts w:ascii="Calibri" w:hAnsi="Calibri" w:cs="Calibri"/>
        </w:rPr>
      </w:pPr>
      <w:r w:rsidRPr="005A5843">
        <w:rPr>
          <w:rFonts w:ascii="Calibri" w:hAnsi="Calibri" w:cs="Calibri"/>
        </w:rPr>
        <w:t xml:space="preserve">The analysis was carried out in a </w:t>
      </w:r>
      <w:proofErr w:type="spellStart"/>
      <w:r w:rsidRPr="005A5843">
        <w:rPr>
          <w:rFonts w:ascii="Calibri" w:hAnsi="Calibri" w:cs="Calibri"/>
          <w:b/>
          <w:bCs/>
        </w:rPr>
        <w:t>Jupyter</w:t>
      </w:r>
      <w:proofErr w:type="spellEnd"/>
      <w:r w:rsidRPr="005A5843">
        <w:rPr>
          <w:rFonts w:ascii="Calibri" w:hAnsi="Calibri" w:cs="Calibri"/>
          <w:b/>
          <w:bCs/>
        </w:rPr>
        <w:t xml:space="preserve"> Notebook environment</w:t>
      </w:r>
      <w:r w:rsidRPr="005A5843">
        <w:rPr>
          <w:rFonts w:ascii="Calibri" w:hAnsi="Calibri" w:cs="Calibri"/>
        </w:rPr>
        <w:t>, which allowed for an iterative workflow: running code cells, checking outputs, and refining visualizations step by step. This setup made it easier to validate the dataset and immediately see the impact of each transformation or chart.</w:t>
      </w:r>
    </w:p>
    <w:p w14:paraId="27A8D10D" w14:textId="77777777" w:rsidR="005A5843" w:rsidRPr="005A5843" w:rsidRDefault="005A5843" w:rsidP="001902E1">
      <w:pPr>
        <w:jc w:val="both"/>
        <w:rPr>
          <w:rFonts w:ascii="Calibri" w:hAnsi="Calibri" w:cs="Calibri"/>
        </w:rPr>
      </w:pPr>
      <w:r w:rsidRPr="005A5843">
        <w:rPr>
          <w:rFonts w:ascii="Calibri" w:hAnsi="Calibri" w:cs="Calibri"/>
        </w:rPr>
        <w:t xml:space="preserve">The dataset was first ingested and validated using Python libraries such as </w:t>
      </w:r>
      <w:r w:rsidRPr="005A5843">
        <w:rPr>
          <w:rFonts w:ascii="Calibri" w:hAnsi="Calibri" w:cs="Calibri"/>
          <w:b/>
          <w:bCs/>
        </w:rPr>
        <w:t>pandas</w:t>
      </w:r>
      <w:r w:rsidRPr="005A5843">
        <w:rPr>
          <w:rFonts w:ascii="Calibri" w:hAnsi="Calibri" w:cs="Calibri"/>
        </w:rPr>
        <w:t xml:space="preserve">, </w:t>
      </w:r>
      <w:proofErr w:type="spellStart"/>
      <w:r w:rsidRPr="005A5843">
        <w:rPr>
          <w:rFonts w:ascii="Calibri" w:hAnsi="Calibri" w:cs="Calibri"/>
          <w:b/>
          <w:bCs/>
        </w:rPr>
        <w:t>numpy</w:t>
      </w:r>
      <w:proofErr w:type="spellEnd"/>
      <w:r w:rsidRPr="005A5843">
        <w:rPr>
          <w:rFonts w:ascii="Calibri" w:hAnsi="Calibri" w:cs="Calibri"/>
        </w:rPr>
        <w:t xml:space="preserve">, and </w:t>
      </w:r>
      <w:r w:rsidRPr="005A5843">
        <w:rPr>
          <w:rFonts w:ascii="Calibri" w:hAnsi="Calibri" w:cs="Calibri"/>
          <w:b/>
          <w:bCs/>
        </w:rPr>
        <w:t>seaborn</w:t>
      </w:r>
      <w:r w:rsidRPr="005A5843">
        <w:rPr>
          <w:rFonts w:ascii="Calibri" w:hAnsi="Calibri" w:cs="Calibri"/>
        </w:rPr>
        <w:t xml:space="preserve">. Checks for missing values, duplicates, and consistency in binary variables ensured that the data was reliable before moving into deeper analysis. For example, we </w:t>
      </w:r>
      <w:r w:rsidRPr="005A5843">
        <w:rPr>
          <w:rFonts w:ascii="Calibri" w:hAnsi="Calibri" w:cs="Calibri"/>
        </w:rPr>
        <w:lastRenderedPageBreak/>
        <w:t xml:space="preserve">confirmed that churn labels (Exited) were consistent and that engagement indicators like </w:t>
      </w:r>
      <w:proofErr w:type="spellStart"/>
      <w:r w:rsidRPr="005A5843">
        <w:rPr>
          <w:rFonts w:ascii="Calibri" w:hAnsi="Calibri" w:cs="Calibri"/>
        </w:rPr>
        <w:t>IsActiveMember</w:t>
      </w:r>
      <w:proofErr w:type="spellEnd"/>
      <w:r w:rsidRPr="005A5843">
        <w:rPr>
          <w:rFonts w:ascii="Calibri" w:hAnsi="Calibri" w:cs="Calibri"/>
        </w:rPr>
        <w:t xml:space="preserve"> and </w:t>
      </w:r>
      <w:proofErr w:type="spellStart"/>
      <w:r w:rsidRPr="005A5843">
        <w:rPr>
          <w:rFonts w:ascii="Calibri" w:hAnsi="Calibri" w:cs="Calibri"/>
        </w:rPr>
        <w:t>HasCrCard</w:t>
      </w:r>
      <w:proofErr w:type="spellEnd"/>
      <w:r w:rsidRPr="005A5843">
        <w:rPr>
          <w:rFonts w:ascii="Calibri" w:hAnsi="Calibri" w:cs="Calibri"/>
        </w:rPr>
        <w:t xml:space="preserve"> contained only valid values.</w:t>
      </w:r>
    </w:p>
    <w:p w14:paraId="1268A064" w14:textId="77777777" w:rsidR="005A5843" w:rsidRPr="005A5843" w:rsidRDefault="005A5843" w:rsidP="001902E1">
      <w:pPr>
        <w:jc w:val="both"/>
        <w:rPr>
          <w:rFonts w:ascii="Calibri" w:hAnsi="Calibri" w:cs="Calibri"/>
        </w:rPr>
      </w:pPr>
      <w:r w:rsidRPr="005A5843">
        <w:rPr>
          <w:rFonts w:ascii="Calibri" w:hAnsi="Calibri" w:cs="Calibri"/>
        </w:rPr>
        <w:t>Engagement profiles were then classified into categories based on combinations of activity status, product depth, and balance levels. This classification was coded directly in the notebook, making it easy to adjust thresholds and immediately visualize the impact.</w:t>
      </w:r>
    </w:p>
    <w:p w14:paraId="666A128D" w14:textId="77777777" w:rsidR="005A5843" w:rsidRPr="007B487B" w:rsidRDefault="005A5843" w:rsidP="001902E1">
      <w:pPr>
        <w:jc w:val="both"/>
        <w:rPr>
          <w:rFonts w:ascii="Calibri" w:hAnsi="Calibri" w:cs="Calibri"/>
        </w:rPr>
      </w:pPr>
      <w:r w:rsidRPr="007B487B">
        <w:rPr>
          <w:rFonts w:ascii="Calibri" w:hAnsi="Calibri" w:cs="Calibri"/>
        </w:rPr>
        <w:t xml:space="preserve">To explore churn, the following dimensions were </w:t>
      </w:r>
      <w:proofErr w:type="spellStart"/>
      <w:r w:rsidRPr="007B487B">
        <w:rPr>
          <w:rFonts w:ascii="Calibri" w:hAnsi="Calibri" w:cs="Calibri"/>
        </w:rPr>
        <w:t>analyzed</w:t>
      </w:r>
      <w:proofErr w:type="spellEnd"/>
      <w:r w:rsidRPr="007B487B">
        <w:rPr>
          <w:rFonts w:ascii="Calibri" w:hAnsi="Calibri" w:cs="Calibri"/>
        </w:rPr>
        <w:t>:</w:t>
      </w:r>
    </w:p>
    <w:p w14:paraId="0E5686CA" w14:textId="77777777" w:rsidR="005A5843" w:rsidRPr="005A5843" w:rsidRDefault="005A5843" w:rsidP="001902E1">
      <w:pPr>
        <w:pStyle w:val="ListParagraph"/>
        <w:numPr>
          <w:ilvl w:val="0"/>
          <w:numId w:val="30"/>
        </w:numPr>
        <w:contextualSpacing w:val="0"/>
        <w:jc w:val="both"/>
        <w:rPr>
          <w:rFonts w:ascii="Calibri" w:hAnsi="Calibri" w:cs="Calibri"/>
        </w:rPr>
      </w:pPr>
      <w:r w:rsidRPr="005A5843">
        <w:rPr>
          <w:rFonts w:ascii="Calibri" w:hAnsi="Calibri" w:cs="Calibri"/>
          <w:b/>
          <w:bCs/>
        </w:rPr>
        <w:t>Product depth (number of products held):</w:t>
      </w:r>
      <w:r w:rsidRPr="005A5843">
        <w:rPr>
          <w:rFonts w:ascii="Calibri" w:hAnsi="Calibri" w:cs="Calibri"/>
        </w:rPr>
        <w:t xml:space="preserve"> Customers with more products tend to be more “locked in” to the bank’s ecosystem, so we measured whether holding multiple products reduced churn compared to single</w:t>
      </w:r>
      <w:r w:rsidRPr="005A5843">
        <w:rPr>
          <w:rFonts w:ascii="Calibri" w:hAnsi="Calibri" w:cs="Calibri"/>
        </w:rPr>
        <w:noBreakHyphen/>
        <w:t>product customers.</w:t>
      </w:r>
    </w:p>
    <w:p w14:paraId="287DA583" w14:textId="77777777" w:rsidR="005A5843" w:rsidRPr="005A5843" w:rsidRDefault="005A5843" w:rsidP="001902E1">
      <w:pPr>
        <w:pStyle w:val="ListParagraph"/>
        <w:numPr>
          <w:ilvl w:val="0"/>
          <w:numId w:val="30"/>
        </w:numPr>
        <w:contextualSpacing w:val="0"/>
        <w:jc w:val="both"/>
        <w:rPr>
          <w:rFonts w:ascii="Calibri" w:hAnsi="Calibri" w:cs="Calibri"/>
        </w:rPr>
      </w:pPr>
      <w:r w:rsidRPr="005A5843">
        <w:rPr>
          <w:rFonts w:ascii="Calibri" w:hAnsi="Calibri" w:cs="Calibri"/>
          <w:b/>
          <w:bCs/>
        </w:rPr>
        <w:t>Activity status (active vs inactive members):</w:t>
      </w:r>
      <w:r w:rsidRPr="005A5843">
        <w:rPr>
          <w:rFonts w:ascii="Calibri" w:hAnsi="Calibri" w:cs="Calibri"/>
        </w:rPr>
        <w:t xml:space="preserve"> Engagement is often reflected in whether customers actively use their accounts. We compared churn rates between active and inactive members to see how </w:t>
      </w:r>
      <w:proofErr w:type="spellStart"/>
      <w:r w:rsidRPr="005A5843">
        <w:rPr>
          <w:rFonts w:ascii="Calibri" w:hAnsi="Calibri" w:cs="Calibri"/>
        </w:rPr>
        <w:t>behavior</w:t>
      </w:r>
      <w:proofErr w:type="spellEnd"/>
      <w:r w:rsidRPr="005A5843">
        <w:rPr>
          <w:rFonts w:ascii="Calibri" w:hAnsi="Calibri" w:cs="Calibri"/>
        </w:rPr>
        <w:t xml:space="preserve"> drives loyalty.</w:t>
      </w:r>
    </w:p>
    <w:p w14:paraId="774359EB" w14:textId="77777777" w:rsidR="005A5843" w:rsidRPr="005A5843" w:rsidRDefault="005A5843" w:rsidP="001902E1">
      <w:pPr>
        <w:pStyle w:val="ListParagraph"/>
        <w:numPr>
          <w:ilvl w:val="0"/>
          <w:numId w:val="30"/>
        </w:numPr>
        <w:contextualSpacing w:val="0"/>
        <w:jc w:val="both"/>
        <w:rPr>
          <w:rFonts w:ascii="Calibri" w:hAnsi="Calibri" w:cs="Calibri"/>
        </w:rPr>
      </w:pPr>
      <w:r w:rsidRPr="005A5843">
        <w:rPr>
          <w:rFonts w:ascii="Calibri" w:hAnsi="Calibri" w:cs="Calibri"/>
          <w:b/>
          <w:bCs/>
        </w:rPr>
        <w:t>Balance thresholds (premium vs standard customers):</w:t>
      </w:r>
      <w:r w:rsidRPr="005A5843">
        <w:rPr>
          <w:rFonts w:ascii="Calibri" w:hAnsi="Calibri" w:cs="Calibri"/>
        </w:rPr>
        <w:t xml:space="preserve"> High balances are often assumed to signal loyalty, but we tested whether premium customers (balances ≥100,000) were actually less likely to churn.</w:t>
      </w:r>
    </w:p>
    <w:p w14:paraId="6DDD8993" w14:textId="77777777" w:rsidR="005A5843" w:rsidRPr="005A5843" w:rsidRDefault="005A5843" w:rsidP="001902E1">
      <w:pPr>
        <w:pStyle w:val="ListParagraph"/>
        <w:numPr>
          <w:ilvl w:val="0"/>
          <w:numId w:val="30"/>
        </w:numPr>
        <w:contextualSpacing w:val="0"/>
        <w:jc w:val="both"/>
        <w:rPr>
          <w:rFonts w:ascii="Calibri" w:hAnsi="Calibri" w:cs="Calibri"/>
        </w:rPr>
      </w:pPr>
      <w:r w:rsidRPr="005A5843">
        <w:rPr>
          <w:rFonts w:ascii="Calibri" w:hAnsi="Calibri" w:cs="Calibri"/>
          <w:b/>
          <w:bCs/>
        </w:rPr>
        <w:t>Credit card ownership and relationship strength tiers:</w:t>
      </w:r>
      <w:r w:rsidRPr="005A5843">
        <w:rPr>
          <w:rFonts w:ascii="Calibri" w:hAnsi="Calibri" w:cs="Calibri"/>
        </w:rPr>
        <w:t xml:space="preserve"> Credit card holders often have deeper ties to the bank. We also created a composite measure of relationship strength (strong, moderate, weak) based on engagement and product depth, to see how these tiers influence churn.</w:t>
      </w:r>
    </w:p>
    <w:p w14:paraId="66F3BA52" w14:textId="77777777" w:rsidR="005A5843" w:rsidRPr="007B487B" w:rsidRDefault="005A5843" w:rsidP="001902E1">
      <w:pPr>
        <w:jc w:val="both"/>
        <w:rPr>
          <w:rFonts w:ascii="Calibri" w:hAnsi="Calibri" w:cs="Calibri"/>
        </w:rPr>
      </w:pPr>
      <w:r w:rsidRPr="007B487B">
        <w:rPr>
          <w:rFonts w:ascii="Calibri" w:hAnsi="Calibri" w:cs="Calibri"/>
        </w:rPr>
        <w:t xml:space="preserve">Visualizations were generated inline in the notebook, using </w:t>
      </w:r>
      <w:r w:rsidRPr="007B487B">
        <w:rPr>
          <w:rFonts w:ascii="Calibri" w:hAnsi="Calibri" w:cs="Calibri"/>
          <w:b/>
          <w:bCs/>
        </w:rPr>
        <w:t>Seaborn</w:t>
      </w:r>
      <w:r w:rsidRPr="007B487B">
        <w:rPr>
          <w:rFonts w:ascii="Calibri" w:hAnsi="Calibri" w:cs="Calibri"/>
        </w:rPr>
        <w:t xml:space="preserve"> and </w:t>
      </w:r>
      <w:r w:rsidRPr="007B487B">
        <w:rPr>
          <w:rFonts w:ascii="Calibri" w:hAnsi="Calibri" w:cs="Calibri"/>
          <w:b/>
          <w:bCs/>
        </w:rPr>
        <w:t>Matplotlib</w:t>
      </w:r>
      <w:r w:rsidRPr="007B487B">
        <w:rPr>
          <w:rFonts w:ascii="Calibri" w:hAnsi="Calibri" w:cs="Calibri"/>
        </w:rPr>
        <w:t>. Each chart was designed to be stakeholder</w:t>
      </w:r>
      <w:r w:rsidRPr="007B487B">
        <w:rPr>
          <w:rFonts w:ascii="Calibri" w:hAnsi="Calibri" w:cs="Calibri"/>
        </w:rPr>
        <w:noBreakHyphen/>
        <w:t>friendly: churn rates were displayed as whole</w:t>
      </w:r>
      <w:r w:rsidRPr="007B487B">
        <w:rPr>
          <w:rFonts w:ascii="Calibri" w:hAnsi="Calibri" w:cs="Calibri"/>
        </w:rPr>
        <w:noBreakHyphen/>
        <w:t>number percentages, labels were added above bars for clarity, and redundant legends were removed to avoid clutter. Figures were saved directly from the notebook to ensure reproducibility and easy integration into the research report.</w:t>
      </w:r>
    </w:p>
    <w:p w14:paraId="71A81721" w14:textId="25FDB593" w:rsidR="00DA4065" w:rsidRPr="007B487B" w:rsidRDefault="00DA4065" w:rsidP="001902E1">
      <w:pPr>
        <w:pStyle w:val="ListParagraph"/>
        <w:numPr>
          <w:ilvl w:val="0"/>
          <w:numId w:val="31"/>
        </w:numPr>
        <w:jc w:val="both"/>
        <w:rPr>
          <w:rFonts w:ascii="Calibri" w:hAnsi="Calibri" w:cs="Calibri"/>
          <w:b/>
          <w:bCs/>
          <w:sz w:val="28"/>
          <w:szCs w:val="28"/>
        </w:rPr>
      </w:pPr>
      <w:r w:rsidRPr="007B487B">
        <w:rPr>
          <w:rFonts w:ascii="Calibri" w:hAnsi="Calibri" w:cs="Calibri"/>
          <w:b/>
          <w:bCs/>
          <w:sz w:val="28"/>
          <w:szCs w:val="28"/>
        </w:rPr>
        <w:t>Results</w:t>
      </w:r>
      <w:r w:rsidR="00C54475" w:rsidRPr="007B487B">
        <w:rPr>
          <w:rFonts w:ascii="Calibri" w:hAnsi="Calibri" w:cs="Calibri"/>
          <w:b/>
          <w:bCs/>
          <w:sz w:val="28"/>
          <w:szCs w:val="28"/>
        </w:rPr>
        <w:t xml:space="preserve"> (Exploratory Data Analysis)</w:t>
      </w:r>
    </w:p>
    <w:p w14:paraId="588C4ADE" w14:textId="72053879" w:rsidR="00DA4065" w:rsidRPr="007B487B" w:rsidRDefault="00C54475" w:rsidP="00C54475">
      <w:pPr>
        <w:ind w:firstLine="360"/>
        <w:jc w:val="both"/>
        <w:rPr>
          <w:rFonts w:ascii="Calibri" w:hAnsi="Calibri" w:cs="Calibri"/>
          <w:b/>
          <w:bCs/>
        </w:rPr>
      </w:pPr>
      <w:r w:rsidRPr="007B487B">
        <w:rPr>
          <w:rFonts w:ascii="Calibri" w:hAnsi="Calibri" w:cs="Calibri"/>
          <w:b/>
          <w:bCs/>
        </w:rPr>
        <w:t xml:space="preserve">3.1 </w:t>
      </w:r>
      <w:r w:rsidR="005A5843" w:rsidRPr="007B487B">
        <w:rPr>
          <w:rFonts w:ascii="Calibri" w:hAnsi="Calibri" w:cs="Calibri"/>
          <w:b/>
          <w:bCs/>
        </w:rPr>
        <w:t>Product Depth vs Churn</w:t>
      </w:r>
    </w:p>
    <w:p w14:paraId="3E35D7EE" w14:textId="7C289411" w:rsidR="007657F4" w:rsidRPr="007B487B" w:rsidRDefault="001902E1" w:rsidP="007657F4">
      <w:pPr>
        <w:ind w:firstLine="360"/>
        <w:jc w:val="center"/>
        <w:rPr>
          <w:rFonts w:ascii="Calibri" w:hAnsi="Calibri" w:cs="Calibri"/>
          <w:b/>
          <w:bCs/>
        </w:rPr>
      </w:pPr>
      <w:r w:rsidRPr="007B487B">
        <w:rPr>
          <w:rFonts w:ascii="Calibri" w:hAnsi="Calibri" w:cs="Calibri"/>
          <w:noProof/>
        </w:rPr>
        <w:lastRenderedPageBreak/>
        <w:drawing>
          <wp:inline distT="0" distB="0" distL="0" distR="0" wp14:anchorId="0CDD98A2" wp14:editId="72E740AC">
            <wp:extent cx="5356860" cy="4160520"/>
            <wp:effectExtent l="0" t="0" r="0" b="0"/>
            <wp:docPr id="1425412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6860" cy="4160520"/>
                    </a:xfrm>
                    <a:prstGeom prst="rect">
                      <a:avLst/>
                    </a:prstGeom>
                    <a:noFill/>
                    <a:ln>
                      <a:noFill/>
                    </a:ln>
                  </pic:spPr>
                </pic:pic>
              </a:graphicData>
            </a:graphic>
          </wp:inline>
        </w:drawing>
      </w:r>
    </w:p>
    <w:p w14:paraId="4A96AF81" w14:textId="77777777" w:rsidR="007657F4" w:rsidRPr="00AC0457" w:rsidRDefault="007657F4" w:rsidP="007657F4">
      <w:pPr>
        <w:jc w:val="both"/>
        <w:rPr>
          <w:rFonts w:ascii="Calibri" w:hAnsi="Calibri" w:cs="Calibri"/>
          <w:i/>
          <w:iCs/>
        </w:rPr>
      </w:pPr>
      <w:r w:rsidRPr="000636FA">
        <w:rPr>
          <w:rFonts w:ascii="Calibri" w:hAnsi="Calibri" w:cs="Calibri"/>
          <w:b/>
          <w:bCs/>
        </w:rPr>
        <w:t xml:space="preserve">Figure: Churn Rate – </w:t>
      </w:r>
      <w:r w:rsidRPr="000636FA">
        <w:rPr>
          <w:rFonts w:ascii="Calibri" w:hAnsi="Calibri" w:cs="Calibri"/>
          <w:i/>
          <w:iCs/>
        </w:rPr>
        <w:t>Single vs Multi</w:t>
      </w:r>
      <w:r w:rsidRPr="000636FA">
        <w:rPr>
          <w:rFonts w:ascii="Calibri" w:hAnsi="Calibri" w:cs="Calibri"/>
          <w:i/>
          <w:iCs/>
        </w:rPr>
        <w:noBreakHyphen/>
        <w:t>Product Customers The chart shows churn at 28% for single</w:t>
      </w:r>
      <w:r w:rsidRPr="000636FA">
        <w:rPr>
          <w:rFonts w:ascii="Calibri" w:hAnsi="Calibri" w:cs="Calibri"/>
          <w:i/>
          <w:iCs/>
        </w:rPr>
        <w:noBreakHyphen/>
        <w:t>product holders compared to 13% for multi</w:t>
      </w:r>
      <w:r w:rsidRPr="000636FA">
        <w:rPr>
          <w:rFonts w:ascii="Calibri" w:hAnsi="Calibri" w:cs="Calibri"/>
          <w:i/>
          <w:iCs/>
        </w:rPr>
        <w:noBreakHyphen/>
        <w:t>product holders. This confirms that product bundling reduces churn, as customers with multiple products are more “locked in” to the bank’s ecosystem.</w:t>
      </w:r>
    </w:p>
    <w:p w14:paraId="547E5F06" w14:textId="6ADE253F" w:rsidR="007657F4" w:rsidRPr="000636FA" w:rsidRDefault="001902E1" w:rsidP="001902E1">
      <w:pPr>
        <w:jc w:val="center"/>
        <w:rPr>
          <w:rFonts w:ascii="Calibri" w:hAnsi="Calibri" w:cs="Calibri"/>
          <w:b/>
          <w:bCs/>
        </w:rPr>
      </w:pPr>
      <w:r w:rsidRPr="007B487B">
        <w:rPr>
          <w:rFonts w:ascii="Calibri" w:hAnsi="Calibri" w:cs="Calibri"/>
          <w:noProof/>
        </w:rPr>
        <w:lastRenderedPageBreak/>
        <w:drawing>
          <wp:inline distT="0" distB="0" distL="0" distR="0" wp14:anchorId="0C21A174" wp14:editId="5E72BDC6">
            <wp:extent cx="5341620" cy="4160520"/>
            <wp:effectExtent l="0" t="0" r="0" b="0"/>
            <wp:docPr id="1175979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1620" cy="4160520"/>
                    </a:xfrm>
                    <a:prstGeom prst="rect">
                      <a:avLst/>
                    </a:prstGeom>
                    <a:noFill/>
                    <a:ln>
                      <a:noFill/>
                    </a:ln>
                  </pic:spPr>
                </pic:pic>
              </a:graphicData>
            </a:graphic>
          </wp:inline>
        </w:drawing>
      </w:r>
    </w:p>
    <w:p w14:paraId="11D7D231" w14:textId="77777777" w:rsidR="007657F4" w:rsidRPr="000636FA" w:rsidRDefault="007657F4" w:rsidP="007657F4">
      <w:pPr>
        <w:jc w:val="both"/>
        <w:rPr>
          <w:rFonts w:ascii="Calibri" w:hAnsi="Calibri" w:cs="Calibri"/>
          <w:i/>
          <w:iCs/>
        </w:rPr>
      </w:pPr>
      <w:r w:rsidRPr="000636FA">
        <w:rPr>
          <w:rFonts w:ascii="Calibri" w:hAnsi="Calibri" w:cs="Calibri"/>
          <w:b/>
          <w:bCs/>
        </w:rPr>
        <w:t xml:space="preserve">Figure: </w:t>
      </w:r>
      <w:r w:rsidRPr="000636FA">
        <w:rPr>
          <w:rFonts w:ascii="Calibri" w:hAnsi="Calibri" w:cs="Calibri"/>
          <w:i/>
          <w:iCs/>
        </w:rPr>
        <w:t>Product Depth vs Churn Rate The extended view shows churn dropping to 8% for customers with 2 products, but rising sharply to 83% for 3 products and 100% for 4 products.</w:t>
      </w:r>
    </w:p>
    <w:p w14:paraId="184412C6" w14:textId="3F8EE326" w:rsidR="00C54475" w:rsidRPr="00AC0457" w:rsidRDefault="007657F4" w:rsidP="001902E1">
      <w:pPr>
        <w:jc w:val="both"/>
        <w:rPr>
          <w:rFonts w:ascii="Calibri" w:hAnsi="Calibri" w:cs="Calibri"/>
        </w:rPr>
      </w:pPr>
      <w:r w:rsidRPr="000636FA">
        <w:rPr>
          <w:rFonts w:ascii="Calibri" w:hAnsi="Calibri" w:cs="Calibri"/>
          <w:b/>
          <w:bCs/>
        </w:rPr>
        <w:t xml:space="preserve">Relative Context: </w:t>
      </w:r>
      <w:r w:rsidRPr="000636FA">
        <w:rPr>
          <w:rFonts w:ascii="Calibri" w:hAnsi="Calibri" w:cs="Calibri"/>
        </w:rPr>
        <w:t>While bundling clearly helps at the 2</w:t>
      </w:r>
      <w:r w:rsidRPr="000636FA">
        <w:rPr>
          <w:rFonts w:ascii="Calibri" w:hAnsi="Calibri" w:cs="Calibri"/>
        </w:rPr>
        <w:noBreakHyphen/>
        <w:t>product level, the spike at 3+ products suggests diminishing returns or possibly data anomalies (e.g., very few customers in those categories). In practice, banks should encourage customers to adopt at least two products, but investigate why churn rises among those with 3 or more.</w:t>
      </w:r>
    </w:p>
    <w:p w14:paraId="705FE73C" w14:textId="77777777" w:rsidR="001902E1" w:rsidRPr="007B487B" w:rsidRDefault="001902E1" w:rsidP="001902E1">
      <w:pPr>
        <w:jc w:val="both"/>
        <w:rPr>
          <w:rFonts w:ascii="Calibri" w:hAnsi="Calibri" w:cs="Calibri"/>
          <w:b/>
          <w:bCs/>
        </w:rPr>
      </w:pPr>
    </w:p>
    <w:p w14:paraId="2833C7DB" w14:textId="2DBB614E" w:rsidR="00D15AF7" w:rsidRPr="007B487B" w:rsidRDefault="001902E1" w:rsidP="001902E1">
      <w:pPr>
        <w:pStyle w:val="ListParagraph"/>
        <w:numPr>
          <w:ilvl w:val="1"/>
          <w:numId w:val="31"/>
        </w:numPr>
        <w:spacing w:line="240" w:lineRule="auto"/>
        <w:jc w:val="both"/>
        <w:rPr>
          <w:rFonts w:ascii="Calibri" w:hAnsi="Calibri" w:cs="Calibri"/>
        </w:rPr>
      </w:pPr>
      <w:r w:rsidRPr="007B487B">
        <w:rPr>
          <w:rFonts w:ascii="Calibri" w:hAnsi="Calibri" w:cs="Calibri"/>
          <w:b/>
          <w:bCs/>
        </w:rPr>
        <w:t>Engagement Profiles</w:t>
      </w:r>
    </w:p>
    <w:p w14:paraId="339BD40B" w14:textId="5DA09E88" w:rsidR="001902E1" w:rsidRPr="007B487B" w:rsidRDefault="001902E1" w:rsidP="001902E1">
      <w:pPr>
        <w:jc w:val="center"/>
        <w:rPr>
          <w:rFonts w:ascii="Calibri" w:hAnsi="Calibri" w:cs="Calibri"/>
          <w:b/>
          <w:bCs/>
        </w:rPr>
      </w:pPr>
      <w:r w:rsidRPr="007B487B">
        <w:rPr>
          <w:rFonts w:ascii="Calibri" w:hAnsi="Calibri" w:cs="Calibri"/>
          <w:noProof/>
        </w:rPr>
        <w:lastRenderedPageBreak/>
        <w:drawing>
          <wp:inline distT="0" distB="0" distL="0" distR="0" wp14:anchorId="0DA67001" wp14:editId="155AFB98">
            <wp:extent cx="5257800" cy="4442460"/>
            <wp:effectExtent l="0" t="0" r="0" b="0"/>
            <wp:docPr id="1004299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4442460"/>
                    </a:xfrm>
                    <a:prstGeom prst="rect">
                      <a:avLst/>
                    </a:prstGeom>
                    <a:noFill/>
                    <a:ln>
                      <a:noFill/>
                    </a:ln>
                  </pic:spPr>
                </pic:pic>
              </a:graphicData>
            </a:graphic>
          </wp:inline>
        </w:drawing>
      </w:r>
    </w:p>
    <w:p w14:paraId="55D7896E" w14:textId="2FA3A273" w:rsidR="001902E1" w:rsidRPr="00AC0457" w:rsidRDefault="001902E1" w:rsidP="001902E1">
      <w:pPr>
        <w:jc w:val="both"/>
        <w:rPr>
          <w:rFonts w:ascii="Calibri" w:hAnsi="Calibri" w:cs="Calibri"/>
          <w:i/>
          <w:iCs/>
        </w:rPr>
      </w:pPr>
      <w:r w:rsidRPr="007B487B">
        <w:rPr>
          <w:rFonts w:ascii="Calibri" w:hAnsi="Calibri" w:cs="Calibri"/>
          <w:b/>
          <w:bCs/>
        </w:rPr>
        <w:t xml:space="preserve">Figure: </w:t>
      </w:r>
      <w:r w:rsidRPr="00AC0457">
        <w:rPr>
          <w:rFonts w:ascii="Calibri" w:hAnsi="Calibri" w:cs="Calibri"/>
          <w:i/>
          <w:iCs/>
        </w:rPr>
        <w:t>Churn Stability Across Engagement Profiles Active engaged customers churned at 9.7%, while inactive high</w:t>
      </w:r>
      <w:r w:rsidRPr="00AC0457">
        <w:rPr>
          <w:rFonts w:ascii="Calibri" w:hAnsi="Calibri" w:cs="Calibri"/>
          <w:i/>
          <w:iCs/>
        </w:rPr>
        <w:noBreakHyphen/>
        <w:t>balance customers churned at 31.4%. Active low</w:t>
      </w:r>
      <w:r w:rsidRPr="00AC0457">
        <w:rPr>
          <w:rFonts w:ascii="Calibri" w:hAnsi="Calibri" w:cs="Calibri"/>
          <w:i/>
          <w:iCs/>
        </w:rPr>
        <w:noBreakHyphen/>
        <w:t>product customers churned at 18.9%, and “Other” profiles at 19%.</w:t>
      </w:r>
    </w:p>
    <w:p w14:paraId="4EE2D469" w14:textId="2A36E5DB" w:rsidR="00154D8D" w:rsidRPr="00AC0457" w:rsidRDefault="001902E1" w:rsidP="001902E1">
      <w:pPr>
        <w:jc w:val="both"/>
        <w:rPr>
          <w:rFonts w:ascii="Calibri" w:hAnsi="Calibri" w:cs="Calibri"/>
        </w:rPr>
      </w:pPr>
      <w:r w:rsidRPr="007B487B">
        <w:rPr>
          <w:rFonts w:ascii="Calibri" w:hAnsi="Calibri" w:cs="Calibri"/>
          <w:b/>
          <w:bCs/>
        </w:rPr>
        <w:t xml:space="preserve">Relative Context: </w:t>
      </w:r>
      <w:r w:rsidRPr="00AC0457">
        <w:rPr>
          <w:rFonts w:ascii="Calibri" w:hAnsi="Calibri" w:cs="Calibri"/>
        </w:rPr>
        <w:t>This highlights that engagement is the strongest predictor of loyalty. Even wealthy customers churn if disengaged, while active customers — even with fewer products — remain more stable. Banks should prioritize engagement campaigns over purely financial segmentation.</w:t>
      </w:r>
    </w:p>
    <w:p w14:paraId="446BFE56" w14:textId="77777777" w:rsidR="001902E1" w:rsidRPr="007B487B" w:rsidRDefault="001902E1" w:rsidP="001902E1">
      <w:pPr>
        <w:jc w:val="both"/>
        <w:rPr>
          <w:rFonts w:ascii="Calibri" w:hAnsi="Calibri" w:cs="Calibri"/>
          <w:b/>
          <w:bCs/>
        </w:rPr>
      </w:pPr>
    </w:p>
    <w:p w14:paraId="4E739909" w14:textId="5634F1D0" w:rsidR="00D15AF7" w:rsidRPr="007B487B" w:rsidRDefault="001902E1" w:rsidP="007B487B">
      <w:pPr>
        <w:pStyle w:val="ListParagraph"/>
        <w:numPr>
          <w:ilvl w:val="1"/>
          <w:numId w:val="31"/>
        </w:numPr>
        <w:spacing w:line="240" w:lineRule="auto"/>
        <w:jc w:val="both"/>
        <w:rPr>
          <w:rFonts w:ascii="Calibri" w:hAnsi="Calibri" w:cs="Calibri"/>
          <w:b/>
          <w:bCs/>
        </w:rPr>
      </w:pPr>
      <w:r w:rsidRPr="000636FA">
        <w:rPr>
          <w:rFonts w:ascii="Calibri" w:hAnsi="Calibri" w:cs="Calibri"/>
          <w:b/>
          <w:bCs/>
        </w:rPr>
        <w:t>At</w:t>
      </w:r>
      <w:r w:rsidRPr="000636FA">
        <w:rPr>
          <w:rFonts w:ascii="Calibri" w:hAnsi="Calibri" w:cs="Calibri"/>
          <w:b/>
          <w:bCs/>
        </w:rPr>
        <w:noBreakHyphen/>
        <w:t>Risk Premium Customers</w:t>
      </w:r>
    </w:p>
    <w:p w14:paraId="670E785B" w14:textId="71EA2F92" w:rsidR="00D15AF7" w:rsidRPr="007B487B" w:rsidRDefault="007B487B" w:rsidP="007B487B">
      <w:pPr>
        <w:spacing w:line="240" w:lineRule="auto"/>
        <w:jc w:val="center"/>
        <w:rPr>
          <w:rFonts w:ascii="Calibri" w:hAnsi="Calibri" w:cs="Calibri"/>
        </w:rPr>
      </w:pPr>
      <w:r w:rsidRPr="007B487B">
        <w:rPr>
          <w:rFonts w:ascii="Calibri" w:hAnsi="Calibri" w:cs="Calibri"/>
          <w:noProof/>
        </w:rPr>
        <w:lastRenderedPageBreak/>
        <w:drawing>
          <wp:inline distT="0" distB="0" distL="0" distR="0" wp14:anchorId="5318AC8A" wp14:editId="5B8229C3">
            <wp:extent cx="5257800" cy="4137660"/>
            <wp:effectExtent l="0" t="0" r="0" b="0"/>
            <wp:docPr id="2090673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7800" cy="4137660"/>
                    </a:xfrm>
                    <a:prstGeom prst="rect">
                      <a:avLst/>
                    </a:prstGeom>
                    <a:noFill/>
                    <a:ln>
                      <a:noFill/>
                    </a:ln>
                  </pic:spPr>
                </pic:pic>
              </a:graphicData>
            </a:graphic>
          </wp:inline>
        </w:drawing>
      </w:r>
    </w:p>
    <w:p w14:paraId="5C7E4737" w14:textId="77777777" w:rsidR="001902E1" w:rsidRPr="00AC0457" w:rsidRDefault="001902E1" w:rsidP="007B487B">
      <w:pPr>
        <w:jc w:val="both"/>
        <w:rPr>
          <w:rFonts w:ascii="Calibri" w:hAnsi="Calibri" w:cs="Calibri"/>
          <w:i/>
          <w:iCs/>
        </w:rPr>
      </w:pPr>
      <w:r w:rsidRPr="007B487B">
        <w:rPr>
          <w:rFonts w:ascii="Calibri" w:hAnsi="Calibri" w:cs="Calibri"/>
          <w:b/>
          <w:bCs/>
        </w:rPr>
        <w:t xml:space="preserve">Figure: Churn Rate – </w:t>
      </w:r>
      <w:r w:rsidRPr="00AC0457">
        <w:rPr>
          <w:rFonts w:ascii="Calibri" w:hAnsi="Calibri" w:cs="Calibri"/>
          <w:i/>
          <w:iCs/>
        </w:rPr>
        <w:t>At</w:t>
      </w:r>
      <w:r w:rsidRPr="00AC0457">
        <w:rPr>
          <w:rFonts w:ascii="Calibri" w:hAnsi="Calibri" w:cs="Calibri"/>
          <w:i/>
          <w:iCs/>
        </w:rPr>
        <w:noBreakHyphen/>
        <w:t>Risk Premium vs All Customers All customers churned at 20.4%, while at</w:t>
      </w:r>
      <w:r w:rsidRPr="00AC0457">
        <w:rPr>
          <w:rFonts w:ascii="Calibri" w:hAnsi="Calibri" w:cs="Calibri"/>
          <w:i/>
          <w:iCs/>
        </w:rPr>
        <w:noBreakHyphen/>
        <w:t>risk premium customers churned at 32.8%.</w:t>
      </w:r>
    </w:p>
    <w:p w14:paraId="737EF852" w14:textId="63B4580F" w:rsidR="001902E1" w:rsidRPr="00AC0457" w:rsidRDefault="001902E1" w:rsidP="007B487B">
      <w:pPr>
        <w:jc w:val="both"/>
        <w:rPr>
          <w:rFonts w:ascii="Calibri" w:hAnsi="Calibri" w:cs="Calibri"/>
        </w:rPr>
      </w:pPr>
      <w:r w:rsidRPr="007B487B">
        <w:rPr>
          <w:rFonts w:ascii="Calibri" w:hAnsi="Calibri" w:cs="Calibri"/>
          <w:b/>
          <w:bCs/>
        </w:rPr>
        <w:t xml:space="preserve">Relative Context: </w:t>
      </w:r>
      <w:r w:rsidRPr="00AC0457">
        <w:rPr>
          <w:rFonts w:ascii="Calibri" w:hAnsi="Calibri" w:cs="Calibri"/>
        </w:rPr>
        <w:t xml:space="preserve">This group is financially significant but </w:t>
      </w:r>
      <w:proofErr w:type="spellStart"/>
      <w:r w:rsidRPr="00AC0457">
        <w:rPr>
          <w:rFonts w:ascii="Calibri" w:hAnsi="Calibri" w:cs="Calibri"/>
        </w:rPr>
        <w:t>behaviorally</w:t>
      </w:r>
      <w:proofErr w:type="spellEnd"/>
      <w:r w:rsidRPr="00AC0457">
        <w:rPr>
          <w:rFonts w:ascii="Calibri" w:hAnsi="Calibri" w:cs="Calibri"/>
        </w:rPr>
        <w:t xml:space="preserve"> disengaged. Losing them has disproportionate impact, so targeted retention strategies (personalized outreach, premium services) are essential.</w:t>
      </w:r>
    </w:p>
    <w:p w14:paraId="661464A8" w14:textId="0A31043A" w:rsidR="00D15AF7" w:rsidRPr="007B487B" w:rsidRDefault="007B487B" w:rsidP="007B487B">
      <w:pPr>
        <w:pStyle w:val="ListParagraph"/>
        <w:numPr>
          <w:ilvl w:val="1"/>
          <w:numId w:val="31"/>
        </w:numPr>
        <w:spacing w:line="240" w:lineRule="auto"/>
        <w:jc w:val="both"/>
        <w:rPr>
          <w:rFonts w:ascii="Calibri" w:hAnsi="Calibri" w:cs="Calibri"/>
          <w:b/>
          <w:bCs/>
        </w:rPr>
      </w:pPr>
      <w:r w:rsidRPr="007B487B">
        <w:rPr>
          <w:rFonts w:ascii="Calibri" w:hAnsi="Calibri" w:cs="Calibri"/>
          <w:b/>
          <w:bCs/>
        </w:rPr>
        <w:t xml:space="preserve">    </w:t>
      </w:r>
      <w:r w:rsidRPr="000636FA">
        <w:rPr>
          <w:rFonts w:ascii="Calibri" w:hAnsi="Calibri" w:cs="Calibri"/>
          <w:b/>
          <w:bCs/>
        </w:rPr>
        <w:t>Sticky vs Non</w:t>
      </w:r>
      <w:r w:rsidRPr="000636FA">
        <w:rPr>
          <w:rFonts w:ascii="Calibri" w:hAnsi="Calibri" w:cs="Calibri"/>
          <w:b/>
          <w:bCs/>
        </w:rPr>
        <w:noBreakHyphen/>
        <w:t>Sticky Profiles</w:t>
      </w:r>
    </w:p>
    <w:p w14:paraId="00486B5C" w14:textId="6BCD3BDC" w:rsidR="00D15AF7" w:rsidRPr="007B487B" w:rsidRDefault="007B487B" w:rsidP="007B487B">
      <w:pPr>
        <w:spacing w:line="240" w:lineRule="auto"/>
        <w:jc w:val="center"/>
        <w:rPr>
          <w:rFonts w:ascii="Calibri" w:hAnsi="Calibri" w:cs="Calibri"/>
        </w:rPr>
      </w:pPr>
      <w:r w:rsidRPr="007B487B">
        <w:rPr>
          <w:rFonts w:ascii="Calibri" w:hAnsi="Calibri" w:cs="Calibri"/>
          <w:noProof/>
        </w:rPr>
        <w:lastRenderedPageBreak/>
        <w:drawing>
          <wp:inline distT="0" distB="0" distL="0" distR="0" wp14:anchorId="5F562127" wp14:editId="0B7D285D">
            <wp:extent cx="5257800" cy="4160520"/>
            <wp:effectExtent l="0" t="0" r="0" b="0"/>
            <wp:docPr id="1265547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7800" cy="4160520"/>
                    </a:xfrm>
                    <a:prstGeom prst="rect">
                      <a:avLst/>
                    </a:prstGeom>
                    <a:noFill/>
                    <a:ln>
                      <a:noFill/>
                    </a:ln>
                  </pic:spPr>
                </pic:pic>
              </a:graphicData>
            </a:graphic>
          </wp:inline>
        </w:drawing>
      </w:r>
    </w:p>
    <w:p w14:paraId="532DD223" w14:textId="77777777" w:rsidR="007B487B" w:rsidRPr="000636FA" w:rsidRDefault="007B487B" w:rsidP="007B487B">
      <w:pPr>
        <w:jc w:val="both"/>
        <w:rPr>
          <w:rFonts w:ascii="Calibri" w:hAnsi="Calibri" w:cs="Calibri"/>
          <w:i/>
          <w:iCs/>
        </w:rPr>
      </w:pPr>
      <w:r w:rsidRPr="000636FA">
        <w:rPr>
          <w:rFonts w:ascii="Calibri" w:hAnsi="Calibri" w:cs="Calibri"/>
          <w:b/>
          <w:bCs/>
        </w:rPr>
        <w:t xml:space="preserve">Figure: Churn Rate – </w:t>
      </w:r>
      <w:r w:rsidRPr="000636FA">
        <w:rPr>
          <w:rFonts w:ascii="Calibri" w:hAnsi="Calibri" w:cs="Calibri"/>
          <w:i/>
          <w:iCs/>
        </w:rPr>
        <w:t>Sticky vs Non</w:t>
      </w:r>
      <w:r w:rsidRPr="000636FA">
        <w:rPr>
          <w:rFonts w:ascii="Calibri" w:hAnsi="Calibri" w:cs="Calibri"/>
          <w:i/>
          <w:iCs/>
        </w:rPr>
        <w:noBreakHyphen/>
        <w:t>Sticky Profiles Sticky customers churned at 9.1%, while non</w:t>
      </w:r>
      <w:r w:rsidRPr="000636FA">
        <w:rPr>
          <w:rFonts w:ascii="Calibri" w:hAnsi="Calibri" w:cs="Calibri"/>
          <w:i/>
          <w:iCs/>
        </w:rPr>
        <w:noBreakHyphen/>
        <w:t>sticky profiles churned at 21.3%.</w:t>
      </w:r>
    </w:p>
    <w:p w14:paraId="3AA50893" w14:textId="11D02E4D" w:rsidR="00D15AF7" w:rsidRPr="00AC0457" w:rsidRDefault="007B487B" w:rsidP="007B487B">
      <w:pPr>
        <w:jc w:val="both"/>
        <w:rPr>
          <w:rFonts w:ascii="Calibri" w:hAnsi="Calibri" w:cs="Calibri"/>
        </w:rPr>
      </w:pPr>
      <w:r w:rsidRPr="000636FA">
        <w:rPr>
          <w:rFonts w:ascii="Calibri" w:hAnsi="Calibri" w:cs="Calibri"/>
          <w:b/>
          <w:bCs/>
        </w:rPr>
        <w:t xml:space="preserve">Relative Context: </w:t>
      </w:r>
      <w:r w:rsidRPr="000636FA">
        <w:rPr>
          <w:rFonts w:ascii="Calibri" w:hAnsi="Calibri" w:cs="Calibri"/>
        </w:rPr>
        <w:t>Sticky customers represent the ideal retention profile — engaged, multi</w:t>
      </w:r>
      <w:r w:rsidRPr="000636FA">
        <w:rPr>
          <w:rFonts w:ascii="Calibri" w:hAnsi="Calibri" w:cs="Calibri"/>
        </w:rPr>
        <w:noBreakHyphen/>
        <w:t>product, financially stable, and longer</w:t>
      </w:r>
      <w:r w:rsidRPr="000636FA">
        <w:rPr>
          <w:rFonts w:ascii="Calibri" w:hAnsi="Calibri" w:cs="Calibri"/>
        </w:rPr>
        <w:noBreakHyphen/>
        <w:t>tenured. Identifying and nurturing these profiles can help banks build a loyal base, while non</w:t>
      </w:r>
      <w:r w:rsidRPr="000636FA">
        <w:rPr>
          <w:rFonts w:ascii="Calibri" w:hAnsi="Calibri" w:cs="Calibri"/>
        </w:rPr>
        <w:noBreakHyphen/>
        <w:t>sticky customers highlight where interventions are most needed.</w:t>
      </w:r>
    </w:p>
    <w:p w14:paraId="0C981220" w14:textId="77777777" w:rsidR="007B487B" w:rsidRPr="007B487B" w:rsidRDefault="007B487B" w:rsidP="007B487B">
      <w:pPr>
        <w:jc w:val="both"/>
        <w:rPr>
          <w:rFonts w:ascii="Calibri" w:hAnsi="Calibri" w:cs="Calibri"/>
          <w:b/>
          <w:bCs/>
        </w:rPr>
      </w:pPr>
    </w:p>
    <w:p w14:paraId="34C8E5C6" w14:textId="0A6A19FB" w:rsidR="00D15AF7" w:rsidRPr="007B487B" w:rsidRDefault="007B487B" w:rsidP="007B487B">
      <w:pPr>
        <w:pStyle w:val="ListParagraph"/>
        <w:numPr>
          <w:ilvl w:val="1"/>
          <w:numId w:val="31"/>
        </w:numPr>
        <w:rPr>
          <w:rFonts w:ascii="Calibri" w:hAnsi="Calibri" w:cs="Calibri"/>
          <w:b/>
          <w:bCs/>
        </w:rPr>
      </w:pPr>
      <w:r w:rsidRPr="007B487B">
        <w:rPr>
          <w:rFonts w:ascii="Calibri" w:hAnsi="Calibri" w:cs="Calibri"/>
          <w:b/>
          <w:bCs/>
        </w:rPr>
        <w:t xml:space="preserve">    </w:t>
      </w:r>
      <w:r w:rsidRPr="007B487B">
        <w:rPr>
          <w:rFonts w:ascii="Calibri" w:hAnsi="Calibri" w:cs="Calibri"/>
          <w:b/>
          <w:bCs/>
        </w:rPr>
        <w:t>Engagement Thresholds</w:t>
      </w:r>
    </w:p>
    <w:p w14:paraId="619E3501" w14:textId="7D529F73" w:rsidR="007B487B" w:rsidRPr="007B487B" w:rsidRDefault="007B487B" w:rsidP="007B487B">
      <w:pPr>
        <w:spacing w:line="240" w:lineRule="auto"/>
        <w:jc w:val="center"/>
        <w:rPr>
          <w:rFonts w:ascii="Calibri" w:hAnsi="Calibri" w:cs="Calibri"/>
        </w:rPr>
      </w:pPr>
      <w:r>
        <w:rPr>
          <w:noProof/>
        </w:rPr>
        <w:lastRenderedPageBreak/>
        <w:drawing>
          <wp:inline distT="0" distB="0" distL="0" distR="0" wp14:anchorId="2CD2EE5A" wp14:editId="6ABDB95E">
            <wp:extent cx="5257800" cy="4297680"/>
            <wp:effectExtent l="0" t="0" r="0" b="7620"/>
            <wp:docPr id="903888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4297680"/>
                    </a:xfrm>
                    <a:prstGeom prst="rect">
                      <a:avLst/>
                    </a:prstGeom>
                    <a:noFill/>
                    <a:ln>
                      <a:noFill/>
                    </a:ln>
                  </pic:spPr>
                </pic:pic>
              </a:graphicData>
            </a:graphic>
          </wp:inline>
        </w:drawing>
      </w:r>
    </w:p>
    <w:p w14:paraId="0182EC59" w14:textId="77777777" w:rsidR="007B487B" w:rsidRPr="000636FA" w:rsidRDefault="007B487B" w:rsidP="007B487B">
      <w:pPr>
        <w:rPr>
          <w:rFonts w:ascii="Calibri" w:hAnsi="Calibri" w:cs="Calibri"/>
          <w:b/>
          <w:bCs/>
        </w:rPr>
      </w:pPr>
      <w:r w:rsidRPr="000636FA">
        <w:rPr>
          <w:rFonts w:ascii="Calibri" w:hAnsi="Calibri" w:cs="Calibri"/>
          <w:b/>
          <w:bCs/>
        </w:rPr>
        <w:t>Figure: Churn Rate by Engagement Thresholds</w:t>
      </w:r>
    </w:p>
    <w:p w14:paraId="16B1BE78" w14:textId="77777777" w:rsidR="007B487B" w:rsidRPr="000636FA" w:rsidRDefault="007B487B" w:rsidP="007B487B">
      <w:pPr>
        <w:numPr>
          <w:ilvl w:val="0"/>
          <w:numId w:val="33"/>
        </w:numPr>
        <w:rPr>
          <w:rFonts w:ascii="Calibri" w:hAnsi="Calibri" w:cs="Calibri"/>
          <w:b/>
          <w:bCs/>
        </w:rPr>
      </w:pPr>
      <w:proofErr w:type="spellStart"/>
      <w:r w:rsidRPr="000636FA">
        <w:rPr>
          <w:rFonts w:ascii="Calibri" w:hAnsi="Calibri" w:cs="Calibri"/>
          <w:b/>
          <w:bCs/>
        </w:rPr>
        <w:t>ProductCount</w:t>
      </w:r>
      <w:proofErr w:type="spellEnd"/>
      <w:r w:rsidRPr="000636FA">
        <w:rPr>
          <w:rFonts w:ascii="Calibri" w:hAnsi="Calibri" w:cs="Calibri"/>
          <w:b/>
          <w:bCs/>
        </w:rPr>
        <w:t xml:space="preserve"> ≥ 2 → </w:t>
      </w:r>
      <w:r w:rsidRPr="000636FA">
        <w:rPr>
          <w:rFonts w:ascii="Calibri" w:hAnsi="Calibri" w:cs="Calibri"/>
        </w:rPr>
        <w:t>12.8%</w:t>
      </w:r>
      <w:r w:rsidRPr="000636FA">
        <w:rPr>
          <w:rFonts w:ascii="Calibri" w:hAnsi="Calibri" w:cs="Calibri"/>
          <w:b/>
          <w:bCs/>
        </w:rPr>
        <w:t xml:space="preserve"> churn</w:t>
      </w:r>
    </w:p>
    <w:p w14:paraId="3BE4B48C" w14:textId="77777777" w:rsidR="007B487B" w:rsidRPr="000636FA" w:rsidRDefault="007B487B" w:rsidP="007B487B">
      <w:pPr>
        <w:numPr>
          <w:ilvl w:val="0"/>
          <w:numId w:val="33"/>
        </w:numPr>
        <w:rPr>
          <w:rFonts w:ascii="Calibri" w:hAnsi="Calibri" w:cs="Calibri"/>
          <w:b/>
          <w:bCs/>
        </w:rPr>
      </w:pPr>
      <w:r w:rsidRPr="000636FA">
        <w:rPr>
          <w:rFonts w:ascii="Calibri" w:hAnsi="Calibri" w:cs="Calibri"/>
          <w:b/>
          <w:bCs/>
        </w:rPr>
        <w:t xml:space="preserve">Balance ≥ 100,000 → </w:t>
      </w:r>
      <w:r w:rsidRPr="000636FA">
        <w:rPr>
          <w:rFonts w:ascii="Calibri" w:hAnsi="Calibri" w:cs="Calibri"/>
        </w:rPr>
        <w:t>25.2%</w:t>
      </w:r>
      <w:r w:rsidRPr="000636FA">
        <w:rPr>
          <w:rFonts w:ascii="Calibri" w:hAnsi="Calibri" w:cs="Calibri"/>
          <w:b/>
          <w:bCs/>
        </w:rPr>
        <w:t xml:space="preserve"> churn</w:t>
      </w:r>
    </w:p>
    <w:p w14:paraId="4FEF319E" w14:textId="77777777" w:rsidR="007B487B" w:rsidRPr="000636FA" w:rsidRDefault="007B487B" w:rsidP="007B487B">
      <w:pPr>
        <w:numPr>
          <w:ilvl w:val="0"/>
          <w:numId w:val="33"/>
        </w:numPr>
        <w:rPr>
          <w:rFonts w:ascii="Calibri" w:hAnsi="Calibri" w:cs="Calibri"/>
          <w:b/>
          <w:bCs/>
        </w:rPr>
      </w:pPr>
      <w:r w:rsidRPr="000636FA">
        <w:rPr>
          <w:rFonts w:ascii="Calibri" w:hAnsi="Calibri" w:cs="Calibri"/>
          <w:b/>
          <w:bCs/>
        </w:rPr>
        <w:t xml:space="preserve">Active Members → </w:t>
      </w:r>
      <w:r w:rsidRPr="000636FA">
        <w:rPr>
          <w:rFonts w:ascii="Calibri" w:hAnsi="Calibri" w:cs="Calibri"/>
        </w:rPr>
        <w:t>14.3%</w:t>
      </w:r>
      <w:r w:rsidRPr="000636FA">
        <w:rPr>
          <w:rFonts w:ascii="Calibri" w:hAnsi="Calibri" w:cs="Calibri"/>
          <w:b/>
          <w:bCs/>
        </w:rPr>
        <w:t xml:space="preserve"> churn</w:t>
      </w:r>
    </w:p>
    <w:p w14:paraId="264F58F6" w14:textId="77777777" w:rsidR="007B487B" w:rsidRPr="000636FA" w:rsidRDefault="007B487B" w:rsidP="007B487B">
      <w:pPr>
        <w:numPr>
          <w:ilvl w:val="0"/>
          <w:numId w:val="33"/>
        </w:numPr>
        <w:rPr>
          <w:rFonts w:ascii="Calibri" w:hAnsi="Calibri" w:cs="Calibri"/>
          <w:b/>
          <w:bCs/>
        </w:rPr>
      </w:pPr>
      <w:r w:rsidRPr="000636FA">
        <w:rPr>
          <w:rFonts w:ascii="Calibri" w:hAnsi="Calibri" w:cs="Calibri"/>
          <w:b/>
          <w:bCs/>
        </w:rPr>
        <w:t xml:space="preserve">Inactive Members → </w:t>
      </w:r>
      <w:r w:rsidRPr="000636FA">
        <w:rPr>
          <w:rFonts w:ascii="Calibri" w:hAnsi="Calibri" w:cs="Calibri"/>
        </w:rPr>
        <w:t>26.9%</w:t>
      </w:r>
      <w:r w:rsidRPr="000636FA">
        <w:rPr>
          <w:rFonts w:ascii="Calibri" w:hAnsi="Calibri" w:cs="Calibri"/>
          <w:b/>
          <w:bCs/>
        </w:rPr>
        <w:t xml:space="preserve"> churn</w:t>
      </w:r>
    </w:p>
    <w:p w14:paraId="4D1491AF" w14:textId="77777777" w:rsidR="007B487B" w:rsidRPr="000636FA" w:rsidRDefault="007B487B" w:rsidP="007B487B">
      <w:pPr>
        <w:jc w:val="both"/>
        <w:rPr>
          <w:rFonts w:ascii="Calibri" w:hAnsi="Calibri" w:cs="Calibri"/>
        </w:rPr>
      </w:pPr>
      <w:r w:rsidRPr="000636FA">
        <w:rPr>
          <w:rFonts w:ascii="Calibri" w:hAnsi="Calibri" w:cs="Calibri"/>
          <w:b/>
          <w:bCs/>
        </w:rPr>
        <w:t xml:space="preserve">Relative Context: </w:t>
      </w:r>
      <w:r w:rsidRPr="000636FA">
        <w:rPr>
          <w:rFonts w:ascii="Calibri" w:hAnsi="Calibri" w:cs="Calibri"/>
        </w:rPr>
        <w:t>These thresholds act as practical benchmarks. Customers with ≥2 products or active status are relatively safe, while inactive or high</w:t>
      </w:r>
      <w:r w:rsidRPr="000636FA">
        <w:rPr>
          <w:rFonts w:ascii="Calibri" w:hAnsi="Calibri" w:cs="Calibri"/>
        </w:rPr>
        <w:noBreakHyphen/>
        <w:t>balance customers are at risk. Banks can use these thresholds to flag customers for proactive engagement before churn becomes inevitable.</w:t>
      </w:r>
    </w:p>
    <w:p w14:paraId="0032D617" w14:textId="04AC03C9" w:rsidR="006A0F22" w:rsidRPr="007B487B" w:rsidRDefault="00AC0457" w:rsidP="00AC0457">
      <w:pPr>
        <w:pStyle w:val="NormalWeb"/>
        <w:numPr>
          <w:ilvl w:val="1"/>
          <w:numId w:val="31"/>
        </w:numPr>
        <w:rPr>
          <w:rFonts w:ascii="Calibri" w:hAnsi="Calibri" w:cs="Calibri"/>
        </w:rPr>
      </w:pPr>
      <w:r>
        <w:rPr>
          <w:rFonts w:ascii="Calibri" w:hAnsi="Calibri" w:cs="Calibri"/>
          <w:b/>
          <w:bCs/>
        </w:rPr>
        <w:t xml:space="preserve">   </w:t>
      </w:r>
      <w:r w:rsidR="006A0F22" w:rsidRPr="007B487B">
        <w:rPr>
          <w:rFonts w:ascii="Calibri" w:hAnsi="Calibri" w:cs="Calibri"/>
          <w:b/>
          <w:bCs/>
        </w:rPr>
        <w:t>Visualization Tools</w:t>
      </w:r>
    </w:p>
    <w:p w14:paraId="394BDCB7" w14:textId="77777777" w:rsidR="006A0F22" w:rsidRPr="007B487B" w:rsidRDefault="006A0F22" w:rsidP="00AC0457">
      <w:pPr>
        <w:pStyle w:val="NormalWeb"/>
        <w:numPr>
          <w:ilvl w:val="0"/>
          <w:numId w:val="35"/>
        </w:numPr>
        <w:spacing w:after="120" w:afterAutospacing="0"/>
        <w:ind w:left="714" w:hanging="357"/>
        <w:rPr>
          <w:rFonts w:ascii="Calibri" w:hAnsi="Calibri" w:cs="Calibri"/>
        </w:rPr>
      </w:pPr>
      <w:r w:rsidRPr="007B487B">
        <w:rPr>
          <w:rFonts w:ascii="Calibri" w:hAnsi="Calibri" w:cs="Calibri"/>
          <w:b/>
          <w:bCs/>
        </w:rPr>
        <w:t>Matplotlib</w:t>
      </w:r>
      <w:r w:rsidRPr="007B487B">
        <w:rPr>
          <w:rFonts w:ascii="Calibri" w:hAnsi="Calibri" w:cs="Calibri"/>
        </w:rPr>
        <w:t>: Used for pie charts and static plots.</w:t>
      </w:r>
    </w:p>
    <w:p w14:paraId="2E5F2057" w14:textId="77777777" w:rsidR="006A0F22" w:rsidRPr="007B487B" w:rsidRDefault="006A0F22" w:rsidP="00AC0457">
      <w:pPr>
        <w:pStyle w:val="NormalWeb"/>
        <w:numPr>
          <w:ilvl w:val="0"/>
          <w:numId w:val="35"/>
        </w:numPr>
        <w:spacing w:after="120" w:afterAutospacing="0"/>
        <w:ind w:left="714" w:hanging="357"/>
        <w:rPr>
          <w:rFonts w:ascii="Calibri" w:hAnsi="Calibri" w:cs="Calibri"/>
        </w:rPr>
      </w:pPr>
      <w:r w:rsidRPr="007B487B">
        <w:rPr>
          <w:rFonts w:ascii="Calibri" w:hAnsi="Calibri" w:cs="Calibri"/>
          <w:b/>
          <w:bCs/>
        </w:rPr>
        <w:t>Seaborn</w:t>
      </w:r>
      <w:r w:rsidRPr="007B487B">
        <w:rPr>
          <w:rFonts w:ascii="Calibri" w:hAnsi="Calibri" w:cs="Calibri"/>
        </w:rPr>
        <w:t xml:space="preserve">: Used for enhanced bar charts with </w:t>
      </w:r>
      <w:proofErr w:type="spellStart"/>
      <w:r w:rsidRPr="007B487B">
        <w:rPr>
          <w:rFonts w:ascii="Calibri" w:hAnsi="Calibri" w:cs="Calibri"/>
        </w:rPr>
        <w:t>color</w:t>
      </w:r>
      <w:proofErr w:type="spellEnd"/>
      <w:r w:rsidRPr="007B487B">
        <w:rPr>
          <w:rFonts w:ascii="Calibri" w:hAnsi="Calibri" w:cs="Calibri"/>
        </w:rPr>
        <w:t xml:space="preserve"> palettes and gridlines, improving interpretability.</w:t>
      </w:r>
    </w:p>
    <w:p w14:paraId="126872E3" w14:textId="77777777" w:rsidR="006A0F22" w:rsidRDefault="006A0F22" w:rsidP="006A0F22">
      <w:pPr>
        <w:pStyle w:val="NormalWeb"/>
        <w:ind w:left="720"/>
        <w:rPr>
          <w:rFonts w:ascii="Calibri" w:hAnsi="Calibri" w:cs="Calibri"/>
        </w:rPr>
      </w:pPr>
      <w:r w:rsidRPr="007B487B">
        <w:rPr>
          <w:rFonts w:ascii="Calibri" w:hAnsi="Calibri" w:cs="Calibri"/>
        </w:rPr>
        <w:t>All figures were saved as PNGs for integration into the research paper.</w:t>
      </w:r>
    </w:p>
    <w:p w14:paraId="1B289291" w14:textId="09985648" w:rsidR="00DA4065" w:rsidRPr="00AC0457" w:rsidRDefault="00DA4065" w:rsidP="001902E1">
      <w:pPr>
        <w:pStyle w:val="ListParagraph"/>
        <w:numPr>
          <w:ilvl w:val="0"/>
          <w:numId w:val="31"/>
        </w:numPr>
        <w:jc w:val="both"/>
        <w:rPr>
          <w:rFonts w:ascii="Calibri" w:hAnsi="Calibri" w:cs="Calibri"/>
          <w:b/>
          <w:bCs/>
          <w:sz w:val="28"/>
          <w:szCs w:val="28"/>
        </w:rPr>
      </w:pPr>
      <w:r w:rsidRPr="00AC0457">
        <w:rPr>
          <w:rFonts w:ascii="Calibri" w:hAnsi="Calibri" w:cs="Calibri"/>
          <w:b/>
          <w:bCs/>
          <w:sz w:val="28"/>
          <w:szCs w:val="28"/>
        </w:rPr>
        <w:t>My Analysis</w:t>
      </w:r>
    </w:p>
    <w:p w14:paraId="20141E36" w14:textId="77777777" w:rsidR="00AC0457" w:rsidRPr="00AC0457" w:rsidRDefault="00AC0457" w:rsidP="00AC0457">
      <w:pPr>
        <w:jc w:val="both"/>
        <w:rPr>
          <w:rFonts w:ascii="Calibri" w:hAnsi="Calibri" w:cs="Calibri"/>
        </w:rPr>
      </w:pPr>
      <w:r w:rsidRPr="00AC0457">
        <w:rPr>
          <w:rFonts w:ascii="Calibri" w:hAnsi="Calibri" w:cs="Calibri"/>
        </w:rPr>
        <w:lastRenderedPageBreak/>
        <w:t xml:space="preserve">During this project execution, I found out that customer retention is shaped more by </w:t>
      </w:r>
      <w:r w:rsidRPr="00AC0457">
        <w:rPr>
          <w:rFonts w:ascii="Calibri" w:hAnsi="Calibri" w:cs="Calibri"/>
          <w:b/>
          <w:bCs/>
        </w:rPr>
        <w:t>engagement and relationship strength</w:t>
      </w:r>
      <w:r w:rsidRPr="00AC0457">
        <w:rPr>
          <w:rFonts w:ascii="Calibri" w:hAnsi="Calibri" w:cs="Calibri"/>
        </w:rPr>
        <w:t xml:space="preserve"> than by financial value alone. The figures and charts consistently showed that:</w:t>
      </w:r>
    </w:p>
    <w:p w14:paraId="3ED7BF1B" w14:textId="77777777" w:rsidR="00AC0457" w:rsidRPr="00AC0457" w:rsidRDefault="00AC0457" w:rsidP="00AC0457">
      <w:pPr>
        <w:numPr>
          <w:ilvl w:val="0"/>
          <w:numId w:val="34"/>
        </w:numPr>
        <w:jc w:val="both"/>
        <w:rPr>
          <w:rFonts w:ascii="Calibri" w:hAnsi="Calibri" w:cs="Calibri"/>
        </w:rPr>
      </w:pPr>
      <w:r w:rsidRPr="00AC0457">
        <w:rPr>
          <w:rFonts w:ascii="Calibri" w:hAnsi="Calibri" w:cs="Calibri"/>
          <w:b/>
          <w:bCs/>
        </w:rPr>
        <w:t>Product depth matters:</w:t>
      </w:r>
      <w:r w:rsidRPr="00AC0457">
        <w:rPr>
          <w:rFonts w:ascii="Calibri" w:hAnsi="Calibri" w:cs="Calibri"/>
        </w:rPr>
        <w:t xml:space="preserve"> Customers holding multiple products churned far less than single</w:t>
      </w:r>
      <w:r w:rsidRPr="00AC0457">
        <w:rPr>
          <w:rFonts w:ascii="Calibri" w:hAnsi="Calibri" w:cs="Calibri"/>
        </w:rPr>
        <w:noBreakHyphen/>
        <w:t>product holders. Bundling creates stickiness and makes customers more invested in the bank’s ecosystem.</w:t>
      </w:r>
    </w:p>
    <w:p w14:paraId="75CB3F34" w14:textId="77777777" w:rsidR="00AC0457" w:rsidRPr="00AC0457" w:rsidRDefault="00AC0457" w:rsidP="00AC0457">
      <w:pPr>
        <w:numPr>
          <w:ilvl w:val="0"/>
          <w:numId w:val="34"/>
        </w:numPr>
        <w:jc w:val="both"/>
        <w:rPr>
          <w:rFonts w:ascii="Calibri" w:hAnsi="Calibri" w:cs="Calibri"/>
        </w:rPr>
      </w:pPr>
      <w:r w:rsidRPr="00AC0457">
        <w:rPr>
          <w:rFonts w:ascii="Calibri" w:hAnsi="Calibri" w:cs="Calibri"/>
          <w:b/>
          <w:bCs/>
        </w:rPr>
        <w:t>Engagement outweighs wealth:</w:t>
      </w:r>
      <w:r w:rsidRPr="00AC0457">
        <w:rPr>
          <w:rFonts w:ascii="Calibri" w:hAnsi="Calibri" w:cs="Calibri"/>
        </w:rPr>
        <w:t xml:space="preserve"> Active customers had churn rates below 10%, while inactive high</w:t>
      </w:r>
      <w:r w:rsidRPr="00AC0457">
        <w:rPr>
          <w:rFonts w:ascii="Calibri" w:hAnsi="Calibri" w:cs="Calibri"/>
        </w:rPr>
        <w:noBreakHyphen/>
        <w:t>balance customers churned above 30%. This proved that disengagement can override even high account balances.</w:t>
      </w:r>
    </w:p>
    <w:p w14:paraId="1144AA46" w14:textId="77777777" w:rsidR="00AC0457" w:rsidRPr="00AC0457" w:rsidRDefault="00AC0457" w:rsidP="00AC0457">
      <w:pPr>
        <w:numPr>
          <w:ilvl w:val="0"/>
          <w:numId w:val="34"/>
        </w:numPr>
        <w:jc w:val="both"/>
        <w:rPr>
          <w:rFonts w:ascii="Calibri" w:hAnsi="Calibri" w:cs="Calibri"/>
        </w:rPr>
      </w:pPr>
      <w:r w:rsidRPr="00AC0457">
        <w:rPr>
          <w:rFonts w:ascii="Calibri" w:hAnsi="Calibri" w:cs="Calibri"/>
          <w:b/>
          <w:bCs/>
        </w:rPr>
        <w:t>Premium customers are at risk:</w:t>
      </w:r>
      <w:r w:rsidRPr="00AC0457">
        <w:rPr>
          <w:rFonts w:ascii="Calibri" w:hAnsi="Calibri" w:cs="Calibri"/>
        </w:rPr>
        <w:t xml:space="preserve"> Inactive customers with balances above 100,000 churned at nearly one</w:t>
      </w:r>
      <w:r w:rsidRPr="00AC0457">
        <w:rPr>
          <w:rFonts w:ascii="Calibri" w:hAnsi="Calibri" w:cs="Calibri"/>
        </w:rPr>
        <w:noBreakHyphen/>
        <w:t>third, making them a priority for targeted retention campaigns.</w:t>
      </w:r>
    </w:p>
    <w:p w14:paraId="124506FD" w14:textId="77777777" w:rsidR="00AC0457" w:rsidRPr="00AC0457" w:rsidRDefault="00AC0457" w:rsidP="00AC0457">
      <w:pPr>
        <w:numPr>
          <w:ilvl w:val="0"/>
          <w:numId w:val="34"/>
        </w:numPr>
        <w:jc w:val="both"/>
        <w:rPr>
          <w:rFonts w:ascii="Calibri" w:hAnsi="Calibri" w:cs="Calibri"/>
        </w:rPr>
      </w:pPr>
      <w:r w:rsidRPr="00AC0457">
        <w:rPr>
          <w:rFonts w:ascii="Calibri" w:hAnsi="Calibri" w:cs="Calibri"/>
          <w:b/>
          <w:bCs/>
        </w:rPr>
        <w:t>Sticky profiles are resilient:</w:t>
      </w:r>
      <w:r w:rsidRPr="00AC0457">
        <w:rPr>
          <w:rFonts w:ascii="Calibri" w:hAnsi="Calibri" w:cs="Calibri"/>
        </w:rPr>
        <w:t xml:space="preserve"> Customers who were active, multi</w:t>
      </w:r>
      <w:r w:rsidRPr="00AC0457">
        <w:rPr>
          <w:rFonts w:ascii="Calibri" w:hAnsi="Calibri" w:cs="Calibri"/>
        </w:rPr>
        <w:noBreakHyphen/>
        <w:t>product, financially stable, and longer</w:t>
      </w:r>
      <w:r w:rsidRPr="00AC0457">
        <w:rPr>
          <w:rFonts w:ascii="Calibri" w:hAnsi="Calibri" w:cs="Calibri"/>
        </w:rPr>
        <w:noBreakHyphen/>
        <w:t>tenured churned at less than half the rate of non</w:t>
      </w:r>
      <w:r w:rsidRPr="00AC0457">
        <w:rPr>
          <w:rFonts w:ascii="Calibri" w:hAnsi="Calibri" w:cs="Calibri"/>
        </w:rPr>
        <w:noBreakHyphen/>
        <w:t>sticky profiles.</w:t>
      </w:r>
    </w:p>
    <w:p w14:paraId="7D29DD4A" w14:textId="77777777" w:rsidR="00AC0457" w:rsidRPr="00AC0457" w:rsidRDefault="00AC0457" w:rsidP="00AC0457">
      <w:pPr>
        <w:numPr>
          <w:ilvl w:val="0"/>
          <w:numId w:val="34"/>
        </w:numPr>
        <w:jc w:val="both"/>
        <w:rPr>
          <w:rFonts w:ascii="Calibri" w:hAnsi="Calibri" w:cs="Calibri"/>
        </w:rPr>
      </w:pPr>
      <w:r w:rsidRPr="00AC0457">
        <w:rPr>
          <w:rFonts w:ascii="Calibri" w:hAnsi="Calibri" w:cs="Calibri"/>
          <w:b/>
          <w:bCs/>
        </w:rPr>
        <w:t>Thresholds provide benchmarks:</w:t>
      </w:r>
      <w:r w:rsidRPr="00AC0457">
        <w:rPr>
          <w:rFonts w:ascii="Calibri" w:hAnsi="Calibri" w:cs="Calibri"/>
        </w:rPr>
        <w:t xml:space="preserve"> Holding at least two products or being active reduced churn significantly, while inactivity or high balances increased risk.</w:t>
      </w:r>
    </w:p>
    <w:p w14:paraId="4A1B67BA" w14:textId="77777777" w:rsidR="00AC0457" w:rsidRPr="00AC0457" w:rsidRDefault="00AC0457" w:rsidP="00AC0457">
      <w:pPr>
        <w:jc w:val="both"/>
        <w:rPr>
          <w:rFonts w:ascii="Calibri" w:hAnsi="Calibri" w:cs="Calibri"/>
        </w:rPr>
      </w:pPr>
      <w:r w:rsidRPr="00AC0457">
        <w:rPr>
          <w:rFonts w:ascii="Calibri" w:hAnsi="Calibri" w:cs="Calibri"/>
        </w:rPr>
        <w:t xml:space="preserve">In simple terms, I discovered that </w:t>
      </w:r>
      <w:r w:rsidRPr="00AC0457">
        <w:rPr>
          <w:rFonts w:ascii="Calibri" w:hAnsi="Calibri" w:cs="Calibri"/>
          <w:b/>
          <w:bCs/>
        </w:rPr>
        <w:t>loyalty is built through active engagement and deeper product relationships, not just through financial value</w:t>
      </w:r>
      <w:r w:rsidRPr="00AC0457">
        <w:rPr>
          <w:rFonts w:ascii="Calibri" w:hAnsi="Calibri" w:cs="Calibri"/>
        </w:rPr>
        <w:t>. The project highlighted practical strategies — such as product bundling, engagement campaigns, and identifying sticky profiles — that banks can use to strengthen retention in a human</w:t>
      </w:r>
      <w:r w:rsidRPr="00AC0457">
        <w:rPr>
          <w:rFonts w:ascii="Calibri" w:hAnsi="Calibri" w:cs="Calibri"/>
        </w:rPr>
        <w:noBreakHyphen/>
      </w:r>
      <w:proofErr w:type="spellStart"/>
      <w:r w:rsidRPr="00AC0457">
        <w:rPr>
          <w:rFonts w:ascii="Calibri" w:hAnsi="Calibri" w:cs="Calibri"/>
        </w:rPr>
        <w:t>centered</w:t>
      </w:r>
      <w:proofErr w:type="spellEnd"/>
      <w:r w:rsidRPr="00AC0457">
        <w:rPr>
          <w:rFonts w:ascii="Calibri" w:hAnsi="Calibri" w:cs="Calibri"/>
        </w:rPr>
        <w:t xml:space="preserve"> way.</w:t>
      </w:r>
    </w:p>
    <w:p w14:paraId="6DB02FD9" w14:textId="77777777" w:rsidR="00DA4065" w:rsidRPr="007B487B" w:rsidRDefault="00DA4065" w:rsidP="00DA4065">
      <w:pPr>
        <w:jc w:val="both"/>
        <w:rPr>
          <w:rFonts w:ascii="Calibri" w:hAnsi="Calibri" w:cs="Calibri"/>
        </w:rPr>
      </w:pPr>
    </w:p>
    <w:p w14:paraId="78F08D8D" w14:textId="4E4BC8DE" w:rsidR="00DA4065" w:rsidRPr="00AC0457" w:rsidRDefault="00DA4065" w:rsidP="001902E1">
      <w:pPr>
        <w:pStyle w:val="ListParagraph"/>
        <w:numPr>
          <w:ilvl w:val="0"/>
          <w:numId w:val="31"/>
        </w:numPr>
        <w:jc w:val="both"/>
        <w:rPr>
          <w:rFonts w:ascii="Calibri" w:hAnsi="Calibri" w:cs="Calibri"/>
          <w:b/>
          <w:bCs/>
          <w:sz w:val="28"/>
          <w:szCs w:val="28"/>
        </w:rPr>
      </w:pPr>
      <w:r w:rsidRPr="00AC0457">
        <w:rPr>
          <w:rFonts w:ascii="Calibri" w:hAnsi="Calibri" w:cs="Calibri"/>
          <w:b/>
          <w:bCs/>
          <w:sz w:val="28"/>
          <w:szCs w:val="28"/>
        </w:rPr>
        <w:t>Conclusion</w:t>
      </w:r>
    </w:p>
    <w:p w14:paraId="5E72B783" w14:textId="34EFF7CC" w:rsidR="00AC0457" w:rsidRPr="00E21B10" w:rsidRDefault="00AC0457" w:rsidP="00AC0457">
      <w:pPr>
        <w:jc w:val="both"/>
      </w:pPr>
      <w:r w:rsidRPr="00E21B10">
        <w:t xml:space="preserve">The figures consistently show that </w:t>
      </w:r>
      <w:r w:rsidRPr="00AC0457">
        <w:rPr>
          <w:b/>
          <w:bCs/>
        </w:rPr>
        <w:t>engagement and product depth are stronger predictors of retention than financial value alone</w:t>
      </w:r>
      <w:r w:rsidRPr="00E21B10">
        <w:t xml:space="preserve">. Premium customers can still churn if disengaged, while sticky customers remain loyal even with moderate </w:t>
      </w:r>
      <w:proofErr w:type="spellStart"/>
      <w:proofErr w:type="gramStart"/>
      <w:r w:rsidRPr="00E21B10">
        <w:t>balances.By</w:t>
      </w:r>
      <w:proofErr w:type="spellEnd"/>
      <w:proofErr w:type="gramEnd"/>
      <w:r w:rsidRPr="00E21B10">
        <w:t xml:space="preserve"> focusing on engagement tiers, product bundling, and sticky profile definitions, banks can design retention strategies that are both </w:t>
      </w:r>
      <w:r w:rsidRPr="00AC0457">
        <w:rPr>
          <w:b/>
          <w:bCs/>
        </w:rPr>
        <w:t>data</w:t>
      </w:r>
      <w:r w:rsidRPr="00AC0457">
        <w:rPr>
          <w:b/>
          <w:bCs/>
        </w:rPr>
        <w:noBreakHyphen/>
        <w:t>driven and human</w:t>
      </w:r>
      <w:r w:rsidRPr="00AC0457">
        <w:rPr>
          <w:b/>
          <w:bCs/>
        </w:rPr>
        <w:noBreakHyphen/>
      </w:r>
      <w:proofErr w:type="spellStart"/>
      <w:r w:rsidRPr="00AC0457">
        <w:rPr>
          <w:b/>
          <w:bCs/>
        </w:rPr>
        <w:t>centered</w:t>
      </w:r>
      <w:proofErr w:type="spellEnd"/>
      <w:r w:rsidRPr="00E21B10">
        <w:t xml:space="preserve">. As </w:t>
      </w:r>
      <w:r w:rsidRPr="00AC0457">
        <w:rPr>
          <w:i/>
          <w:iCs/>
        </w:rPr>
        <w:t xml:space="preserve">Saiprasad </w:t>
      </w:r>
      <w:proofErr w:type="spellStart"/>
      <w:r w:rsidRPr="00AC0457">
        <w:rPr>
          <w:i/>
          <w:iCs/>
        </w:rPr>
        <w:t>Kagne</w:t>
      </w:r>
      <w:proofErr w:type="spellEnd"/>
      <w:r w:rsidRPr="00E21B10">
        <w:t xml:space="preserve"> emphasizes, the value lies not in technical complexity but in clarity and accessibility — insights stakeholders can understand and act upon.</w:t>
      </w:r>
    </w:p>
    <w:p w14:paraId="443D2276" w14:textId="77777777" w:rsidR="00AC0457" w:rsidRPr="007B487B" w:rsidRDefault="00AC0457" w:rsidP="00DA4065">
      <w:pPr>
        <w:jc w:val="both"/>
        <w:rPr>
          <w:rFonts w:ascii="Calibri" w:hAnsi="Calibri" w:cs="Calibri"/>
        </w:rPr>
      </w:pPr>
    </w:p>
    <w:p w14:paraId="7C54110D" w14:textId="37BF330F" w:rsidR="00DA4065" w:rsidRPr="00AC0457" w:rsidRDefault="00DA4065" w:rsidP="001902E1">
      <w:pPr>
        <w:pStyle w:val="ListParagraph"/>
        <w:numPr>
          <w:ilvl w:val="0"/>
          <w:numId w:val="31"/>
        </w:numPr>
        <w:jc w:val="both"/>
        <w:rPr>
          <w:rFonts w:ascii="Calibri" w:hAnsi="Calibri" w:cs="Calibri"/>
          <w:b/>
          <w:bCs/>
          <w:sz w:val="28"/>
          <w:szCs w:val="28"/>
        </w:rPr>
      </w:pPr>
      <w:r w:rsidRPr="00AC0457">
        <w:rPr>
          <w:rFonts w:ascii="Calibri" w:hAnsi="Calibri" w:cs="Calibri"/>
          <w:b/>
          <w:bCs/>
          <w:sz w:val="28"/>
          <w:szCs w:val="28"/>
        </w:rPr>
        <w:t>References</w:t>
      </w:r>
    </w:p>
    <w:p w14:paraId="0477A017" w14:textId="35702E9A" w:rsidR="00DA4065" w:rsidRPr="00A22003" w:rsidRDefault="00A22003" w:rsidP="00DA4065">
      <w:pPr>
        <w:numPr>
          <w:ilvl w:val="0"/>
          <w:numId w:val="13"/>
        </w:numPr>
        <w:jc w:val="both"/>
        <w:rPr>
          <w:rFonts w:ascii="Calibri" w:hAnsi="Calibri" w:cs="Calibri"/>
        </w:rPr>
      </w:pPr>
      <w:r w:rsidRPr="00A22003">
        <w:rPr>
          <w:rFonts w:ascii="Calibri" w:hAnsi="Calibri" w:cs="Calibri"/>
        </w:rPr>
        <w:t xml:space="preserve">Arefin, S., Parvez, R., Ahmed, T., Jahin, F., Sumaiya, F., &amp; Ahsan, M. (2024). </w:t>
      </w:r>
      <w:r w:rsidRPr="00A22003">
        <w:rPr>
          <w:rFonts w:ascii="Calibri" w:hAnsi="Calibri" w:cs="Calibri"/>
          <w:i/>
          <w:iCs/>
        </w:rPr>
        <w:t>Enhancing Bank Consumer Retention: A Comprehensive Analysis of Churn Prediction Using Machine-Learning and Deep Learning Techniques.</w:t>
      </w:r>
      <w:r w:rsidRPr="00A22003">
        <w:rPr>
          <w:rFonts w:ascii="Calibri" w:hAnsi="Calibri" w:cs="Calibri"/>
        </w:rPr>
        <w:t xml:space="preserve"> Lecture Notes in Networks and Systems, Springer.</w:t>
      </w:r>
    </w:p>
    <w:p w14:paraId="7C454CF2" w14:textId="3C6B9E44" w:rsidR="00DA4065" w:rsidRPr="00A22003" w:rsidRDefault="00A22003" w:rsidP="00A22003">
      <w:pPr>
        <w:numPr>
          <w:ilvl w:val="0"/>
          <w:numId w:val="13"/>
        </w:numPr>
        <w:jc w:val="both"/>
        <w:rPr>
          <w:rFonts w:ascii="Calibri" w:hAnsi="Calibri" w:cs="Calibri"/>
        </w:rPr>
      </w:pPr>
      <w:r w:rsidRPr="00A22003">
        <w:rPr>
          <w:rFonts w:ascii="Calibri" w:hAnsi="Calibri" w:cs="Calibri"/>
          <w:b/>
          <w:bCs/>
        </w:rPr>
        <w:lastRenderedPageBreak/>
        <w:t>IEEE Xplore (2024).</w:t>
      </w:r>
      <w:r w:rsidRPr="00A22003">
        <w:rPr>
          <w:rFonts w:ascii="Calibri" w:hAnsi="Calibri" w:cs="Calibri"/>
        </w:rPr>
        <w:t xml:space="preserve"> </w:t>
      </w:r>
      <w:r w:rsidRPr="00A22003">
        <w:rPr>
          <w:rFonts w:ascii="Calibri" w:hAnsi="Calibri" w:cs="Calibri"/>
          <w:i/>
          <w:iCs/>
        </w:rPr>
        <w:t>Customer Retention in Banking: Utilizing AI and Machine Learning for Predictive Insights.</w:t>
      </w:r>
    </w:p>
    <w:p w14:paraId="394DAE32" w14:textId="74F19C72" w:rsidR="00A22003" w:rsidRPr="007B487B" w:rsidRDefault="00A22003" w:rsidP="00A22003">
      <w:pPr>
        <w:numPr>
          <w:ilvl w:val="0"/>
          <w:numId w:val="13"/>
        </w:numPr>
        <w:jc w:val="both"/>
        <w:rPr>
          <w:rFonts w:ascii="Calibri" w:hAnsi="Calibri" w:cs="Calibri"/>
        </w:rPr>
      </w:pPr>
      <w:r w:rsidRPr="00A22003">
        <w:rPr>
          <w:rFonts w:ascii="Calibri" w:hAnsi="Calibri" w:cs="Calibri"/>
          <w:b/>
          <w:bCs/>
        </w:rPr>
        <w:t>Academia.edu (2024).</w:t>
      </w:r>
      <w:r w:rsidRPr="00A22003">
        <w:rPr>
          <w:rFonts w:ascii="Calibri" w:hAnsi="Calibri" w:cs="Calibri"/>
        </w:rPr>
        <w:t xml:space="preserve"> </w:t>
      </w:r>
      <w:r w:rsidRPr="00A22003">
        <w:rPr>
          <w:rFonts w:ascii="Calibri" w:hAnsi="Calibri" w:cs="Calibri"/>
          <w:i/>
          <w:iCs/>
        </w:rPr>
        <w:t>Bank Customer Churn Analysis Using Machine Learning Frameworks.</w:t>
      </w:r>
    </w:p>
    <w:sectPr w:rsidR="00A22003" w:rsidRPr="007B487B">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79F23" w14:textId="77777777" w:rsidR="007C35AB" w:rsidRDefault="007C35AB" w:rsidP="003E6C4A">
      <w:pPr>
        <w:spacing w:after="0" w:line="240" w:lineRule="auto"/>
      </w:pPr>
      <w:r>
        <w:separator/>
      </w:r>
    </w:p>
  </w:endnote>
  <w:endnote w:type="continuationSeparator" w:id="0">
    <w:p w14:paraId="0E15173F" w14:textId="77777777" w:rsidR="007C35AB" w:rsidRDefault="007C35AB" w:rsidP="003E6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CE88" w14:textId="77777777" w:rsidR="007C35AB" w:rsidRDefault="007C35AB" w:rsidP="003E6C4A">
      <w:pPr>
        <w:spacing w:after="0" w:line="240" w:lineRule="auto"/>
      </w:pPr>
      <w:r>
        <w:separator/>
      </w:r>
    </w:p>
  </w:footnote>
  <w:footnote w:type="continuationSeparator" w:id="0">
    <w:p w14:paraId="6E76895D" w14:textId="77777777" w:rsidR="007C35AB" w:rsidRDefault="007C35AB" w:rsidP="003E6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937F" w14:textId="421CA1A3" w:rsidR="0042682A" w:rsidRDefault="00A22003" w:rsidP="000D0CAA">
    <w:pPr>
      <w:ind w:firstLine="720"/>
    </w:pPr>
    <w:r w:rsidRPr="00A22003">
      <w:rPr>
        <w:rFonts w:ascii="Calibri" w:hAnsi="Calibri" w:cs="Calibri"/>
      </w:rPr>
      <w:t>Customer Engagement &amp; Product Utilization Analytics for Retention Strategy</w:t>
    </w:r>
    <w:r w:rsidR="0042682A">
      <w:rPr>
        <w:rFonts w:ascii="Calibri" w:hAnsi="Calibri" w:cs="Calibri"/>
      </w:rPr>
      <w:tab/>
    </w:r>
    <w:sdt>
      <w:sdtPr>
        <w:id w:val="-1285877052"/>
        <w:docPartObj>
          <w:docPartGallery w:val="Page Numbers (Top of Page)"/>
          <w:docPartUnique/>
        </w:docPartObj>
      </w:sdtPr>
      <w:sdtEndPr>
        <w:rPr>
          <w:noProof/>
        </w:rPr>
      </w:sdtEndPr>
      <w:sdtContent>
        <w:r w:rsidR="0042682A">
          <w:fldChar w:fldCharType="begin"/>
        </w:r>
        <w:r w:rsidR="0042682A">
          <w:instrText xml:space="preserve"> PAGE   \* MERGEFORMAT </w:instrText>
        </w:r>
        <w:r w:rsidR="0042682A">
          <w:fldChar w:fldCharType="separate"/>
        </w:r>
        <w:r w:rsidR="0042682A">
          <w:rPr>
            <w:noProof/>
          </w:rPr>
          <w:t>2</w:t>
        </w:r>
        <w:r w:rsidR="0042682A">
          <w:rPr>
            <w:noProof/>
          </w:rPr>
          <w:fldChar w:fldCharType="end"/>
        </w:r>
      </w:sdtContent>
    </w:sdt>
  </w:p>
  <w:p w14:paraId="43337527" w14:textId="77777777" w:rsidR="003E6C4A" w:rsidRPr="0042682A" w:rsidRDefault="003E6C4A">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494"/>
    <w:multiLevelType w:val="multilevel"/>
    <w:tmpl w:val="29C2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E595C"/>
    <w:multiLevelType w:val="multilevel"/>
    <w:tmpl w:val="C37A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60"/>
    <w:multiLevelType w:val="multilevel"/>
    <w:tmpl w:val="5A32B7F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9B33EC5"/>
    <w:multiLevelType w:val="multilevel"/>
    <w:tmpl w:val="0C38255E"/>
    <w:lvl w:ilvl="0">
      <w:start w:val="3"/>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D82009"/>
    <w:multiLevelType w:val="multilevel"/>
    <w:tmpl w:val="59A0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7B90"/>
    <w:multiLevelType w:val="multilevel"/>
    <w:tmpl w:val="3B0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B343F"/>
    <w:multiLevelType w:val="multilevel"/>
    <w:tmpl w:val="0520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E7C58"/>
    <w:multiLevelType w:val="hybridMultilevel"/>
    <w:tmpl w:val="56903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0076D4"/>
    <w:multiLevelType w:val="multilevel"/>
    <w:tmpl w:val="C6E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54B99"/>
    <w:multiLevelType w:val="multilevel"/>
    <w:tmpl w:val="EA2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12B1B"/>
    <w:multiLevelType w:val="hybridMultilevel"/>
    <w:tmpl w:val="ADAA05D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8574EE8"/>
    <w:multiLevelType w:val="multilevel"/>
    <w:tmpl w:val="B47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57D09"/>
    <w:multiLevelType w:val="hybridMultilevel"/>
    <w:tmpl w:val="418C00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AF93C8B"/>
    <w:multiLevelType w:val="multilevel"/>
    <w:tmpl w:val="C27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C6693"/>
    <w:multiLevelType w:val="multilevel"/>
    <w:tmpl w:val="C4B29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638B5"/>
    <w:multiLevelType w:val="multilevel"/>
    <w:tmpl w:val="0924EDF4"/>
    <w:lvl w:ilvl="0">
      <w:start w:val="3"/>
      <w:numFmt w:val="decimal"/>
      <w:lvlText w:val="%1."/>
      <w:lvlJc w:val="left"/>
      <w:pPr>
        <w:ind w:left="720" w:hanging="360"/>
      </w:pPr>
      <w:rPr>
        <w:rFonts w:hint="default"/>
      </w:rPr>
    </w:lvl>
    <w:lvl w:ilvl="1">
      <w:start w:val="2"/>
      <w:numFmt w:val="decimal"/>
      <w:isLgl/>
      <w:lvlText w:val="%1.%2"/>
      <w:lvlJc w:val="left"/>
      <w:pPr>
        <w:ind w:left="720" w:hanging="360"/>
      </w:pPr>
      <w:rPr>
        <w:rFonts w:ascii="Calibri" w:hAnsi="Calibri" w:cs="Calibri"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8C3575F"/>
    <w:multiLevelType w:val="multilevel"/>
    <w:tmpl w:val="6236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756BF"/>
    <w:multiLevelType w:val="multilevel"/>
    <w:tmpl w:val="430E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3425C"/>
    <w:multiLevelType w:val="multilevel"/>
    <w:tmpl w:val="EE7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F03948"/>
    <w:multiLevelType w:val="multilevel"/>
    <w:tmpl w:val="5A32B7F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FFA79F0"/>
    <w:multiLevelType w:val="multilevel"/>
    <w:tmpl w:val="88D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42968"/>
    <w:multiLevelType w:val="multilevel"/>
    <w:tmpl w:val="67F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63107"/>
    <w:multiLevelType w:val="multilevel"/>
    <w:tmpl w:val="0D1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23853"/>
    <w:multiLevelType w:val="multilevel"/>
    <w:tmpl w:val="13D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A52BA"/>
    <w:multiLevelType w:val="hybridMultilevel"/>
    <w:tmpl w:val="BD2E040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62390242"/>
    <w:multiLevelType w:val="multilevel"/>
    <w:tmpl w:val="7A7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F0032"/>
    <w:multiLevelType w:val="multilevel"/>
    <w:tmpl w:val="554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E47AB"/>
    <w:multiLevelType w:val="multilevel"/>
    <w:tmpl w:val="5DCCF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69E0479"/>
    <w:multiLevelType w:val="multilevel"/>
    <w:tmpl w:val="A62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22658"/>
    <w:multiLevelType w:val="multilevel"/>
    <w:tmpl w:val="4E3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3646B"/>
    <w:multiLevelType w:val="hybridMultilevel"/>
    <w:tmpl w:val="2F8A3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452EF3"/>
    <w:multiLevelType w:val="multilevel"/>
    <w:tmpl w:val="C1A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23711"/>
    <w:multiLevelType w:val="multilevel"/>
    <w:tmpl w:val="6BC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E01CE"/>
    <w:multiLevelType w:val="hybridMultilevel"/>
    <w:tmpl w:val="CD6A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573756"/>
    <w:multiLevelType w:val="multilevel"/>
    <w:tmpl w:val="4208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437753">
    <w:abstractNumId w:val="9"/>
  </w:num>
  <w:num w:numId="2" w16cid:durableId="256139347">
    <w:abstractNumId w:val="29"/>
  </w:num>
  <w:num w:numId="3" w16cid:durableId="2139714615">
    <w:abstractNumId w:val="4"/>
  </w:num>
  <w:num w:numId="4" w16cid:durableId="657079637">
    <w:abstractNumId w:val="11"/>
  </w:num>
  <w:num w:numId="5" w16cid:durableId="2093315848">
    <w:abstractNumId w:val="16"/>
  </w:num>
  <w:num w:numId="6" w16cid:durableId="519012258">
    <w:abstractNumId w:val="7"/>
  </w:num>
  <w:num w:numId="7" w16cid:durableId="431048103">
    <w:abstractNumId w:val="20"/>
  </w:num>
  <w:num w:numId="8" w16cid:durableId="1016929457">
    <w:abstractNumId w:val="21"/>
  </w:num>
  <w:num w:numId="9" w16cid:durableId="247883978">
    <w:abstractNumId w:val="26"/>
  </w:num>
  <w:num w:numId="10" w16cid:durableId="1652829185">
    <w:abstractNumId w:val="23"/>
  </w:num>
  <w:num w:numId="11" w16cid:durableId="1970089991">
    <w:abstractNumId w:val="22"/>
  </w:num>
  <w:num w:numId="12" w16cid:durableId="186717378">
    <w:abstractNumId w:val="18"/>
  </w:num>
  <w:num w:numId="13" w16cid:durableId="2083791007">
    <w:abstractNumId w:val="0"/>
  </w:num>
  <w:num w:numId="14" w16cid:durableId="102695999">
    <w:abstractNumId w:val="25"/>
  </w:num>
  <w:num w:numId="15" w16cid:durableId="614018513">
    <w:abstractNumId w:val="24"/>
  </w:num>
  <w:num w:numId="16" w16cid:durableId="1202088210">
    <w:abstractNumId w:val="8"/>
  </w:num>
  <w:num w:numId="17" w16cid:durableId="42289300">
    <w:abstractNumId w:val="1"/>
  </w:num>
  <w:num w:numId="18" w16cid:durableId="1623028195">
    <w:abstractNumId w:val="6"/>
  </w:num>
  <w:num w:numId="19" w16cid:durableId="707685436">
    <w:abstractNumId w:val="19"/>
  </w:num>
  <w:num w:numId="20" w16cid:durableId="527837490">
    <w:abstractNumId w:val="34"/>
  </w:num>
  <w:num w:numId="21" w16cid:durableId="1411121593">
    <w:abstractNumId w:val="14"/>
  </w:num>
  <w:num w:numId="22" w16cid:durableId="575479163">
    <w:abstractNumId w:val="10"/>
  </w:num>
  <w:num w:numId="23" w16cid:durableId="201285295">
    <w:abstractNumId w:val="12"/>
  </w:num>
  <w:num w:numId="24" w16cid:durableId="248471703">
    <w:abstractNumId w:val="5"/>
  </w:num>
  <w:num w:numId="25" w16cid:durableId="172763844">
    <w:abstractNumId w:val="13"/>
  </w:num>
  <w:num w:numId="26" w16cid:durableId="1482384743">
    <w:abstractNumId w:val="27"/>
  </w:num>
  <w:num w:numId="27" w16cid:durableId="66271214">
    <w:abstractNumId w:val="30"/>
  </w:num>
  <w:num w:numId="28" w16cid:durableId="1196504267">
    <w:abstractNumId w:val="28"/>
  </w:num>
  <w:num w:numId="29" w16cid:durableId="1491362887">
    <w:abstractNumId w:val="31"/>
  </w:num>
  <w:num w:numId="30" w16cid:durableId="1929077925">
    <w:abstractNumId w:val="2"/>
  </w:num>
  <w:num w:numId="31" w16cid:durableId="702944027">
    <w:abstractNumId w:val="15"/>
  </w:num>
  <w:num w:numId="32" w16cid:durableId="1809009455">
    <w:abstractNumId w:val="3"/>
  </w:num>
  <w:num w:numId="33" w16cid:durableId="1156261308">
    <w:abstractNumId w:val="17"/>
  </w:num>
  <w:num w:numId="34" w16cid:durableId="1556309007">
    <w:abstractNumId w:val="32"/>
  </w:num>
  <w:num w:numId="35" w16cid:durableId="101523311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81"/>
    <w:rsid w:val="00053DD5"/>
    <w:rsid w:val="000C6FD5"/>
    <w:rsid w:val="000D0CAA"/>
    <w:rsid w:val="00124E8A"/>
    <w:rsid w:val="00141340"/>
    <w:rsid w:val="00154D8D"/>
    <w:rsid w:val="001902E1"/>
    <w:rsid w:val="001A1A42"/>
    <w:rsid w:val="002C2681"/>
    <w:rsid w:val="003812F3"/>
    <w:rsid w:val="003B30FD"/>
    <w:rsid w:val="003E6C4A"/>
    <w:rsid w:val="003E7EA9"/>
    <w:rsid w:val="0042682A"/>
    <w:rsid w:val="005A5843"/>
    <w:rsid w:val="006A0F22"/>
    <w:rsid w:val="006F79B0"/>
    <w:rsid w:val="007657F4"/>
    <w:rsid w:val="007B487B"/>
    <w:rsid w:val="007C35AB"/>
    <w:rsid w:val="00826D89"/>
    <w:rsid w:val="008D6711"/>
    <w:rsid w:val="00995441"/>
    <w:rsid w:val="009E24C3"/>
    <w:rsid w:val="00A22003"/>
    <w:rsid w:val="00AC0457"/>
    <w:rsid w:val="00B43844"/>
    <w:rsid w:val="00BB2231"/>
    <w:rsid w:val="00C54475"/>
    <w:rsid w:val="00C96D68"/>
    <w:rsid w:val="00CB0DDB"/>
    <w:rsid w:val="00CC467C"/>
    <w:rsid w:val="00D15AF7"/>
    <w:rsid w:val="00DA4065"/>
    <w:rsid w:val="00E14333"/>
    <w:rsid w:val="00E3301E"/>
    <w:rsid w:val="00E3521C"/>
    <w:rsid w:val="00E65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B4BE1"/>
  <w15:chartTrackingRefBased/>
  <w15:docId w15:val="{B1538DFB-0F9E-4FEC-B00B-59EA6E06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681"/>
    <w:rPr>
      <w:rFonts w:eastAsiaTheme="majorEastAsia" w:cstheme="majorBidi"/>
      <w:color w:val="272727" w:themeColor="text1" w:themeTint="D8"/>
    </w:rPr>
  </w:style>
  <w:style w:type="paragraph" w:styleId="Title">
    <w:name w:val="Title"/>
    <w:basedOn w:val="Normal"/>
    <w:next w:val="Normal"/>
    <w:link w:val="TitleChar"/>
    <w:uiPriority w:val="10"/>
    <w:qFormat/>
    <w:rsid w:val="002C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681"/>
    <w:pPr>
      <w:spacing w:before="160"/>
      <w:jc w:val="center"/>
    </w:pPr>
    <w:rPr>
      <w:i/>
      <w:iCs/>
      <w:color w:val="404040" w:themeColor="text1" w:themeTint="BF"/>
    </w:rPr>
  </w:style>
  <w:style w:type="character" w:customStyle="1" w:styleId="QuoteChar">
    <w:name w:val="Quote Char"/>
    <w:basedOn w:val="DefaultParagraphFont"/>
    <w:link w:val="Quote"/>
    <w:uiPriority w:val="29"/>
    <w:rsid w:val="002C2681"/>
    <w:rPr>
      <w:i/>
      <w:iCs/>
      <w:color w:val="404040" w:themeColor="text1" w:themeTint="BF"/>
    </w:rPr>
  </w:style>
  <w:style w:type="paragraph" w:styleId="ListParagraph">
    <w:name w:val="List Paragraph"/>
    <w:basedOn w:val="Normal"/>
    <w:uiPriority w:val="34"/>
    <w:qFormat/>
    <w:rsid w:val="002C2681"/>
    <w:pPr>
      <w:ind w:left="720"/>
      <w:contextualSpacing/>
    </w:pPr>
  </w:style>
  <w:style w:type="character" w:styleId="IntenseEmphasis">
    <w:name w:val="Intense Emphasis"/>
    <w:basedOn w:val="DefaultParagraphFont"/>
    <w:uiPriority w:val="21"/>
    <w:qFormat/>
    <w:rsid w:val="002C2681"/>
    <w:rPr>
      <w:i/>
      <w:iCs/>
      <w:color w:val="0F4761" w:themeColor="accent1" w:themeShade="BF"/>
    </w:rPr>
  </w:style>
  <w:style w:type="paragraph" w:styleId="IntenseQuote">
    <w:name w:val="Intense Quote"/>
    <w:basedOn w:val="Normal"/>
    <w:next w:val="Normal"/>
    <w:link w:val="IntenseQuoteChar"/>
    <w:uiPriority w:val="30"/>
    <w:qFormat/>
    <w:rsid w:val="002C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681"/>
    <w:rPr>
      <w:i/>
      <w:iCs/>
      <w:color w:val="0F4761" w:themeColor="accent1" w:themeShade="BF"/>
    </w:rPr>
  </w:style>
  <w:style w:type="character" w:styleId="IntenseReference">
    <w:name w:val="Intense Reference"/>
    <w:basedOn w:val="DefaultParagraphFont"/>
    <w:uiPriority w:val="32"/>
    <w:qFormat/>
    <w:rsid w:val="002C2681"/>
    <w:rPr>
      <w:b/>
      <w:bCs/>
      <w:smallCaps/>
      <w:color w:val="0F4761" w:themeColor="accent1" w:themeShade="BF"/>
      <w:spacing w:val="5"/>
    </w:rPr>
  </w:style>
  <w:style w:type="paragraph" w:styleId="NormalWeb">
    <w:name w:val="Normal (Web)"/>
    <w:basedOn w:val="Normal"/>
    <w:uiPriority w:val="99"/>
    <w:semiHidden/>
    <w:unhideWhenUsed/>
    <w:rsid w:val="00154D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54D8D"/>
    <w:rPr>
      <w:b/>
      <w:bCs/>
    </w:rPr>
  </w:style>
  <w:style w:type="character" w:styleId="Emphasis">
    <w:name w:val="Emphasis"/>
    <w:basedOn w:val="DefaultParagraphFont"/>
    <w:uiPriority w:val="20"/>
    <w:qFormat/>
    <w:rsid w:val="00154D8D"/>
    <w:rPr>
      <w:i/>
      <w:iCs/>
    </w:rPr>
  </w:style>
  <w:style w:type="paragraph" w:styleId="Header">
    <w:name w:val="header"/>
    <w:basedOn w:val="Normal"/>
    <w:link w:val="HeaderChar"/>
    <w:uiPriority w:val="99"/>
    <w:unhideWhenUsed/>
    <w:rsid w:val="003E6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C4A"/>
  </w:style>
  <w:style w:type="paragraph" w:styleId="Footer">
    <w:name w:val="footer"/>
    <w:basedOn w:val="Normal"/>
    <w:link w:val="FooterChar"/>
    <w:uiPriority w:val="99"/>
    <w:unhideWhenUsed/>
    <w:rsid w:val="003E6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jitinraju14011995@outlook.com</dc:creator>
  <cp:keywords/>
  <dc:description/>
  <cp:lastModifiedBy>jitinraju14011995@outlook.com</cp:lastModifiedBy>
  <cp:revision>4</cp:revision>
  <cp:lastPrinted>2026-04-11T12:01:00Z</cp:lastPrinted>
  <dcterms:created xsi:type="dcterms:W3CDTF">2026-04-17T15:03:00Z</dcterms:created>
  <dcterms:modified xsi:type="dcterms:W3CDTF">2026-04-18T07:08:00Z</dcterms:modified>
</cp:coreProperties>
</file>