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AD3AE" w14:textId="77777777" w:rsidR="00DA4065" w:rsidRPr="00DA4065" w:rsidRDefault="00DA4065" w:rsidP="00DA4065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DA4065">
        <w:rPr>
          <w:rFonts w:ascii="Calibri" w:hAnsi="Calibri" w:cs="Calibri"/>
          <w:b/>
          <w:bCs/>
          <w:sz w:val="32"/>
          <w:szCs w:val="32"/>
        </w:rPr>
        <w:t>Customer Segmentation &amp; Churn Pattern Analytics in European Banking</w:t>
      </w:r>
    </w:p>
    <w:p w14:paraId="6BE7A249" w14:textId="77777777" w:rsidR="00DA4065" w:rsidRPr="00DA4065" w:rsidRDefault="00DA4065" w:rsidP="00DA4065">
      <w:pPr>
        <w:jc w:val="center"/>
        <w:rPr>
          <w:rFonts w:ascii="Calibri" w:hAnsi="Calibri" w:cs="Calibri"/>
        </w:rPr>
      </w:pPr>
      <w:r w:rsidRPr="00DA4065">
        <w:rPr>
          <w:rFonts w:ascii="Calibri" w:hAnsi="Calibri" w:cs="Calibri"/>
        </w:rPr>
        <w:t xml:space="preserve">By </w:t>
      </w:r>
      <w:r w:rsidRPr="00DA4065">
        <w:rPr>
          <w:rFonts w:ascii="Calibri" w:hAnsi="Calibri" w:cs="Calibri"/>
          <w:b/>
          <w:bCs/>
        </w:rPr>
        <w:t>Jitin Raju</w:t>
      </w:r>
    </w:p>
    <w:p w14:paraId="3049AFD3" w14:textId="77777777" w:rsidR="00DA4065" w:rsidRPr="00DA4065" w:rsidRDefault="00DA4065" w:rsidP="00DA4065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A4065">
        <w:rPr>
          <w:rFonts w:ascii="Calibri" w:hAnsi="Calibri" w:cs="Calibri"/>
          <w:b/>
          <w:bCs/>
          <w:sz w:val="28"/>
          <w:szCs w:val="28"/>
        </w:rPr>
        <w:t>Abstract</w:t>
      </w:r>
    </w:p>
    <w:p w14:paraId="15EAFB4F" w14:textId="39511B72" w:rsidR="00DA4065" w:rsidRPr="00DA4065" w:rsidRDefault="00DA4065" w:rsidP="00DA4065">
      <w:pPr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 xml:space="preserve">Customer churn remains one of the most pressing challenges in the banking sector. This study explores churn patterns using a European bank dataset, applying segmentation techniques and visual analytics to uncover demographic, financial, and </w:t>
      </w:r>
      <w:proofErr w:type="spellStart"/>
      <w:r w:rsidRPr="00DA4065">
        <w:rPr>
          <w:rFonts w:ascii="Calibri" w:hAnsi="Calibri" w:cs="Calibri"/>
        </w:rPr>
        <w:t>behavioral</w:t>
      </w:r>
      <w:proofErr w:type="spellEnd"/>
      <w:r w:rsidRPr="00DA4065">
        <w:rPr>
          <w:rFonts w:ascii="Calibri" w:hAnsi="Calibri" w:cs="Calibri"/>
        </w:rPr>
        <w:t xml:space="preserve"> drivers of customer attrition. The findings highlight key risk groups and provide actionable insights for customer retention strategies. This project was carried out under the guidance of Mr. Sai</w:t>
      </w:r>
      <w:r w:rsidR="00CC467C">
        <w:rPr>
          <w:rFonts w:ascii="Calibri" w:hAnsi="Calibri" w:cs="Calibri"/>
        </w:rPr>
        <w:t>p</w:t>
      </w:r>
      <w:r w:rsidRPr="00DA4065">
        <w:rPr>
          <w:rFonts w:ascii="Calibri" w:hAnsi="Calibri" w:cs="Calibri"/>
        </w:rPr>
        <w:t>rasad Kagne.</w:t>
      </w:r>
    </w:p>
    <w:p w14:paraId="72B7CE60" w14:textId="77777777" w:rsidR="00DA4065" w:rsidRPr="00DA4065" w:rsidRDefault="00DA4065" w:rsidP="00DA4065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A4065">
        <w:rPr>
          <w:rFonts w:ascii="Calibri" w:hAnsi="Calibri" w:cs="Calibri"/>
          <w:b/>
          <w:bCs/>
          <w:sz w:val="28"/>
          <w:szCs w:val="28"/>
        </w:rPr>
        <w:t>Introduction</w:t>
      </w:r>
    </w:p>
    <w:p w14:paraId="1075406C" w14:textId="69FCD897" w:rsidR="00DA4065" w:rsidRPr="00DA4065" w:rsidRDefault="00DA4065" w:rsidP="00DA4065">
      <w:pPr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 xml:space="preserve">Banks face significant losses when customers discontinue their services. Understanding who is leaving and why is critical for designing effective retention programs. This project uses a publicly available dataset to </w:t>
      </w:r>
      <w:proofErr w:type="spellStart"/>
      <w:r w:rsidRPr="00DA4065">
        <w:rPr>
          <w:rFonts w:ascii="Calibri" w:hAnsi="Calibri" w:cs="Calibri"/>
        </w:rPr>
        <w:t>analyze</w:t>
      </w:r>
      <w:proofErr w:type="spellEnd"/>
      <w:r w:rsidRPr="00DA4065">
        <w:rPr>
          <w:rFonts w:ascii="Calibri" w:hAnsi="Calibri" w:cs="Calibri"/>
        </w:rPr>
        <w:t xml:space="preserve"> churn </w:t>
      </w:r>
      <w:proofErr w:type="spellStart"/>
      <w:r w:rsidRPr="00DA4065">
        <w:rPr>
          <w:rFonts w:ascii="Calibri" w:hAnsi="Calibri" w:cs="Calibri"/>
        </w:rPr>
        <w:t>behavior</w:t>
      </w:r>
      <w:proofErr w:type="spellEnd"/>
      <w:r w:rsidRPr="00DA4065">
        <w:rPr>
          <w:rFonts w:ascii="Calibri" w:hAnsi="Calibri" w:cs="Calibri"/>
        </w:rPr>
        <w:t>, focusing on demographic, financial, and engagement variables. The goal is to present findings in a way that balances technical rigor with practical readability. The mentorship of Mr. Sai</w:t>
      </w:r>
      <w:r w:rsidR="00CC467C">
        <w:rPr>
          <w:rFonts w:ascii="Calibri" w:hAnsi="Calibri" w:cs="Calibri"/>
        </w:rPr>
        <w:t>p</w:t>
      </w:r>
      <w:r w:rsidRPr="00DA4065">
        <w:rPr>
          <w:rFonts w:ascii="Calibri" w:hAnsi="Calibri" w:cs="Calibri"/>
        </w:rPr>
        <w:t xml:space="preserve">rasad </w:t>
      </w:r>
      <w:proofErr w:type="spellStart"/>
      <w:r w:rsidRPr="00DA4065">
        <w:rPr>
          <w:rFonts w:ascii="Calibri" w:hAnsi="Calibri" w:cs="Calibri"/>
        </w:rPr>
        <w:t>Kagne</w:t>
      </w:r>
      <w:proofErr w:type="spellEnd"/>
      <w:r w:rsidRPr="00DA4065">
        <w:rPr>
          <w:rFonts w:ascii="Calibri" w:hAnsi="Calibri" w:cs="Calibri"/>
        </w:rPr>
        <w:t xml:space="preserve"> provided valuable direction in structuring the analysis and ensuring its relevance to real-world banking challenges.</w:t>
      </w:r>
    </w:p>
    <w:p w14:paraId="7D353956" w14:textId="77777777" w:rsidR="00DA4065" w:rsidRPr="00DA4065" w:rsidRDefault="00DA4065" w:rsidP="00DA4065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A4065">
        <w:rPr>
          <w:rFonts w:ascii="Calibri" w:hAnsi="Calibri" w:cs="Calibri"/>
          <w:b/>
          <w:bCs/>
          <w:sz w:val="28"/>
          <w:szCs w:val="28"/>
        </w:rPr>
        <w:t>Methodology</w:t>
      </w:r>
    </w:p>
    <w:p w14:paraId="7DE58ABB" w14:textId="77777777" w:rsidR="00DA4065" w:rsidRPr="00DA4065" w:rsidRDefault="00DA4065" w:rsidP="00DA4065">
      <w:pPr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 xml:space="preserve">The analysis was conducted using Python with libraries such as pandas, </w:t>
      </w:r>
      <w:proofErr w:type="spellStart"/>
      <w:r w:rsidRPr="00DA4065">
        <w:rPr>
          <w:rFonts w:ascii="Calibri" w:hAnsi="Calibri" w:cs="Calibri"/>
        </w:rPr>
        <w:t>numpy</w:t>
      </w:r>
      <w:proofErr w:type="spellEnd"/>
      <w:r w:rsidRPr="00DA4065">
        <w:rPr>
          <w:rFonts w:ascii="Calibri" w:hAnsi="Calibri" w:cs="Calibri"/>
        </w:rPr>
        <w:t>, matplotlib, and seaborn. The workflow included:</w:t>
      </w:r>
    </w:p>
    <w:p w14:paraId="6A0816C0" w14:textId="77777777" w:rsidR="00DA4065" w:rsidRPr="00DA4065" w:rsidRDefault="00DA4065" w:rsidP="00CC467C">
      <w:pPr>
        <w:numPr>
          <w:ilvl w:val="0"/>
          <w:numId w:val="7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Data Cleaning: Removal of irrelevant fields (e.g., surnames), handling missing values, and ensuring binary consistency in categorical variables.</w:t>
      </w:r>
    </w:p>
    <w:p w14:paraId="535DB677" w14:textId="77777777" w:rsidR="00DA4065" w:rsidRPr="00DA4065" w:rsidRDefault="00DA4065" w:rsidP="00CC467C">
      <w:pPr>
        <w:numPr>
          <w:ilvl w:val="0"/>
          <w:numId w:val="7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Segmentation: Creation of derived fields such as Age Groups, Credit Score Bands, Tenure Groups, and Balance Segments.</w:t>
      </w:r>
    </w:p>
    <w:p w14:paraId="4D2DD097" w14:textId="77777777" w:rsidR="00DA4065" w:rsidRPr="00DA4065" w:rsidRDefault="00DA4065" w:rsidP="00CC467C">
      <w:pPr>
        <w:numPr>
          <w:ilvl w:val="0"/>
          <w:numId w:val="7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Exploratory Analysis: Calculation of churn rates across segments, visualization of churn distribution, and comparative profiling of retained vs. churned customers.</w:t>
      </w:r>
    </w:p>
    <w:p w14:paraId="71A81721" w14:textId="77777777" w:rsidR="00DA4065" w:rsidRPr="00DA4065" w:rsidRDefault="00DA4065" w:rsidP="00DA4065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A4065">
        <w:rPr>
          <w:rFonts w:ascii="Calibri" w:hAnsi="Calibri" w:cs="Calibri"/>
          <w:b/>
          <w:bCs/>
          <w:sz w:val="28"/>
          <w:szCs w:val="28"/>
        </w:rPr>
        <w:t>Results</w:t>
      </w:r>
    </w:p>
    <w:p w14:paraId="588C4ADE" w14:textId="77777777" w:rsidR="00DA4065" w:rsidRPr="00DA4065" w:rsidRDefault="00DA4065" w:rsidP="00DA4065">
      <w:pPr>
        <w:jc w:val="both"/>
        <w:rPr>
          <w:rFonts w:ascii="Calibri" w:hAnsi="Calibri" w:cs="Calibri"/>
          <w:b/>
          <w:bCs/>
        </w:rPr>
      </w:pPr>
      <w:r w:rsidRPr="00DA4065">
        <w:rPr>
          <w:rFonts w:ascii="Calibri" w:hAnsi="Calibri" w:cs="Calibri"/>
          <w:b/>
          <w:bCs/>
        </w:rPr>
        <w:t>Overall Churn</w:t>
      </w:r>
    </w:p>
    <w:p w14:paraId="1921067C" w14:textId="77777777" w:rsidR="00DA4065" w:rsidRPr="00DA4065" w:rsidRDefault="00DA4065" w:rsidP="00CC467C">
      <w:pPr>
        <w:numPr>
          <w:ilvl w:val="0"/>
          <w:numId w:val="8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The overall churn rate was approximately 20%, meaning one in five customers exited.</w:t>
      </w:r>
    </w:p>
    <w:p w14:paraId="230282BD" w14:textId="77777777" w:rsidR="00DA4065" w:rsidRPr="00DA4065" w:rsidRDefault="00DA4065" w:rsidP="00CC467C">
      <w:pPr>
        <w:numPr>
          <w:ilvl w:val="0"/>
          <w:numId w:val="8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A pie chart visualization confirmed the imbalance between retained and churned customers.</w:t>
      </w:r>
    </w:p>
    <w:p w14:paraId="325E4F46" w14:textId="77777777" w:rsidR="00DA4065" w:rsidRPr="00DA4065" w:rsidRDefault="00DA4065" w:rsidP="00DA4065">
      <w:pPr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Segment-Level Insights</w:t>
      </w:r>
    </w:p>
    <w:p w14:paraId="6713F643" w14:textId="77777777" w:rsidR="00DA4065" w:rsidRPr="00DA4065" w:rsidRDefault="00DA4065" w:rsidP="00CC467C">
      <w:pPr>
        <w:numPr>
          <w:ilvl w:val="0"/>
          <w:numId w:val="9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Age Groups: Customers aged 30–45 showed higher churn rates compared to younger and older groups.</w:t>
      </w:r>
    </w:p>
    <w:p w14:paraId="03DB4D46" w14:textId="77777777" w:rsidR="00DA4065" w:rsidRPr="00DA4065" w:rsidRDefault="00DA4065" w:rsidP="00CC467C">
      <w:pPr>
        <w:numPr>
          <w:ilvl w:val="0"/>
          <w:numId w:val="9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lastRenderedPageBreak/>
        <w:t>Geography: Certain regions exhibited disproportionately high churn, suggesting localized risk factors.</w:t>
      </w:r>
    </w:p>
    <w:p w14:paraId="0F301D3F" w14:textId="77777777" w:rsidR="00DA4065" w:rsidRPr="00DA4065" w:rsidRDefault="00DA4065" w:rsidP="00CC467C">
      <w:pPr>
        <w:numPr>
          <w:ilvl w:val="0"/>
          <w:numId w:val="9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Balance Segments: Customers with zero balances were more likely to churn, while surprisingly, even high-balance customers showed notable attrition.</w:t>
      </w:r>
    </w:p>
    <w:p w14:paraId="43DEB0CF" w14:textId="77777777" w:rsidR="00DA4065" w:rsidRPr="00DA4065" w:rsidRDefault="00DA4065" w:rsidP="00CC467C">
      <w:pPr>
        <w:numPr>
          <w:ilvl w:val="0"/>
          <w:numId w:val="9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Tenure Groups: Mid-term customers (3–7 years) churned more than new or long-term customers.</w:t>
      </w:r>
    </w:p>
    <w:p w14:paraId="5131D482" w14:textId="77777777" w:rsidR="00DA4065" w:rsidRPr="00DA4065" w:rsidRDefault="00DA4065" w:rsidP="00DA4065">
      <w:pPr>
        <w:jc w:val="both"/>
        <w:rPr>
          <w:rFonts w:ascii="Calibri" w:hAnsi="Calibri" w:cs="Calibri"/>
          <w:b/>
          <w:bCs/>
        </w:rPr>
      </w:pPr>
      <w:r w:rsidRPr="00DA4065">
        <w:rPr>
          <w:rFonts w:ascii="Calibri" w:hAnsi="Calibri" w:cs="Calibri"/>
          <w:b/>
          <w:bCs/>
        </w:rPr>
        <w:t>Contribution Analysis</w:t>
      </w:r>
    </w:p>
    <w:p w14:paraId="7FB25ADC" w14:textId="77777777" w:rsidR="00DA4065" w:rsidRPr="00DA4065" w:rsidRDefault="00DA4065" w:rsidP="00CC467C">
      <w:pPr>
        <w:numPr>
          <w:ilvl w:val="0"/>
          <w:numId w:val="10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Age and Credit Score contributed significantly to churn volume.</w:t>
      </w:r>
    </w:p>
    <w:p w14:paraId="7854AFBE" w14:textId="77777777" w:rsidR="00DA4065" w:rsidRPr="00DA4065" w:rsidRDefault="00DA4065" w:rsidP="00CC467C">
      <w:pPr>
        <w:numPr>
          <w:ilvl w:val="0"/>
          <w:numId w:val="10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High-value customers (large balances) accounted for a substantial share of lost revenue, underscoring the financial risk of churn.</w:t>
      </w:r>
    </w:p>
    <w:p w14:paraId="63E6F5BF" w14:textId="77777777" w:rsidR="00DA4065" w:rsidRPr="00DA4065" w:rsidRDefault="00DA4065" w:rsidP="00DA4065">
      <w:pPr>
        <w:jc w:val="both"/>
        <w:rPr>
          <w:rFonts w:ascii="Calibri" w:hAnsi="Calibri" w:cs="Calibri"/>
          <w:b/>
          <w:bCs/>
        </w:rPr>
      </w:pPr>
      <w:r w:rsidRPr="00DA4065">
        <w:rPr>
          <w:rFonts w:ascii="Calibri" w:hAnsi="Calibri" w:cs="Calibri"/>
          <w:b/>
          <w:bCs/>
        </w:rPr>
        <w:t>Comparative Profiles</w:t>
      </w:r>
    </w:p>
    <w:p w14:paraId="2E6E859E" w14:textId="77777777" w:rsidR="00DA4065" w:rsidRPr="00DA4065" w:rsidRDefault="00DA4065" w:rsidP="00CC467C">
      <w:pPr>
        <w:numPr>
          <w:ilvl w:val="0"/>
          <w:numId w:val="11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Churned customers tended to have lower credit scores, fewer products, and lower engagement levels.</w:t>
      </w:r>
    </w:p>
    <w:p w14:paraId="6108C115" w14:textId="77777777" w:rsidR="00DA4065" w:rsidRPr="00DA4065" w:rsidRDefault="00DA4065" w:rsidP="00CC467C">
      <w:pPr>
        <w:numPr>
          <w:ilvl w:val="0"/>
          <w:numId w:val="11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Gender differences were modest but present, with one gender showing slightly higher churn risk.</w:t>
      </w:r>
    </w:p>
    <w:p w14:paraId="27E435CC" w14:textId="77777777" w:rsidR="00DA4065" w:rsidRPr="00DA4065" w:rsidRDefault="00DA4065" w:rsidP="00CC467C">
      <w:pPr>
        <w:numPr>
          <w:ilvl w:val="0"/>
          <w:numId w:val="11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Inactive members were far more likely to churn compared to active ones.</w:t>
      </w:r>
    </w:p>
    <w:p w14:paraId="1B289291" w14:textId="77777777" w:rsidR="00DA4065" w:rsidRPr="00DA4065" w:rsidRDefault="00DA4065" w:rsidP="00DA4065">
      <w:pPr>
        <w:jc w:val="both"/>
        <w:rPr>
          <w:rFonts w:ascii="Calibri" w:hAnsi="Calibri" w:cs="Calibri"/>
          <w:b/>
          <w:bCs/>
        </w:rPr>
      </w:pPr>
      <w:r w:rsidRPr="00DA4065">
        <w:rPr>
          <w:rFonts w:ascii="Calibri" w:hAnsi="Calibri" w:cs="Calibri"/>
          <w:b/>
          <w:bCs/>
        </w:rPr>
        <w:t>My Analysis</w:t>
      </w:r>
    </w:p>
    <w:p w14:paraId="7E8B8C87" w14:textId="77777777" w:rsidR="00DA4065" w:rsidRPr="00DA4065" w:rsidRDefault="00DA4065" w:rsidP="00DA4065">
      <w:pPr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The following key takeaways summarize the most critical insights derived from this project:</w:t>
      </w:r>
    </w:p>
    <w:p w14:paraId="4A9B1EAA" w14:textId="77777777" w:rsidR="00DA4065" w:rsidRPr="00DA4065" w:rsidRDefault="00DA4065" w:rsidP="00CC467C">
      <w:pPr>
        <w:numPr>
          <w:ilvl w:val="0"/>
          <w:numId w:val="12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Mid-tenure, middle-aged customers with low balances and low credit scores are the most vulnerable to churn.</w:t>
      </w:r>
    </w:p>
    <w:p w14:paraId="3BF430E8" w14:textId="77777777" w:rsidR="00DA4065" w:rsidRPr="00DA4065" w:rsidRDefault="00DA4065" w:rsidP="00CC467C">
      <w:pPr>
        <w:numPr>
          <w:ilvl w:val="0"/>
          <w:numId w:val="12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Inactive customers churn far more than active ones → engagement programs are critical.</w:t>
      </w:r>
    </w:p>
    <w:p w14:paraId="22050342" w14:textId="77777777" w:rsidR="00DA4065" w:rsidRPr="00DA4065" w:rsidRDefault="00DA4065" w:rsidP="00CC467C">
      <w:pPr>
        <w:numPr>
          <w:ilvl w:val="0"/>
          <w:numId w:val="12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Zero-balance customers are the largest churn group, but high-balance churners pose the biggest revenue risk.</w:t>
      </w:r>
    </w:p>
    <w:p w14:paraId="355ABFB0" w14:textId="77777777" w:rsidR="00DA4065" w:rsidRPr="00DA4065" w:rsidRDefault="00DA4065" w:rsidP="00CC467C">
      <w:pPr>
        <w:numPr>
          <w:ilvl w:val="0"/>
          <w:numId w:val="12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Geography and gender differences matter → churn prevention strategies should be tailored by demographic.</w:t>
      </w:r>
    </w:p>
    <w:p w14:paraId="75788C11" w14:textId="77777777" w:rsidR="00DA4065" w:rsidRPr="00DA4065" w:rsidRDefault="00DA4065" w:rsidP="00CC467C">
      <w:pPr>
        <w:numPr>
          <w:ilvl w:val="0"/>
          <w:numId w:val="12"/>
        </w:numPr>
        <w:spacing w:line="240" w:lineRule="auto"/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Financial stability indicators (credit score, salary, balance) strongly correlate with churn.</w:t>
      </w:r>
    </w:p>
    <w:p w14:paraId="6DB02FD9" w14:textId="77777777" w:rsidR="00DA4065" w:rsidRPr="00DA4065" w:rsidRDefault="00DA4065" w:rsidP="00DA4065">
      <w:pPr>
        <w:jc w:val="both"/>
        <w:rPr>
          <w:rFonts w:ascii="Calibri" w:hAnsi="Calibri" w:cs="Calibri"/>
        </w:rPr>
      </w:pPr>
    </w:p>
    <w:p w14:paraId="78F08D8D" w14:textId="1B1AC97B" w:rsidR="00DA4065" w:rsidRPr="00DA4065" w:rsidRDefault="00DA4065" w:rsidP="00DA4065">
      <w:pPr>
        <w:jc w:val="both"/>
        <w:rPr>
          <w:rFonts w:ascii="Calibri" w:hAnsi="Calibri" w:cs="Calibri"/>
          <w:b/>
          <w:bCs/>
        </w:rPr>
      </w:pPr>
      <w:r w:rsidRPr="00DA4065">
        <w:rPr>
          <w:rFonts w:ascii="Calibri" w:hAnsi="Calibri" w:cs="Calibri"/>
          <w:b/>
          <w:bCs/>
        </w:rPr>
        <w:t>Conclusion</w:t>
      </w:r>
    </w:p>
    <w:p w14:paraId="3F734E23" w14:textId="465286EB" w:rsidR="00DA4065" w:rsidRPr="00DA4065" w:rsidRDefault="00DA4065" w:rsidP="00DA4065">
      <w:pPr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>This project provides a clear, segmentation-driven understanding of customer churn in European banking. By uncovering churn patterns across geography, demographics, and financial profiles, it equips decision-makers with actionable insights to design targeted, data-driven retention strategies. The successful completion of this project was made possible through the guidance and mentorship of Mr. Sai</w:t>
      </w:r>
      <w:r w:rsidR="00CC467C">
        <w:rPr>
          <w:rFonts w:ascii="Calibri" w:hAnsi="Calibri" w:cs="Calibri"/>
        </w:rPr>
        <w:t>p</w:t>
      </w:r>
      <w:r w:rsidRPr="00DA4065">
        <w:rPr>
          <w:rFonts w:ascii="Calibri" w:hAnsi="Calibri" w:cs="Calibri"/>
        </w:rPr>
        <w:t>rasad Kagne.</w:t>
      </w:r>
    </w:p>
    <w:p w14:paraId="7C54110D" w14:textId="77777777" w:rsidR="00DA4065" w:rsidRPr="00DA4065" w:rsidRDefault="00DA4065" w:rsidP="00DA4065">
      <w:pPr>
        <w:jc w:val="both"/>
        <w:rPr>
          <w:rFonts w:ascii="Calibri" w:hAnsi="Calibri" w:cs="Calibri"/>
          <w:b/>
          <w:bCs/>
        </w:rPr>
      </w:pPr>
      <w:r w:rsidRPr="00DA4065">
        <w:rPr>
          <w:rFonts w:ascii="Calibri" w:hAnsi="Calibri" w:cs="Calibri"/>
          <w:b/>
          <w:bCs/>
        </w:rPr>
        <w:lastRenderedPageBreak/>
        <w:t>References</w:t>
      </w:r>
    </w:p>
    <w:p w14:paraId="401F1BBB" w14:textId="77777777" w:rsidR="00DA4065" w:rsidRPr="00DA4065" w:rsidRDefault="00DA4065" w:rsidP="00DA4065">
      <w:pPr>
        <w:numPr>
          <w:ilvl w:val="0"/>
          <w:numId w:val="13"/>
        </w:numPr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 xml:space="preserve">Gupta, S., &amp; Lehmann, D. R. (2003). Customers as assets. </w:t>
      </w:r>
      <w:r w:rsidRPr="00DA4065">
        <w:rPr>
          <w:rFonts w:ascii="Calibri" w:hAnsi="Calibri" w:cs="Calibri"/>
          <w:i/>
          <w:iCs/>
        </w:rPr>
        <w:t>Journal of Interactive Marketing</w:t>
      </w:r>
      <w:r w:rsidRPr="00DA4065">
        <w:rPr>
          <w:rFonts w:ascii="Calibri" w:hAnsi="Calibri" w:cs="Calibri"/>
        </w:rPr>
        <w:t>, 17(1), 9–24.</w:t>
      </w:r>
    </w:p>
    <w:p w14:paraId="0477A017" w14:textId="77777777" w:rsidR="00DA4065" w:rsidRPr="00DA4065" w:rsidRDefault="00DA4065" w:rsidP="00DA4065">
      <w:pPr>
        <w:numPr>
          <w:ilvl w:val="0"/>
          <w:numId w:val="13"/>
        </w:numPr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 xml:space="preserve">Verbeke, W., Martens, D., &amp; </w:t>
      </w:r>
      <w:proofErr w:type="spellStart"/>
      <w:r w:rsidRPr="00DA4065">
        <w:rPr>
          <w:rFonts w:ascii="Calibri" w:hAnsi="Calibri" w:cs="Calibri"/>
        </w:rPr>
        <w:t>Baesens</w:t>
      </w:r>
      <w:proofErr w:type="spellEnd"/>
      <w:r w:rsidRPr="00DA4065">
        <w:rPr>
          <w:rFonts w:ascii="Calibri" w:hAnsi="Calibri" w:cs="Calibri"/>
        </w:rPr>
        <w:t xml:space="preserve">, B. (2011). Social network analysis for customer churn prediction. </w:t>
      </w:r>
      <w:r w:rsidRPr="00DA4065">
        <w:rPr>
          <w:rFonts w:ascii="Calibri" w:hAnsi="Calibri" w:cs="Calibri"/>
          <w:i/>
          <w:iCs/>
        </w:rPr>
        <w:t>Applied Soft Computing</w:t>
      </w:r>
      <w:r w:rsidRPr="00DA4065">
        <w:rPr>
          <w:rFonts w:ascii="Calibri" w:hAnsi="Calibri" w:cs="Calibri"/>
        </w:rPr>
        <w:t>, 11(3), 221–230.</w:t>
      </w:r>
    </w:p>
    <w:p w14:paraId="7C454CF2" w14:textId="77777777" w:rsidR="00DA4065" w:rsidRPr="00DA4065" w:rsidRDefault="00DA4065" w:rsidP="00DA4065">
      <w:pPr>
        <w:numPr>
          <w:ilvl w:val="0"/>
          <w:numId w:val="13"/>
        </w:numPr>
        <w:jc w:val="both"/>
        <w:rPr>
          <w:rFonts w:ascii="Calibri" w:hAnsi="Calibri" w:cs="Calibri"/>
        </w:rPr>
      </w:pPr>
      <w:r w:rsidRPr="00DA4065">
        <w:rPr>
          <w:rFonts w:ascii="Calibri" w:hAnsi="Calibri" w:cs="Calibri"/>
        </w:rPr>
        <w:t xml:space="preserve">European Banking Authority (2024). Customer retention and risk management in EU banks. </w:t>
      </w:r>
      <w:r w:rsidRPr="00DA4065">
        <w:rPr>
          <w:rFonts w:ascii="Calibri" w:hAnsi="Calibri" w:cs="Calibri"/>
          <w:i/>
          <w:iCs/>
        </w:rPr>
        <w:t>Annual Report</w:t>
      </w:r>
      <w:r w:rsidRPr="00DA4065">
        <w:rPr>
          <w:rFonts w:ascii="Calibri" w:hAnsi="Calibri" w:cs="Calibri"/>
        </w:rPr>
        <w:t>.</w:t>
      </w:r>
    </w:p>
    <w:p w14:paraId="77A3224B" w14:textId="2A321CE2" w:rsidR="002C2681" w:rsidRPr="00DA4065" w:rsidRDefault="002C2681" w:rsidP="00DA4065">
      <w:pPr>
        <w:jc w:val="both"/>
        <w:rPr>
          <w:rFonts w:ascii="Calibri" w:hAnsi="Calibri" w:cs="Calibri"/>
          <w:sz w:val="20"/>
          <w:szCs w:val="20"/>
        </w:rPr>
      </w:pPr>
    </w:p>
    <w:sectPr w:rsidR="002C2681" w:rsidRPr="00DA40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14494"/>
    <w:multiLevelType w:val="multilevel"/>
    <w:tmpl w:val="29C26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D82009"/>
    <w:multiLevelType w:val="multilevel"/>
    <w:tmpl w:val="59A0A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CE7C58"/>
    <w:multiLevelType w:val="hybridMultilevel"/>
    <w:tmpl w:val="569034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554B99"/>
    <w:multiLevelType w:val="multilevel"/>
    <w:tmpl w:val="EA24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574EE8"/>
    <w:multiLevelType w:val="multilevel"/>
    <w:tmpl w:val="B478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C3575F"/>
    <w:multiLevelType w:val="multilevel"/>
    <w:tmpl w:val="62360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83425C"/>
    <w:multiLevelType w:val="multilevel"/>
    <w:tmpl w:val="EE76D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FA79F0"/>
    <w:multiLevelType w:val="multilevel"/>
    <w:tmpl w:val="88DC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442968"/>
    <w:multiLevelType w:val="multilevel"/>
    <w:tmpl w:val="67F6A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063107"/>
    <w:multiLevelType w:val="multilevel"/>
    <w:tmpl w:val="0D12E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B23853"/>
    <w:multiLevelType w:val="multilevel"/>
    <w:tmpl w:val="13DC3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6F0032"/>
    <w:multiLevelType w:val="multilevel"/>
    <w:tmpl w:val="554C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A22658"/>
    <w:multiLevelType w:val="multilevel"/>
    <w:tmpl w:val="4E3E1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0437753">
    <w:abstractNumId w:val="3"/>
  </w:num>
  <w:num w:numId="2" w16cid:durableId="256139347">
    <w:abstractNumId w:val="12"/>
  </w:num>
  <w:num w:numId="3" w16cid:durableId="2139714615">
    <w:abstractNumId w:val="1"/>
  </w:num>
  <w:num w:numId="4" w16cid:durableId="657079637">
    <w:abstractNumId w:val="4"/>
  </w:num>
  <w:num w:numId="5" w16cid:durableId="2093315848">
    <w:abstractNumId w:val="5"/>
  </w:num>
  <w:num w:numId="6" w16cid:durableId="519012258">
    <w:abstractNumId w:val="2"/>
  </w:num>
  <w:num w:numId="7" w16cid:durableId="431048103">
    <w:abstractNumId w:val="7"/>
  </w:num>
  <w:num w:numId="8" w16cid:durableId="1016929457">
    <w:abstractNumId w:val="8"/>
  </w:num>
  <w:num w:numId="9" w16cid:durableId="247883978">
    <w:abstractNumId w:val="11"/>
  </w:num>
  <w:num w:numId="10" w16cid:durableId="1652829185">
    <w:abstractNumId w:val="10"/>
  </w:num>
  <w:num w:numId="11" w16cid:durableId="1970089991">
    <w:abstractNumId w:val="9"/>
  </w:num>
  <w:num w:numId="12" w16cid:durableId="186717378">
    <w:abstractNumId w:val="6"/>
  </w:num>
  <w:num w:numId="13" w16cid:durableId="2083791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681"/>
    <w:rsid w:val="002C2681"/>
    <w:rsid w:val="003812F3"/>
    <w:rsid w:val="00B43844"/>
    <w:rsid w:val="00CB0DDB"/>
    <w:rsid w:val="00CC467C"/>
    <w:rsid w:val="00DA4065"/>
    <w:rsid w:val="00E14333"/>
    <w:rsid w:val="00E33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B4BE1"/>
  <w15:chartTrackingRefBased/>
  <w15:docId w15:val="{B1538DFB-0F9E-4FEC-B00B-59EA6E06F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26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26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6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2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26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26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26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26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26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6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26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6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26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26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26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26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26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26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2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26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26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2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26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26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26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26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26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26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3</Pages>
  <Words>633</Words>
  <Characters>3611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jitinraju14011995@outlook.com</dc:creator>
  <cp:keywords/>
  <dc:description/>
  <cp:lastModifiedBy>jitinraju14011995@outlook.com</cp:lastModifiedBy>
  <cp:revision>5</cp:revision>
  <cp:lastPrinted>2026-04-08T11:31:00Z</cp:lastPrinted>
  <dcterms:created xsi:type="dcterms:W3CDTF">2026-04-08T10:27:00Z</dcterms:created>
  <dcterms:modified xsi:type="dcterms:W3CDTF">2026-04-08T11:31:00Z</dcterms:modified>
</cp:coreProperties>
</file>