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AD3AE" w14:textId="77777777" w:rsidR="00DA4065" w:rsidRPr="00DA4065" w:rsidRDefault="00DA4065" w:rsidP="00DA4065">
      <w:pPr>
        <w:jc w:val="center"/>
        <w:rPr>
          <w:rFonts w:ascii="Calibri" w:hAnsi="Calibri" w:cs="Calibri"/>
          <w:b/>
          <w:bCs/>
          <w:sz w:val="32"/>
          <w:szCs w:val="32"/>
        </w:rPr>
      </w:pPr>
      <w:r w:rsidRPr="00DA4065">
        <w:rPr>
          <w:rFonts w:ascii="Calibri" w:hAnsi="Calibri" w:cs="Calibri"/>
          <w:b/>
          <w:bCs/>
          <w:sz w:val="32"/>
          <w:szCs w:val="32"/>
        </w:rPr>
        <w:t>Customer Segmentation &amp; Churn Pattern Analytics in European Banking</w:t>
      </w:r>
    </w:p>
    <w:p w14:paraId="6BE7A249" w14:textId="77777777" w:rsidR="00DA4065" w:rsidRDefault="00DA4065" w:rsidP="00DA4065">
      <w:pPr>
        <w:jc w:val="center"/>
        <w:rPr>
          <w:rFonts w:ascii="Calibri" w:hAnsi="Calibri" w:cs="Calibri"/>
          <w:b/>
          <w:bCs/>
        </w:rPr>
      </w:pPr>
      <w:r w:rsidRPr="00DA4065">
        <w:rPr>
          <w:rFonts w:ascii="Calibri" w:hAnsi="Calibri" w:cs="Calibri"/>
        </w:rPr>
        <w:t xml:space="preserve">By </w:t>
      </w:r>
      <w:r w:rsidRPr="00DA4065">
        <w:rPr>
          <w:rFonts w:ascii="Calibri" w:hAnsi="Calibri" w:cs="Calibri"/>
          <w:b/>
          <w:bCs/>
        </w:rPr>
        <w:t>Jitin Raju</w:t>
      </w:r>
    </w:p>
    <w:p w14:paraId="7D06642D" w14:textId="77777777" w:rsidR="008D6711" w:rsidRDefault="008D6711" w:rsidP="00DA4065">
      <w:pPr>
        <w:jc w:val="center"/>
        <w:rPr>
          <w:rFonts w:ascii="Calibri" w:hAnsi="Calibri" w:cs="Calibri"/>
        </w:rPr>
      </w:pPr>
    </w:p>
    <w:p w14:paraId="63503895" w14:textId="77777777" w:rsidR="00E65A75" w:rsidRPr="00DA4065" w:rsidRDefault="00E65A75" w:rsidP="00E65A75">
      <w:pPr>
        <w:jc w:val="both"/>
        <w:rPr>
          <w:rFonts w:ascii="Calibri" w:hAnsi="Calibri" w:cs="Calibri"/>
          <w:b/>
          <w:bCs/>
          <w:sz w:val="28"/>
          <w:szCs w:val="28"/>
        </w:rPr>
      </w:pPr>
      <w:r w:rsidRPr="00DA4065">
        <w:rPr>
          <w:rFonts w:ascii="Calibri" w:hAnsi="Calibri" w:cs="Calibri"/>
          <w:b/>
          <w:bCs/>
          <w:sz w:val="28"/>
          <w:szCs w:val="28"/>
        </w:rPr>
        <w:t>Abstract</w:t>
      </w:r>
    </w:p>
    <w:p w14:paraId="17979050" w14:textId="77777777" w:rsidR="00E65A75" w:rsidRPr="00DA4065" w:rsidRDefault="00E65A75" w:rsidP="00E65A75">
      <w:pPr>
        <w:jc w:val="both"/>
        <w:rPr>
          <w:rFonts w:ascii="Calibri" w:hAnsi="Calibri" w:cs="Calibri"/>
        </w:rPr>
      </w:pPr>
      <w:r w:rsidRPr="00DA4065">
        <w:rPr>
          <w:rFonts w:ascii="Calibri" w:hAnsi="Calibri" w:cs="Calibri"/>
        </w:rPr>
        <w:t xml:space="preserve">Customer churn remains one of the most pressing challenges in the banking sector. This study explores churn patterns using a European bank dataset, applying segmentation techniques and visual analytics to uncover demographic, financial, and </w:t>
      </w:r>
      <w:proofErr w:type="spellStart"/>
      <w:r w:rsidRPr="00DA4065">
        <w:rPr>
          <w:rFonts w:ascii="Calibri" w:hAnsi="Calibri" w:cs="Calibri"/>
        </w:rPr>
        <w:t>behavioral</w:t>
      </w:r>
      <w:proofErr w:type="spellEnd"/>
      <w:r w:rsidRPr="00DA4065">
        <w:rPr>
          <w:rFonts w:ascii="Calibri" w:hAnsi="Calibri" w:cs="Calibri"/>
        </w:rPr>
        <w:t xml:space="preserve"> drivers of customer attrition. The findings highlight key risk groups and provide actionable insights for customer retention strategies. This project was carried out under the guidance of Mr. Sai</w:t>
      </w:r>
      <w:r>
        <w:rPr>
          <w:rFonts w:ascii="Calibri" w:hAnsi="Calibri" w:cs="Calibri"/>
        </w:rPr>
        <w:t>p</w:t>
      </w:r>
      <w:r w:rsidRPr="00DA4065">
        <w:rPr>
          <w:rFonts w:ascii="Calibri" w:hAnsi="Calibri" w:cs="Calibri"/>
        </w:rPr>
        <w:t>rasad Kagne.</w:t>
      </w:r>
    </w:p>
    <w:p w14:paraId="7A8F377A" w14:textId="77777777" w:rsidR="00E65A75" w:rsidRPr="00DA4065" w:rsidRDefault="00E65A75" w:rsidP="00E65A75">
      <w:pPr>
        <w:rPr>
          <w:rFonts w:ascii="Calibri" w:hAnsi="Calibri" w:cs="Calibri"/>
        </w:rPr>
      </w:pPr>
    </w:p>
    <w:p w14:paraId="72B7CE60" w14:textId="7972CAC2" w:rsidR="00DA4065" w:rsidRPr="00E65A75" w:rsidRDefault="00DA4065" w:rsidP="00E65A75">
      <w:pPr>
        <w:pStyle w:val="ListParagraph"/>
        <w:numPr>
          <w:ilvl w:val="0"/>
          <w:numId w:val="19"/>
        </w:numPr>
        <w:jc w:val="both"/>
        <w:rPr>
          <w:rFonts w:ascii="Calibri" w:hAnsi="Calibri" w:cs="Calibri"/>
          <w:b/>
          <w:bCs/>
          <w:sz w:val="28"/>
          <w:szCs w:val="28"/>
        </w:rPr>
      </w:pPr>
      <w:r w:rsidRPr="00E65A75">
        <w:rPr>
          <w:rFonts w:ascii="Calibri" w:hAnsi="Calibri" w:cs="Calibri"/>
          <w:b/>
          <w:bCs/>
          <w:sz w:val="28"/>
          <w:szCs w:val="28"/>
        </w:rPr>
        <w:t>Introduction</w:t>
      </w:r>
    </w:p>
    <w:p w14:paraId="5DA7BA38" w14:textId="77777777" w:rsidR="001A1A42" w:rsidRPr="001A1A42" w:rsidRDefault="001A1A42" w:rsidP="00E65A75">
      <w:pPr>
        <w:jc w:val="both"/>
        <w:rPr>
          <w:rFonts w:ascii="Calibri" w:hAnsi="Calibri" w:cs="Calibri"/>
        </w:rPr>
      </w:pPr>
      <w:r w:rsidRPr="001A1A42">
        <w:rPr>
          <w:rFonts w:ascii="Calibri" w:hAnsi="Calibri" w:cs="Calibri"/>
        </w:rPr>
        <w:t xml:space="preserve">Customer churn has become one of the most pressing challenges in the modern banking industry. While attracting new customers is important, retaining existing ones often proves more valuable in the long run. Every customer who leaves represents not only a loss of potential lifetime value but also an increase in acquisition costs and revenue instability. Banks face significant losses when customers discontinue their services, making it critical to understand </w:t>
      </w:r>
      <w:r w:rsidRPr="001A1A42">
        <w:rPr>
          <w:rFonts w:ascii="Calibri" w:hAnsi="Calibri" w:cs="Calibri"/>
          <w:i/>
          <w:iCs/>
        </w:rPr>
        <w:t>who</w:t>
      </w:r>
      <w:r w:rsidRPr="001A1A42">
        <w:rPr>
          <w:rFonts w:ascii="Calibri" w:hAnsi="Calibri" w:cs="Calibri"/>
        </w:rPr>
        <w:t xml:space="preserve"> is leaving and </w:t>
      </w:r>
      <w:r w:rsidRPr="001A1A42">
        <w:rPr>
          <w:rFonts w:ascii="Calibri" w:hAnsi="Calibri" w:cs="Calibri"/>
          <w:i/>
          <w:iCs/>
        </w:rPr>
        <w:t>why</w:t>
      </w:r>
      <w:r w:rsidRPr="001A1A42">
        <w:rPr>
          <w:rFonts w:ascii="Calibri" w:hAnsi="Calibri" w:cs="Calibri"/>
        </w:rPr>
        <w:t>.</w:t>
      </w:r>
    </w:p>
    <w:p w14:paraId="069FEC23" w14:textId="77777777" w:rsidR="001A1A42" w:rsidRPr="001A1A42" w:rsidRDefault="001A1A42" w:rsidP="00E65A75">
      <w:pPr>
        <w:jc w:val="both"/>
        <w:rPr>
          <w:rFonts w:ascii="Calibri" w:hAnsi="Calibri" w:cs="Calibri"/>
        </w:rPr>
      </w:pPr>
      <w:r w:rsidRPr="001A1A42">
        <w:rPr>
          <w:rFonts w:ascii="Calibri" w:hAnsi="Calibri" w:cs="Calibri"/>
        </w:rPr>
        <w:t xml:space="preserve">This project focuses on </w:t>
      </w:r>
      <w:r w:rsidRPr="001A1A42">
        <w:rPr>
          <w:rFonts w:ascii="Calibri" w:hAnsi="Calibri" w:cs="Calibri"/>
          <w:b/>
          <w:bCs/>
        </w:rPr>
        <w:t>customer segmentation and churn pattern analytics in European banking</w:t>
      </w:r>
      <w:r w:rsidRPr="001A1A42">
        <w:rPr>
          <w:rFonts w:ascii="Calibri" w:hAnsi="Calibri" w:cs="Calibri"/>
        </w:rPr>
        <w:t xml:space="preserve">, aiming to bridge that gap. By examining customer </w:t>
      </w:r>
      <w:proofErr w:type="spellStart"/>
      <w:r w:rsidRPr="001A1A42">
        <w:rPr>
          <w:rFonts w:ascii="Calibri" w:hAnsi="Calibri" w:cs="Calibri"/>
        </w:rPr>
        <w:t>behavior</w:t>
      </w:r>
      <w:proofErr w:type="spellEnd"/>
      <w:r w:rsidRPr="001A1A42">
        <w:rPr>
          <w:rFonts w:ascii="Calibri" w:hAnsi="Calibri" w:cs="Calibri"/>
        </w:rPr>
        <w:t xml:space="preserve"> across demographics, geography, and financial profiles, the study seeks to identify which groups are most at risk of leaving and how churn differs among them. Instead of treating churn as a single number, the project emphasizes a segmentation</w:t>
      </w:r>
      <w:r w:rsidRPr="001A1A42">
        <w:rPr>
          <w:rFonts w:ascii="Calibri" w:hAnsi="Calibri" w:cs="Calibri"/>
        </w:rPr>
        <w:noBreakHyphen/>
        <w:t>driven approach—looking at age brackets, tenure with the bank, credit scores, and account balances to reveal meaningful insights.</w:t>
      </w:r>
    </w:p>
    <w:p w14:paraId="40329C82" w14:textId="6B39246F" w:rsidR="001A1A42" w:rsidRPr="001A1A42" w:rsidRDefault="001A1A42" w:rsidP="00E65A75">
      <w:pPr>
        <w:jc w:val="both"/>
        <w:rPr>
          <w:rFonts w:ascii="Calibri" w:hAnsi="Calibri" w:cs="Calibri"/>
        </w:rPr>
      </w:pPr>
      <w:r w:rsidRPr="001A1A42">
        <w:rPr>
          <w:rFonts w:ascii="Calibri" w:hAnsi="Calibri" w:cs="Calibri"/>
        </w:rPr>
        <w:t xml:space="preserve">To achieve this, the project uses a </w:t>
      </w:r>
      <w:r w:rsidRPr="001A1A42">
        <w:rPr>
          <w:rFonts w:ascii="Calibri" w:hAnsi="Calibri" w:cs="Calibri"/>
          <w:b/>
          <w:bCs/>
        </w:rPr>
        <w:t>dataset</w:t>
      </w:r>
      <w:r w:rsidRPr="001A1A42">
        <w:rPr>
          <w:rFonts w:ascii="Calibri" w:hAnsi="Calibri" w:cs="Calibri"/>
        </w:rPr>
        <w:t xml:space="preserve"> that captures demographic, financial, and engagement variables. The analysis is structured to balance technical rigor with practical readability, ensuring that findings are accessible to both academic readers and banking professionals. </w:t>
      </w:r>
    </w:p>
    <w:p w14:paraId="70AAFDFE" w14:textId="77777777" w:rsidR="001A1A42" w:rsidRDefault="001A1A42" w:rsidP="00E65A75">
      <w:pPr>
        <w:jc w:val="both"/>
        <w:rPr>
          <w:rFonts w:ascii="Calibri" w:hAnsi="Calibri" w:cs="Calibri"/>
        </w:rPr>
      </w:pPr>
      <w:r w:rsidRPr="001A1A42">
        <w:rPr>
          <w:rFonts w:ascii="Calibri" w:hAnsi="Calibri" w:cs="Calibri"/>
        </w:rPr>
        <w:t>The ultimate goal is to provide banks with a clearer picture of their customer base and the risks they face. With this understanding, decision</w:t>
      </w:r>
      <w:r w:rsidRPr="001A1A42">
        <w:rPr>
          <w:rFonts w:ascii="Calibri" w:hAnsi="Calibri" w:cs="Calibri"/>
        </w:rPr>
        <w:noBreakHyphen/>
        <w:t>makers can design more targeted retention strategies, strengthen customer relationships, and reduce the hidden costs of churn. Beyond its immediate business value, the project also highlights how structured analytics can transform raw data into actionable knowledge, supporting both strategic planning and customer</w:t>
      </w:r>
      <w:r w:rsidRPr="001A1A42">
        <w:rPr>
          <w:rFonts w:ascii="Calibri" w:hAnsi="Calibri" w:cs="Calibri"/>
        </w:rPr>
        <w:noBreakHyphen/>
        <w:t>centric innovation in the financial sector.</w:t>
      </w:r>
    </w:p>
    <w:p w14:paraId="36F81C28" w14:textId="5EC1ADA5" w:rsidR="00E65A75" w:rsidRPr="00E65A75" w:rsidRDefault="00E65A75" w:rsidP="00E65A75">
      <w:pPr>
        <w:jc w:val="both"/>
        <w:rPr>
          <w:rFonts w:ascii="Calibri" w:hAnsi="Calibri" w:cs="Calibri"/>
          <w:b/>
          <w:bCs/>
        </w:rPr>
      </w:pPr>
      <w:r>
        <w:rPr>
          <w:rFonts w:ascii="Calibri" w:hAnsi="Calibri" w:cs="Calibri"/>
          <w:b/>
          <w:bCs/>
        </w:rPr>
        <w:lastRenderedPageBreak/>
        <w:t xml:space="preserve">1.1 </w:t>
      </w:r>
      <w:r w:rsidRPr="00E65A75">
        <w:rPr>
          <w:rFonts w:ascii="Calibri" w:hAnsi="Calibri" w:cs="Calibri"/>
          <w:b/>
          <w:bCs/>
        </w:rPr>
        <w:t>Problem Statement</w:t>
      </w:r>
    </w:p>
    <w:p w14:paraId="675CF42F" w14:textId="77777777" w:rsidR="00E65A75" w:rsidRPr="00E65A75" w:rsidRDefault="00E65A75" w:rsidP="00E65A75">
      <w:pPr>
        <w:jc w:val="both"/>
        <w:rPr>
          <w:rFonts w:ascii="Calibri" w:hAnsi="Calibri" w:cs="Calibri"/>
        </w:rPr>
      </w:pPr>
      <w:r w:rsidRPr="00E65A75">
        <w:rPr>
          <w:rFonts w:ascii="Calibri" w:hAnsi="Calibri" w:cs="Calibri"/>
        </w:rPr>
        <w:t>Despite having rich customer-level data, banks face challenges in:</w:t>
      </w:r>
    </w:p>
    <w:p w14:paraId="74109E1D" w14:textId="77777777" w:rsidR="00E65A75" w:rsidRPr="00E65A75" w:rsidRDefault="00E65A75" w:rsidP="00E65A75">
      <w:pPr>
        <w:ind w:left="720"/>
        <w:jc w:val="both"/>
        <w:rPr>
          <w:rFonts w:ascii="Calibri" w:hAnsi="Calibri" w:cs="Calibri"/>
        </w:rPr>
      </w:pPr>
      <w:r w:rsidRPr="00E65A75">
        <w:rPr>
          <w:rFonts w:ascii="Calibri" w:hAnsi="Calibri" w:cs="Calibri"/>
        </w:rPr>
        <w:t>• Identifying high-risk customer segments</w:t>
      </w:r>
    </w:p>
    <w:p w14:paraId="3C8EC615" w14:textId="77777777" w:rsidR="00E65A75" w:rsidRPr="00E65A75" w:rsidRDefault="00E65A75" w:rsidP="00E65A75">
      <w:pPr>
        <w:ind w:left="720"/>
        <w:jc w:val="both"/>
        <w:rPr>
          <w:rFonts w:ascii="Calibri" w:hAnsi="Calibri" w:cs="Calibri"/>
        </w:rPr>
      </w:pPr>
      <w:r w:rsidRPr="00E65A75">
        <w:rPr>
          <w:rFonts w:ascii="Calibri" w:hAnsi="Calibri" w:cs="Calibri"/>
        </w:rPr>
        <w:t>• Understanding churn differences by geography and demographics</w:t>
      </w:r>
    </w:p>
    <w:p w14:paraId="4C51DDBC" w14:textId="77777777" w:rsidR="00E65A75" w:rsidRPr="00E65A75" w:rsidRDefault="00E65A75" w:rsidP="00E65A75">
      <w:pPr>
        <w:ind w:left="720"/>
        <w:jc w:val="both"/>
        <w:rPr>
          <w:rFonts w:ascii="Calibri" w:hAnsi="Calibri" w:cs="Calibri"/>
        </w:rPr>
      </w:pPr>
      <w:r w:rsidRPr="00E65A75">
        <w:rPr>
          <w:rFonts w:ascii="Calibri" w:hAnsi="Calibri" w:cs="Calibri"/>
        </w:rPr>
        <w:t>• Quantifying the financial profile of churned customers</w:t>
      </w:r>
    </w:p>
    <w:p w14:paraId="6C22B765" w14:textId="7B46677F" w:rsidR="00E65A75" w:rsidRPr="00E65A75" w:rsidRDefault="00E65A75" w:rsidP="00E65A75">
      <w:pPr>
        <w:jc w:val="both"/>
        <w:rPr>
          <w:rFonts w:ascii="Calibri" w:hAnsi="Calibri" w:cs="Calibri"/>
          <w:b/>
          <w:bCs/>
        </w:rPr>
      </w:pPr>
      <w:r>
        <w:rPr>
          <w:rFonts w:ascii="Calibri" w:hAnsi="Calibri" w:cs="Calibri"/>
          <w:b/>
          <w:bCs/>
        </w:rPr>
        <w:t xml:space="preserve">1.2 </w:t>
      </w:r>
      <w:r w:rsidRPr="00E65A75">
        <w:rPr>
          <w:rFonts w:ascii="Calibri" w:hAnsi="Calibri" w:cs="Calibri"/>
          <w:b/>
          <w:bCs/>
        </w:rPr>
        <w:t>Project Objectives</w:t>
      </w:r>
    </w:p>
    <w:p w14:paraId="0AE2A132" w14:textId="77777777" w:rsidR="00E65A75" w:rsidRPr="00E65A75" w:rsidRDefault="00E65A75" w:rsidP="00E65A75">
      <w:pPr>
        <w:ind w:left="720"/>
        <w:jc w:val="both"/>
        <w:rPr>
          <w:rFonts w:ascii="Calibri" w:hAnsi="Calibri" w:cs="Calibri"/>
        </w:rPr>
      </w:pPr>
      <w:r w:rsidRPr="00E65A75">
        <w:rPr>
          <w:rFonts w:ascii="Calibri" w:hAnsi="Calibri" w:cs="Calibri"/>
        </w:rPr>
        <w:t>• Measure overall churn rate</w:t>
      </w:r>
    </w:p>
    <w:p w14:paraId="334EA640" w14:textId="77777777" w:rsidR="00E65A75" w:rsidRPr="00E65A75" w:rsidRDefault="00E65A75" w:rsidP="00E65A75">
      <w:pPr>
        <w:ind w:left="720"/>
        <w:jc w:val="both"/>
        <w:rPr>
          <w:rFonts w:ascii="Calibri" w:hAnsi="Calibri" w:cs="Calibri"/>
        </w:rPr>
      </w:pPr>
      <w:r w:rsidRPr="00E65A75">
        <w:rPr>
          <w:rFonts w:ascii="Calibri" w:hAnsi="Calibri" w:cs="Calibri"/>
        </w:rPr>
        <w:t>• Identify churn distribution across customer segments</w:t>
      </w:r>
    </w:p>
    <w:p w14:paraId="6B4CA9BB" w14:textId="77777777" w:rsidR="00E65A75" w:rsidRPr="00E65A75" w:rsidRDefault="00E65A75" w:rsidP="00E65A75">
      <w:pPr>
        <w:ind w:left="720"/>
        <w:jc w:val="both"/>
        <w:rPr>
          <w:rFonts w:ascii="Calibri" w:hAnsi="Calibri" w:cs="Calibri"/>
        </w:rPr>
      </w:pPr>
      <w:r w:rsidRPr="00E65A75">
        <w:rPr>
          <w:rFonts w:ascii="Calibri" w:hAnsi="Calibri" w:cs="Calibri"/>
        </w:rPr>
        <w:t xml:space="preserve">• Compare churn </w:t>
      </w:r>
      <w:proofErr w:type="spellStart"/>
      <w:r w:rsidRPr="00E65A75">
        <w:rPr>
          <w:rFonts w:ascii="Calibri" w:hAnsi="Calibri" w:cs="Calibri"/>
        </w:rPr>
        <w:t>behavior</w:t>
      </w:r>
      <w:proofErr w:type="spellEnd"/>
      <w:r w:rsidRPr="00E65A75">
        <w:rPr>
          <w:rFonts w:ascii="Calibri" w:hAnsi="Calibri" w:cs="Calibri"/>
        </w:rPr>
        <w:t xml:space="preserve"> across European regions</w:t>
      </w:r>
    </w:p>
    <w:p w14:paraId="77186BE2" w14:textId="58597CBE" w:rsidR="00E65A75" w:rsidRPr="00E65A75" w:rsidRDefault="00E65A75" w:rsidP="00E65A75">
      <w:pPr>
        <w:jc w:val="both"/>
        <w:rPr>
          <w:rFonts w:ascii="Calibri" w:hAnsi="Calibri" w:cs="Calibri"/>
          <w:b/>
          <w:bCs/>
        </w:rPr>
      </w:pPr>
      <w:r>
        <w:rPr>
          <w:rFonts w:ascii="Calibri" w:hAnsi="Calibri" w:cs="Calibri"/>
          <w:b/>
          <w:bCs/>
        </w:rPr>
        <w:t xml:space="preserve">1.3 </w:t>
      </w:r>
      <w:r w:rsidRPr="00E65A75">
        <w:rPr>
          <w:rFonts w:ascii="Calibri" w:hAnsi="Calibri" w:cs="Calibri"/>
          <w:b/>
          <w:bCs/>
        </w:rPr>
        <w:t>Secondary Objectives</w:t>
      </w:r>
    </w:p>
    <w:p w14:paraId="7EEFAE2A" w14:textId="77777777" w:rsidR="00E65A75" w:rsidRPr="00E65A75" w:rsidRDefault="00E65A75" w:rsidP="00E65A75">
      <w:pPr>
        <w:ind w:left="720"/>
        <w:jc w:val="both"/>
        <w:rPr>
          <w:rFonts w:ascii="Calibri" w:hAnsi="Calibri" w:cs="Calibri"/>
        </w:rPr>
      </w:pPr>
      <w:r w:rsidRPr="00E65A75">
        <w:rPr>
          <w:rFonts w:ascii="Calibri" w:hAnsi="Calibri" w:cs="Calibri"/>
        </w:rPr>
        <w:t>• Understand churn among high-value customers</w:t>
      </w:r>
    </w:p>
    <w:p w14:paraId="4BF98535" w14:textId="77777777" w:rsidR="00E65A75" w:rsidRPr="00E65A75" w:rsidRDefault="00E65A75" w:rsidP="00E65A75">
      <w:pPr>
        <w:ind w:left="720"/>
        <w:jc w:val="both"/>
        <w:rPr>
          <w:rFonts w:ascii="Calibri" w:hAnsi="Calibri" w:cs="Calibri"/>
        </w:rPr>
      </w:pPr>
      <w:r w:rsidRPr="00E65A75">
        <w:rPr>
          <w:rFonts w:ascii="Calibri" w:hAnsi="Calibri" w:cs="Calibri"/>
        </w:rPr>
        <w:t>• Evaluate engagement and tenure patterns</w:t>
      </w:r>
    </w:p>
    <w:p w14:paraId="058F9A48" w14:textId="53BF1F60" w:rsidR="00E65A75" w:rsidRPr="00E65A75" w:rsidRDefault="00E65A75" w:rsidP="00E65A75">
      <w:pPr>
        <w:ind w:left="720"/>
        <w:jc w:val="both"/>
        <w:rPr>
          <w:rFonts w:ascii="Calibri" w:hAnsi="Calibri" w:cs="Calibri"/>
        </w:rPr>
      </w:pPr>
      <w:r w:rsidRPr="00E65A75">
        <w:rPr>
          <w:rFonts w:ascii="Calibri" w:hAnsi="Calibri" w:cs="Calibri"/>
        </w:rPr>
        <w:t>• Support strategic planning and marketing decisions</w:t>
      </w:r>
    </w:p>
    <w:p w14:paraId="0D173F5C" w14:textId="026765F5" w:rsidR="00E65A75" w:rsidRPr="00E65A75" w:rsidRDefault="00E65A75" w:rsidP="00E65A75">
      <w:pPr>
        <w:jc w:val="both"/>
        <w:rPr>
          <w:rFonts w:ascii="Calibri" w:hAnsi="Calibri" w:cs="Calibri"/>
          <w:b/>
          <w:bCs/>
        </w:rPr>
      </w:pPr>
      <w:r>
        <w:rPr>
          <w:rFonts w:ascii="Calibri" w:hAnsi="Calibri" w:cs="Calibri"/>
          <w:b/>
          <w:bCs/>
        </w:rPr>
        <w:t xml:space="preserve">1.4 </w:t>
      </w:r>
      <w:r w:rsidRPr="00E65A75">
        <w:rPr>
          <w:rFonts w:ascii="Calibri" w:hAnsi="Calibri" w:cs="Calibri"/>
          <w:b/>
          <w:bCs/>
        </w:rPr>
        <w:t>Dataset Description</w:t>
      </w:r>
    </w:p>
    <w:tbl>
      <w:tblPr>
        <w:tblW w:w="939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550"/>
        <w:gridCol w:w="5843"/>
      </w:tblGrid>
      <w:tr w:rsidR="00E65A75" w:rsidRPr="00E65A75" w14:paraId="4C3993C8" w14:textId="77777777">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4FE6722E" w14:textId="77777777" w:rsidR="00E65A75" w:rsidRPr="00E65A75" w:rsidRDefault="00E65A75" w:rsidP="00E65A75">
            <w:pPr>
              <w:jc w:val="both"/>
              <w:rPr>
                <w:rFonts w:ascii="Calibri" w:hAnsi="Calibri" w:cs="Calibri"/>
                <w:b/>
                <w:bCs/>
              </w:rPr>
            </w:pPr>
            <w:r w:rsidRPr="00E65A75">
              <w:rPr>
                <w:rFonts w:ascii="Calibri" w:hAnsi="Calibri" w:cs="Calibri"/>
                <w:b/>
                <w:bCs/>
              </w:rPr>
              <w:t>Column</w:t>
            </w:r>
          </w:p>
        </w:tc>
        <w:tc>
          <w:tcPr>
            <w:tcW w:w="0" w:type="auto"/>
            <w:tcBorders>
              <w:top w:val="single" w:sz="2" w:space="0" w:color="auto"/>
              <w:left w:val="single" w:sz="2" w:space="0" w:color="auto"/>
              <w:bottom w:val="single" w:sz="2" w:space="0" w:color="auto"/>
              <w:right w:val="single" w:sz="2" w:space="0" w:color="auto"/>
            </w:tcBorders>
            <w:vAlign w:val="center"/>
            <w:hideMark/>
          </w:tcPr>
          <w:p w14:paraId="56B72CAC" w14:textId="77777777" w:rsidR="00E65A75" w:rsidRPr="00E65A75" w:rsidRDefault="00E65A75" w:rsidP="00E65A75">
            <w:pPr>
              <w:jc w:val="both"/>
              <w:rPr>
                <w:rFonts w:ascii="Calibri" w:hAnsi="Calibri" w:cs="Calibri"/>
                <w:b/>
                <w:bCs/>
              </w:rPr>
            </w:pPr>
            <w:r w:rsidRPr="00E65A75">
              <w:rPr>
                <w:rFonts w:ascii="Calibri" w:hAnsi="Calibri" w:cs="Calibri"/>
                <w:b/>
                <w:bCs/>
              </w:rPr>
              <w:t>Description</w:t>
            </w:r>
          </w:p>
        </w:tc>
      </w:tr>
      <w:tr w:rsidR="00E65A75" w:rsidRPr="00E65A75" w14:paraId="19DB6A1C"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57E73C91" w14:textId="77777777" w:rsidR="00E65A75" w:rsidRPr="00E65A75" w:rsidRDefault="00E65A75" w:rsidP="00E65A75">
            <w:pPr>
              <w:jc w:val="both"/>
              <w:rPr>
                <w:rFonts w:ascii="Calibri" w:hAnsi="Calibri" w:cs="Calibri"/>
              </w:rPr>
            </w:pPr>
            <w:proofErr w:type="spellStart"/>
            <w:r w:rsidRPr="00E65A75">
              <w:rPr>
                <w:rFonts w:ascii="Calibri" w:hAnsi="Calibri" w:cs="Calibri"/>
              </w:rPr>
              <w:t>CustomerId</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5D0B6981" w14:textId="77777777" w:rsidR="00E65A75" w:rsidRPr="00E65A75" w:rsidRDefault="00E65A75" w:rsidP="00E65A75">
            <w:pPr>
              <w:jc w:val="both"/>
              <w:rPr>
                <w:rFonts w:ascii="Calibri" w:hAnsi="Calibri" w:cs="Calibri"/>
              </w:rPr>
            </w:pPr>
            <w:r w:rsidRPr="00E65A75">
              <w:rPr>
                <w:rFonts w:ascii="Calibri" w:hAnsi="Calibri" w:cs="Calibri"/>
              </w:rPr>
              <w:t>Unique customer identifier</w:t>
            </w:r>
          </w:p>
        </w:tc>
      </w:tr>
      <w:tr w:rsidR="00E65A75" w:rsidRPr="00E65A75" w14:paraId="78582ABD"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11826B66" w14:textId="77777777" w:rsidR="00E65A75" w:rsidRPr="00E65A75" w:rsidRDefault="00E65A75" w:rsidP="00E65A75">
            <w:pPr>
              <w:jc w:val="both"/>
              <w:rPr>
                <w:rFonts w:ascii="Calibri" w:hAnsi="Calibri" w:cs="Calibri"/>
              </w:rPr>
            </w:pPr>
            <w:r w:rsidRPr="00E65A75">
              <w:rPr>
                <w:rFonts w:ascii="Calibri" w:hAnsi="Calibri" w:cs="Calibri"/>
              </w:rPr>
              <w:t>Surname</w:t>
            </w:r>
          </w:p>
        </w:tc>
        <w:tc>
          <w:tcPr>
            <w:tcW w:w="0" w:type="auto"/>
            <w:tcBorders>
              <w:top w:val="single" w:sz="2" w:space="0" w:color="auto"/>
              <w:left w:val="single" w:sz="2" w:space="0" w:color="auto"/>
              <w:bottom w:val="single" w:sz="2" w:space="0" w:color="auto"/>
              <w:right w:val="single" w:sz="2" w:space="0" w:color="auto"/>
            </w:tcBorders>
            <w:vAlign w:val="center"/>
            <w:hideMark/>
          </w:tcPr>
          <w:p w14:paraId="535ED682" w14:textId="77777777" w:rsidR="00E65A75" w:rsidRPr="00E65A75" w:rsidRDefault="00E65A75" w:rsidP="00E65A75">
            <w:pPr>
              <w:jc w:val="both"/>
              <w:rPr>
                <w:rFonts w:ascii="Calibri" w:hAnsi="Calibri" w:cs="Calibri"/>
              </w:rPr>
            </w:pPr>
            <w:r w:rsidRPr="00E65A75">
              <w:rPr>
                <w:rFonts w:ascii="Calibri" w:hAnsi="Calibri" w:cs="Calibri"/>
              </w:rPr>
              <w:t>Customer surname</w:t>
            </w:r>
          </w:p>
        </w:tc>
      </w:tr>
      <w:tr w:rsidR="00E65A75" w:rsidRPr="00E65A75" w14:paraId="1406A2C0"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696C9BFA" w14:textId="77777777" w:rsidR="00E65A75" w:rsidRPr="00E65A75" w:rsidRDefault="00E65A75" w:rsidP="00E65A75">
            <w:pPr>
              <w:jc w:val="both"/>
              <w:rPr>
                <w:rFonts w:ascii="Calibri" w:hAnsi="Calibri" w:cs="Calibri"/>
              </w:rPr>
            </w:pPr>
            <w:proofErr w:type="spellStart"/>
            <w:r w:rsidRPr="00E65A75">
              <w:rPr>
                <w:rFonts w:ascii="Calibri" w:hAnsi="Calibri" w:cs="Calibri"/>
              </w:rPr>
              <w:t>CreditScore</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06A8C7D3" w14:textId="77777777" w:rsidR="00E65A75" w:rsidRPr="00E65A75" w:rsidRDefault="00E65A75" w:rsidP="00E65A75">
            <w:pPr>
              <w:jc w:val="both"/>
              <w:rPr>
                <w:rFonts w:ascii="Calibri" w:hAnsi="Calibri" w:cs="Calibri"/>
              </w:rPr>
            </w:pPr>
            <w:r w:rsidRPr="00E65A75">
              <w:rPr>
                <w:rFonts w:ascii="Calibri" w:hAnsi="Calibri" w:cs="Calibri"/>
              </w:rPr>
              <w:t>Customer creditworthiness</w:t>
            </w:r>
          </w:p>
        </w:tc>
      </w:tr>
      <w:tr w:rsidR="00E65A75" w:rsidRPr="00E65A75" w14:paraId="6A9E9473"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5D9E62F6" w14:textId="77777777" w:rsidR="00E65A75" w:rsidRPr="00E65A75" w:rsidRDefault="00E65A75" w:rsidP="00E65A75">
            <w:pPr>
              <w:jc w:val="both"/>
              <w:rPr>
                <w:rFonts w:ascii="Calibri" w:hAnsi="Calibri" w:cs="Calibri"/>
              </w:rPr>
            </w:pPr>
            <w:r w:rsidRPr="00E65A75">
              <w:rPr>
                <w:rFonts w:ascii="Calibri" w:hAnsi="Calibri" w:cs="Calibri"/>
              </w:rPr>
              <w:t>Geography</w:t>
            </w:r>
          </w:p>
        </w:tc>
        <w:tc>
          <w:tcPr>
            <w:tcW w:w="0" w:type="auto"/>
            <w:tcBorders>
              <w:top w:val="single" w:sz="2" w:space="0" w:color="auto"/>
              <w:left w:val="single" w:sz="2" w:space="0" w:color="auto"/>
              <w:bottom w:val="single" w:sz="2" w:space="0" w:color="auto"/>
              <w:right w:val="single" w:sz="2" w:space="0" w:color="auto"/>
            </w:tcBorders>
            <w:vAlign w:val="center"/>
            <w:hideMark/>
          </w:tcPr>
          <w:p w14:paraId="20474E96" w14:textId="77777777" w:rsidR="00E65A75" w:rsidRPr="00E65A75" w:rsidRDefault="00E65A75" w:rsidP="00E65A75">
            <w:pPr>
              <w:jc w:val="both"/>
              <w:rPr>
                <w:rFonts w:ascii="Calibri" w:hAnsi="Calibri" w:cs="Calibri"/>
              </w:rPr>
            </w:pPr>
            <w:r w:rsidRPr="00E65A75">
              <w:rPr>
                <w:rFonts w:ascii="Calibri" w:hAnsi="Calibri" w:cs="Calibri"/>
              </w:rPr>
              <w:t>France, Spain, Germany</w:t>
            </w:r>
          </w:p>
        </w:tc>
      </w:tr>
      <w:tr w:rsidR="00E65A75" w:rsidRPr="00E65A75" w14:paraId="7D5C7C0D"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60B1F650" w14:textId="77777777" w:rsidR="00E65A75" w:rsidRPr="00E65A75" w:rsidRDefault="00E65A75" w:rsidP="00E65A75">
            <w:pPr>
              <w:jc w:val="both"/>
              <w:rPr>
                <w:rFonts w:ascii="Calibri" w:hAnsi="Calibri" w:cs="Calibri"/>
              </w:rPr>
            </w:pPr>
            <w:r w:rsidRPr="00E65A75">
              <w:rPr>
                <w:rFonts w:ascii="Calibri" w:hAnsi="Calibri" w:cs="Calibri"/>
              </w:rPr>
              <w:t>Gender</w:t>
            </w:r>
          </w:p>
        </w:tc>
        <w:tc>
          <w:tcPr>
            <w:tcW w:w="0" w:type="auto"/>
            <w:tcBorders>
              <w:top w:val="single" w:sz="2" w:space="0" w:color="auto"/>
              <w:left w:val="single" w:sz="2" w:space="0" w:color="auto"/>
              <w:bottom w:val="single" w:sz="2" w:space="0" w:color="auto"/>
              <w:right w:val="single" w:sz="2" w:space="0" w:color="auto"/>
            </w:tcBorders>
            <w:vAlign w:val="center"/>
            <w:hideMark/>
          </w:tcPr>
          <w:p w14:paraId="2643428A" w14:textId="77777777" w:rsidR="00E65A75" w:rsidRPr="00E65A75" w:rsidRDefault="00E65A75" w:rsidP="00E65A75">
            <w:pPr>
              <w:jc w:val="both"/>
              <w:rPr>
                <w:rFonts w:ascii="Calibri" w:hAnsi="Calibri" w:cs="Calibri"/>
              </w:rPr>
            </w:pPr>
            <w:r w:rsidRPr="00E65A75">
              <w:rPr>
                <w:rFonts w:ascii="Calibri" w:hAnsi="Calibri" w:cs="Calibri"/>
              </w:rPr>
              <w:t>Male / Female</w:t>
            </w:r>
          </w:p>
        </w:tc>
      </w:tr>
      <w:tr w:rsidR="00E65A75" w:rsidRPr="00E65A75" w14:paraId="56376D51"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600FE958" w14:textId="77777777" w:rsidR="00E65A75" w:rsidRPr="00E65A75" w:rsidRDefault="00E65A75" w:rsidP="00E65A75">
            <w:pPr>
              <w:jc w:val="both"/>
              <w:rPr>
                <w:rFonts w:ascii="Calibri" w:hAnsi="Calibri" w:cs="Calibri"/>
              </w:rPr>
            </w:pPr>
            <w:r w:rsidRPr="00E65A75">
              <w:rPr>
                <w:rFonts w:ascii="Calibri" w:hAnsi="Calibri" w:cs="Calibri"/>
              </w:rPr>
              <w:t>Age</w:t>
            </w:r>
          </w:p>
        </w:tc>
        <w:tc>
          <w:tcPr>
            <w:tcW w:w="0" w:type="auto"/>
            <w:tcBorders>
              <w:top w:val="single" w:sz="2" w:space="0" w:color="auto"/>
              <w:left w:val="single" w:sz="2" w:space="0" w:color="auto"/>
              <w:bottom w:val="single" w:sz="2" w:space="0" w:color="auto"/>
              <w:right w:val="single" w:sz="2" w:space="0" w:color="auto"/>
            </w:tcBorders>
            <w:vAlign w:val="center"/>
            <w:hideMark/>
          </w:tcPr>
          <w:p w14:paraId="5D77C117" w14:textId="77777777" w:rsidR="00E65A75" w:rsidRPr="00E65A75" w:rsidRDefault="00E65A75" w:rsidP="00E65A75">
            <w:pPr>
              <w:jc w:val="both"/>
              <w:rPr>
                <w:rFonts w:ascii="Calibri" w:hAnsi="Calibri" w:cs="Calibri"/>
              </w:rPr>
            </w:pPr>
            <w:r w:rsidRPr="00E65A75">
              <w:rPr>
                <w:rFonts w:ascii="Calibri" w:hAnsi="Calibri" w:cs="Calibri"/>
              </w:rPr>
              <w:t>Customer age</w:t>
            </w:r>
          </w:p>
        </w:tc>
      </w:tr>
      <w:tr w:rsidR="00E65A75" w:rsidRPr="00E65A75" w14:paraId="110C94BB"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27698DBA" w14:textId="77777777" w:rsidR="00E65A75" w:rsidRPr="00E65A75" w:rsidRDefault="00E65A75" w:rsidP="00E65A75">
            <w:pPr>
              <w:jc w:val="both"/>
              <w:rPr>
                <w:rFonts w:ascii="Calibri" w:hAnsi="Calibri" w:cs="Calibri"/>
              </w:rPr>
            </w:pPr>
            <w:r w:rsidRPr="00E65A75">
              <w:rPr>
                <w:rFonts w:ascii="Calibri" w:hAnsi="Calibri" w:cs="Calibri"/>
              </w:rPr>
              <w:t>Tenure</w:t>
            </w:r>
          </w:p>
        </w:tc>
        <w:tc>
          <w:tcPr>
            <w:tcW w:w="0" w:type="auto"/>
            <w:tcBorders>
              <w:top w:val="single" w:sz="2" w:space="0" w:color="auto"/>
              <w:left w:val="single" w:sz="2" w:space="0" w:color="auto"/>
              <w:bottom w:val="single" w:sz="2" w:space="0" w:color="auto"/>
              <w:right w:val="single" w:sz="2" w:space="0" w:color="auto"/>
            </w:tcBorders>
            <w:vAlign w:val="center"/>
            <w:hideMark/>
          </w:tcPr>
          <w:p w14:paraId="176ECF1F" w14:textId="77777777" w:rsidR="00E65A75" w:rsidRPr="00E65A75" w:rsidRDefault="00E65A75" w:rsidP="00E65A75">
            <w:pPr>
              <w:jc w:val="both"/>
              <w:rPr>
                <w:rFonts w:ascii="Calibri" w:hAnsi="Calibri" w:cs="Calibri"/>
              </w:rPr>
            </w:pPr>
            <w:r w:rsidRPr="00E65A75">
              <w:rPr>
                <w:rFonts w:ascii="Calibri" w:hAnsi="Calibri" w:cs="Calibri"/>
              </w:rPr>
              <w:t>Years with the bank</w:t>
            </w:r>
          </w:p>
        </w:tc>
      </w:tr>
      <w:tr w:rsidR="00E65A75" w:rsidRPr="00E65A75" w14:paraId="0D2436A0"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2AB293D1" w14:textId="77777777" w:rsidR="00E65A75" w:rsidRPr="00E65A75" w:rsidRDefault="00E65A75" w:rsidP="00E65A75">
            <w:pPr>
              <w:jc w:val="both"/>
              <w:rPr>
                <w:rFonts w:ascii="Calibri" w:hAnsi="Calibri" w:cs="Calibri"/>
              </w:rPr>
            </w:pPr>
            <w:r w:rsidRPr="00E65A75">
              <w:rPr>
                <w:rFonts w:ascii="Calibri" w:hAnsi="Calibri" w:cs="Calibri"/>
              </w:rPr>
              <w:t>Balance</w:t>
            </w:r>
          </w:p>
        </w:tc>
        <w:tc>
          <w:tcPr>
            <w:tcW w:w="0" w:type="auto"/>
            <w:tcBorders>
              <w:top w:val="single" w:sz="2" w:space="0" w:color="auto"/>
              <w:left w:val="single" w:sz="2" w:space="0" w:color="auto"/>
              <w:bottom w:val="single" w:sz="2" w:space="0" w:color="auto"/>
              <w:right w:val="single" w:sz="2" w:space="0" w:color="auto"/>
            </w:tcBorders>
            <w:vAlign w:val="center"/>
            <w:hideMark/>
          </w:tcPr>
          <w:p w14:paraId="1FDD7026" w14:textId="77777777" w:rsidR="00E65A75" w:rsidRPr="00E65A75" w:rsidRDefault="00E65A75" w:rsidP="00E65A75">
            <w:pPr>
              <w:jc w:val="both"/>
              <w:rPr>
                <w:rFonts w:ascii="Calibri" w:hAnsi="Calibri" w:cs="Calibri"/>
              </w:rPr>
            </w:pPr>
            <w:r w:rsidRPr="00E65A75">
              <w:rPr>
                <w:rFonts w:ascii="Calibri" w:hAnsi="Calibri" w:cs="Calibri"/>
              </w:rPr>
              <w:t>Account balance</w:t>
            </w:r>
          </w:p>
        </w:tc>
      </w:tr>
      <w:tr w:rsidR="00E65A75" w:rsidRPr="00E65A75" w14:paraId="6E81503C"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41506347" w14:textId="77777777" w:rsidR="00E65A75" w:rsidRPr="00E65A75" w:rsidRDefault="00E65A75" w:rsidP="00E65A75">
            <w:pPr>
              <w:jc w:val="both"/>
              <w:rPr>
                <w:rFonts w:ascii="Calibri" w:hAnsi="Calibri" w:cs="Calibri"/>
              </w:rPr>
            </w:pPr>
            <w:proofErr w:type="spellStart"/>
            <w:r w:rsidRPr="00E65A75">
              <w:rPr>
                <w:rFonts w:ascii="Calibri" w:hAnsi="Calibri" w:cs="Calibri"/>
              </w:rPr>
              <w:t>NumOfProducts</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43FD7BC0" w14:textId="77777777" w:rsidR="00E65A75" w:rsidRPr="00E65A75" w:rsidRDefault="00E65A75" w:rsidP="00E65A75">
            <w:pPr>
              <w:jc w:val="both"/>
              <w:rPr>
                <w:rFonts w:ascii="Calibri" w:hAnsi="Calibri" w:cs="Calibri"/>
              </w:rPr>
            </w:pPr>
            <w:r w:rsidRPr="00E65A75">
              <w:rPr>
                <w:rFonts w:ascii="Calibri" w:hAnsi="Calibri" w:cs="Calibri"/>
              </w:rPr>
              <w:t>Number of bank products</w:t>
            </w:r>
          </w:p>
        </w:tc>
      </w:tr>
      <w:tr w:rsidR="00E65A75" w:rsidRPr="00E65A75" w14:paraId="271DA116"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71F005AE" w14:textId="77777777" w:rsidR="00E65A75" w:rsidRPr="00E65A75" w:rsidRDefault="00E65A75" w:rsidP="00E65A75">
            <w:pPr>
              <w:jc w:val="both"/>
              <w:rPr>
                <w:rFonts w:ascii="Calibri" w:hAnsi="Calibri" w:cs="Calibri"/>
              </w:rPr>
            </w:pPr>
            <w:proofErr w:type="spellStart"/>
            <w:r w:rsidRPr="00E65A75">
              <w:rPr>
                <w:rFonts w:ascii="Calibri" w:hAnsi="Calibri" w:cs="Calibri"/>
              </w:rPr>
              <w:t>HasCrCard</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2016D607" w14:textId="77777777" w:rsidR="00E65A75" w:rsidRPr="00E65A75" w:rsidRDefault="00E65A75" w:rsidP="00E65A75">
            <w:pPr>
              <w:jc w:val="both"/>
              <w:rPr>
                <w:rFonts w:ascii="Calibri" w:hAnsi="Calibri" w:cs="Calibri"/>
              </w:rPr>
            </w:pPr>
            <w:r w:rsidRPr="00E65A75">
              <w:rPr>
                <w:rFonts w:ascii="Calibri" w:hAnsi="Calibri" w:cs="Calibri"/>
              </w:rPr>
              <w:t>Credit card ownership</w:t>
            </w:r>
          </w:p>
        </w:tc>
      </w:tr>
      <w:tr w:rsidR="00E65A75" w:rsidRPr="00E65A75" w14:paraId="45D63898"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36B99AF7" w14:textId="77777777" w:rsidR="00E65A75" w:rsidRPr="00E65A75" w:rsidRDefault="00E65A75" w:rsidP="00E65A75">
            <w:pPr>
              <w:jc w:val="both"/>
              <w:rPr>
                <w:rFonts w:ascii="Calibri" w:hAnsi="Calibri" w:cs="Calibri"/>
              </w:rPr>
            </w:pPr>
            <w:proofErr w:type="spellStart"/>
            <w:r w:rsidRPr="00E65A75">
              <w:rPr>
                <w:rFonts w:ascii="Calibri" w:hAnsi="Calibri" w:cs="Calibri"/>
              </w:rPr>
              <w:t>IsActiveMember</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097AC4A2" w14:textId="77777777" w:rsidR="00E65A75" w:rsidRPr="00E65A75" w:rsidRDefault="00E65A75" w:rsidP="00E65A75">
            <w:pPr>
              <w:jc w:val="both"/>
              <w:rPr>
                <w:rFonts w:ascii="Calibri" w:hAnsi="Calibri" w:cs="Calibri"/>
              </w:rPr>
            </w:pPr>
            <w:r w:rsidRPr="00E65A75">
              <w:rPr>
                <w:rFonts w:ascii="Calibri" w:hAnsi="Calibri" w:cs="Calibri"/>
              </w:rPr>
              <w:t>Activity indicator</w:t>
            </w:r>
          </w:p>
        </w:tc>
      </w:tr>
      <w:tr w:rsidR="00E65A75" w:rsidRPr="00E65A75" w14:paraId="6AA0AF04"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4645EC78" w14:textId="77777777" w:rsidR="00E65A75" w:rsidRPr="00E65A75" w:rsidRDefault="00E65A75" w:rsidP="00E65A75">
            <w:pPr>
              <w:jc w:val="both"/>
              <w:rPr>
                <w:rFonts w:ascii="Calibri" w:hAnsi="Calibri" w:cs="Calibri"/>
              </w:rPr>
            </w:pPr>
            <w:proofErr w:type="spellStart"/>
            <w:r w:rsidRPr="00E65A75">
              <w:rPr>
                <w:rFonts w:ascii="Calibri" w:hAnsi="Calibri" w:cs="Calibri"/>
              </w:rPr>
              <w:t>EstimatedSalary</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038D9BDA" w14:textId="77777777" w:rsidR="00E65A75" w:rsidRPr="00E65A75" w:rsidRDefault="00E65A75" w:rsidP="00E65A75">
            <w:pPr>
              <w:jc w:val="both"/>
              <w:rPr>
                <w:rFonts w:ascii="Calibri" w:hAnsi="Calibri" w:cs="Calibri"/>
              </w:rPr>
            </w:pPr>
            <w:r w:rsidRPr="00E65A75">
              <w:rPr>
                <w:rFonts w:ascii="Calibri" w:hAnsi="Calibri" w:cs="Calibri"/>
              </w:rPr>
              <w:t>Estimated annual salary</w:t>
            </w:r>
          </w:p>
        </w:tc>
      </w:tr>
      <w:tr w:rsidR="00E65A75" w:rsidRPr="00E65A75" w14:paraId="6320A39C"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31672ED4" w14:textId="77777777" w:rsidR="00E65A75" w:rsidRPr="00E65A75" w:rsidRDefault="00E65A75" w:rsidP="00E65A75">
            <w:pPr>
              <w:jc w:val="both"/>
              <w:rPr>
                <w:rFonts w:ascii="Calibri" w:hAnsi="Calibri" w:cs="Calibri"/>
              </w:rPr>
            </w:pPr>
            <w:r w:rsidRPr="00E65A75">
              <w:rPr>
                <w:rFonts w:ascii="Calibri" w:hAnsi="Calibri" w:cs="Calibri"/>
              </w:rPr>
              <w:lastRenderedPageBreak/>
              <w:t>Exited</w:t>
            </w:r>
          </w:p>
        </w:tc>
        <w:tc>
          <w:tcPr>
            <w:tcW w:w="0" w:type="auto"/>
            <w:tcBorders>
              <w:top w:val="single" w:sz="2" w:space="0" w:color="auto"/>
              <w:left w:val="single" w:sz="2" w:space="0" w:color="auto"/>
              <w:bottom w:val="single" w:sz="2" w:space="0" w:color="auto"/>
              <w:right w:val="single" w:sz="2" w:space="0" w:color="auto"/>
            </w:tcBorders>
            <w:vAlign w:val="center"/>
            <w:hideMark/>
          </w:tcPr>
          <w:p w14:paraId="5E7C56F3" w14:textId="77777777" w:rsidR="00E65A75" w:rsidRPr="00E65A75" w:rsidRDefault="00E65A75" w:rsidP="00E65A75">
            <w:pPr>
              <w:jc w:val="both"/>
              <w:rPr>
                <w:rFonts w:ascii="Calibri" w:hAnsi="Calibri" w:cs="Calibri"/>
              </w:rPr>
            </w:pPr>
            <w:r w:rsidRPr="00E65A75">
              <w:rPr>
                <w:rFonts w:ascii="Calibri" w:hAnsi="Calibri" w:cs="Calibri"/>
              </w:rPr>
              <w:t>Churn indicator (target)</w:t>
            </w:r>
          </w:p>
        </w:tc>
      </w:tr>
    </w:tbl>
    <w:p w14:paraId="117163B2" w14:textId="77777777" w:rsidR="00E65A75" w:rsidRDefault="00E65A75" w:rsidP="00E65A75">
      <w:pPr>
        <w:jc w:val="both"/>
        <w:rPr>
          <w:rFonts w:ascii="Calibri" w:hAnsi="Calibri" w:cs="Calibri"/>
        </w:rPr>
      </w:pPr>
    </w:p>
    <w:p w14:paraId="7D353956" w14:textId="761FE662" w:rsidR="00DA4065" w:rsidRPr="00C54475" w:rsidRDefault="00DA4065" w:rsidP="00C54475">
      <w:pPr>
        <w:pStyle w:val="ListParagraph"/>
        <w:numPr>
          <w:ilvl w:val="0"/>
          <w:numId w:val="19"/>
        </w:numPr>
        <w:jc w:val="both"/>
        <w:rPr>
          <w:rFonts w:ascii="Calibri" w:hAnsi="Calibri" w:cs="Calibri"/>
          <w:b/>
          <w:bCs/>
          <w:sz w:val="28"/>
          <w:szCs w:val="28"/>
        </w:rPr>
      </w:pPr>
      <w:r w:rsidRPr="00C54475">
        <w:rPr>
          <w:rFonts w:ascii="Calibri" w:hAnsi="Calibri" w:cs="Calibri"/>
          <w:b/>
          <w:bCs/>
          <w:sz w:val="28"/>
          <w:szCs w:val="28"/>
        </w:rPr>
        <w:t>Methodology</w:t>
      </w:r>
    </w:p>
    <w:p w14:paraId="7572E728" w14:textId="77777777" w:rsidR="00C54475" w:rsidRPr="00C54475" w:rsidRDefault="00C54475" w:rsidP="00C54475">
      <w:pPr>
        <w:jc w:val="both"/>
        <w:rPr>
          <w:rFonts w:ascii="Calibri" w:hAnsi="Calibri" w:cs="Calibri"/>
        </w:rPr>
      </w:pPr>
      <w:r w:rsidRPr="00C54475">
        <w:rPr>
          <w:rFonts w:ascii="Calibri" w:hAnsi="Calibri" w:cs="Calibri"/>
        </w:rPr>
        <w:t xml:space="preserve">This study was carried out using a </w:t>
      </w:r>
      <w:proofErr w:type="spellStart"/>
      <w:r w:rsidRPr="00C54475">
        <w:rPr>
          <w:rFonts w:ascii="Calibri" w:hAnsi="Calibri" w:cs="Calibri"/>
          <w:b/>
          <w:bCs/>
        </w:rPr>
        <w:t>Jupyter</w:t>
      </w:r>
      <w:proofErr w:type="spellEnd"/>
      <w:r w:rsidRPr="00C54475">
        <w:rPr>
          <w:rFonts w:ascii="Calibri" w:hAnsi="Calibri" w:cs="Calibri"/>
          <w:b/>
          <w:bCs/>
        </w:rPr>
        <w:t xml:space="preserve"> Notebook environment</w:t>
      </w:r>
      <w:r w:rsidRPr="00C54475">
        <w:rPr>
          <w:rFonts w:ascii="Calibri" w:hAnsi="Calibri" w:cs="Calibri"/>
        </w:rPr>
        <w:t xml:space="preserve">, which allowed for interactive coding and visualization. The analysis was scripted in </w:t>
      </w:r>
      <w:r w:rsidRPr="00C54475">
        <w:rPr>
          <w:rFonts w:ascii="Calibri" w:hAnsi="Calibri" w:cs="Calibri"/>
          <w:b/>
          <w:bCs/>
        </w:rPr>
        <w:t>Python</w:t>
      </w:r>
      <w:r w:rsidRPr="00C54475">
        <w:rPr>
          <w:rFonts w:ascii="Calibri" w:hAnsi="Calibri" w:cs="Calibri"/>
        </w:rPr>
        <w:t xml:space="preserve">, making use of widely adopted data analysis libraries such as </w:t>
      </w:r>
      <w:r w:rsidRPr="00C54475">
        <w:rPr>
          <w:rFonts w:ascii="Calibri" w:hAnsi="Calibri" w:cs="Calibri"/>
          <w:b/>
          <w:bCs/>
        </w:rPr>
        <w:t xml:space="preserve">pandas, </w:t>
      </w:r>
      <w:proofErr w:type="spellStart"/>
      <w:r w:rsidRPr="00C54475">
        <w:rPr>
          <w:rFonts w:ascii="Calibri" w:hAnsi="Calibri" w:cs="Calibri"/>
          <w:b/>
          <w:bCs/>
        </w:rPr>
        <w:t>numpy</w:t>
      </w:r>
      <w:proofErr w:type="spellEnd"/>
      <w:r w:rsidRPr="00C54475">
        <w:rPr>
          <w:rFonts w:ascii="Calibri" w:hAnsi="Calibri" w:cs="Calibri"/>
          <w:b/>
          <w:bCs/>
        </w:rPr>
        <w:t>, matplotlib, and seaborn</w:t>
      </w:r>
      <w:r w:rsidRPr="00C54475">
        <w:rPr>
          <w:rFonts w:ascii="Calibri" w:hAnsi="Calibri" w:cs="Calibri"/>
        </w:rPr>
        <w:t xml:space="preserve">. These tools provided the foundation for cleaning the dataset, segmenting customers, and producing visual insights into churn </w:t>
      </w:r>
      <w:proofErr w:type="spellStart"/>
      <w:r w:rsidRPr="00C54475">
        <w:rPr>
          <w:rFonts w:ascii="Calibri" w:hAnsi="Calibri" w:cs="Calibri"/>
        </w:rPr>
        <w:t>behavior</w:t>
      </w:r>
      <w:proofErr w:type="spellEnd"/>
      <w:r w:rsidRPr="00C54475">
        <w:rPr>
          <w:rFonts w:ascii="Calibri" w:hAnsi="Calibri" w:cs="Calibri"/>
        </w:rPr>
        <w:t>.</w:t>
      </w:r>
    </w:p>
    <w:p w14:paraId="541ADDAB" w14:textId="77777777" w:rsidR="00C54475" w:rsidRPr="00C54475" w:rsidRDefault="00C54475" w:rsidP="00C54475">
      <w:pPr>
        <w:jc w:val="both"/>
        <w:rPr>
          <w:rFonts w:ascii="Calibri" w:hAnsi="Calibri" w:cs="Calibri"/>
        </w:rPr>
      </w:pPr>
      <w:r w:rsidRPr="00C54475">
        <w:rPr>
          <w:rFonts w:ascii="Calibri" w:hAnsi="Calibri" w:cs="Calibri"/>
        </w:rPr>
        <w:t>The workflow followed a structured sequence:</w:t>
      </w:r>
    </w:p>
    <w:p w14:paraId="25B6D7F1" w14:textId="77777777" w:rsidR="00C54475" w:rsidRPr="00C54475" w:rsidRDefault="00C54475" w:rsidP="00C54475">
      <w:pPr>
        <w:numPr>
          <w:ilvl w:val="0"/>
          <w:numId w:val="20"/>
        </w:numPr>
        <w:jc w:val="both"/>
        <w:rPr>
          <w:rFonts w:ascii="Calibri" w:hAnsi="Calibri" w:cs="Calibri"/>
        </w:rPr>
      </w:pPr>
      <w:r w:rsidRPr="00C54475">
        <w:rPr>
          <w:rFonts w:ascii="Calibri" w:hAnsi="Calibri" w:cs="Calibri"/>
          <w:b/>
          <w:bCs/>
        </w:rPr>
        <w:t>Data Ingestion and Validation</w:t>
      </w:r>
      <w:r w:rsidRPr="00C54475">
        <w:rPr>
          <w:rFonts w:ascii="Calibri" w:hAnsi="Calibri" w:cs="Calibri"/>
        </w:rPr>
        <w:t xml:space="preserve"> The dataset was first loaded and inspected to understand its structure. Checks were performed for missing values, duplicate records, and consistency in key fields such as customer activity and churn labels. This ensured that the data was reliable before moving into deeper analysis.</w:t>
      </w:r>
    </w:p>
    <w:p w14:paraId="728704D3" w14:textId="77777777" w:rsidR="00C54475" w:rsidRPr="00C54475" w:rsidRDefault="00C54475" w:rsidP="00C54475">
      <w:pPr>
        <w:numPr>
          <w:ilvl w:val="0"/>
          <w:numId w:val="20"/>
        </w:numPr>
        <w:jc w:val="both"/>
        <w:rPr>
          <w:rFonts w:ascii="Calibri" w:hAnsi="Calibri" w:cs="Calibri"/>
        </w:rPr>
      </w:pPr>
      <w:r w:rsidRPr="00C54475">
        <w:rPr>
          <w:rFonts w:ascii="Calibri" w:hAnsi="Calibri" w:cs="Calibri"/>
          <w:b/>
          <w:bCs/>
        </w:rPr>
        <w:t>Data Cleaning and Preparation</w:t>
      </w:r>
      <w:r w:rsidRPr="00C54475">
        <w:rPr>
          <w:rFonts w:ascii="Calibri" w:hAnsi="Calibri" w:cs="Calibri"/>
        </w:rPr>
        <w:t xml:space="preserve"> Non-essential fields (such as surnames) were removed to focus only on analytical variables. Categorical fields like gender and geography were standardized, and new segmentation fields were created. These included </w:t>
      </w:r>
      <w:r w:rsidRPr="00C54475">
        <w:rPr>
          <w:rFonts w:ascii="Calibri" w:hAnsi="Calibri" w:cs="Calibri"/>
          <w:b/>
          <w:bCs/>
        </w:rPr>
        <w:t>age groups, credit score bands, tenure groups, and balance segments</w:t>
      </w:r>
      <w:r w:rsidRPr="00C54475">
        <w:rPr>
          <w:rFonts w:ascii="Calibri" w:hAnsi="Calibri" w:cs="Calibri"/>
        </w:rPr>
        <w:t>, which allowed for meaningful comparisons across customer categories.</w:t>
      </w:r>
    </w:p>
    <w:p w14:paraId="40D10F69" w14:textId="77777777" w:rsidR="00C54475" w:rsidRPr="00C54475" w:rsidRDefault="00C54475" w:rsidP="00C54475">
      <w:pPr>
        <w:numPr>
          <w:ilvl w:val="0"/>
          <w:numId w:val="20"/>
        </w:numPr>
        <w:jc w:val="both"/>
        <w:rPr>
          <w:rFonts w:ascii="Calibri" w:hAnsi="Calibri" w:cs="Calibri"/>
        </w:rPr>
      </w:pPr>
      <w:r w:rsidRPr="00C54475">
        <w:rPr>
          <w:rFonts w:ascii="Calibri" w:hAnsi="Calibri" w:cs="Calibri"/>
          <w:b/>
          <w:bCs/>
        </w:rPr>
        <w:t>Exploratory Analysis</w:t>
      </w:r>
      <w:r w:rsidRPr="00C54475">
        <w:rPr>
          <w:rFonts w:ascii="Calibri" w:hAnsi="Calibri" w:cs="Calibri"/>
        </w:rPr>
        <w:t xml:space="preserve"> The overall churn rate was calculated to establish a baseline. From there, churn was examined across different segments — age, geography, tenure, and balance. Visualizations such as pie charts and bar charts were generated to make these patterns clear and accessible.</w:t>
      </w:r>
    </w:p>
    <w:p w14:paraId="2F48F341" w14:textId="77777777" w:rsidR="00C54475" w:rsidRPr="00C54475" w:rsidRDefault="00C54475" w:rsidP="00C54475">
      <w:pPr>
        <w:numPr>
          <w:ilvl w:val="0"/>
          <w:numId w:val="20"/>
        </w:numPr>
        <w:jc w:val="both"/>
        <w:rPr>
          <w:rFonts w:ascii="Calibri" w:hAnsi="Calibri" w:cs="Calibri"/>
        </w:rPr>
      </w:pPr>
      <w:r w:rsidRPr="00C54475">
        <w:rPr>
          <w:rFonts w:ascii="Calibri" w:hAnsi="Calibri" w:cs="Calibri"/>
          <w:b/>
          <w:bCs/>
        </w:rPr>
        <w:t>Contribution Analysis</w:t>
      </w:r>
      <w:r w:rsidRPr="00C54475">
        <w:rPr>
          <w:rFonts w:ascii="Calibri" w:hAnsi="Calibri" w:cs="Calibri"/>
        </w:rPr>
        <w:t xml:space="preserve"> Beyond simple churn rates, the analysis also measured how much each segment contributed to the total churn volume. This helped identify which groups were driving the majority of customer attrition, highlighting areas where banks should focus their retention efforts.</w:t>
      </w:r>
    </w:p>
    <w:p w14:paraId="1CA8E2BA" w14:textId="77777777" w:rsidR="00C54475" w:rsidRPr="00C54475" w:rsidRDefault="00C54475" w:rsidP="00C54475">
      <w:pPr>
        <w:numPr>
          <w:ilvl w:val="0"/>
          <w:numId w:val="20"/>
        </w:numPr>
        <w:jc w:val="both"/>
        <w:rPr>
          <w:rFonts w:ascii="Calibri" w:hAnsi="Calibri" w:cs="Calibri"/>
        </w:rPr>
      </w:pPr>
      <w:r w:rsidRPr="00C54475">
        <w:rPr>
          <w:rFonts w:ascii="Calibri" w:hAnsi="Calibri" w:cs="Calibri"/>
          <w:b/>
          <w:bCs/>
        </w:rPr>
        <w:t>Comparative Profiling</w:t>
      </w:r>
      <w:r w:rsidRPr="00C54475">
        <w:rPr>
          <w:rFonts w:ascii="Calibri" w:hAnsi="Calibri" w:cs="Calibri"/>
        </w:rPr>
        <w:t xml:space="preserve"> Profiles of churned versus retained customers were compared across financial and demographic variables. This step revealed differences in credit scores, balances, salaries, and product usage, offering a deeper understanding of customer </w:t>
      </w:r>
      <w:proofErr w:type="spellStart"/>
      <w:r w:rsidRPr="00C54475">
        <w:rPr>
          <w:rFonts w:ascii="Calibri" w:hAnsi="Calibri" w:cs="Calibri"/>
        </w:rPr>
        <w:t>behavior</w:t>
      </w:r>
      <w:proofErr w:type="spellEnd"/>
      <w:r w:rsidRPr="00C54475">
        <w:rPr>
          <w:rFonts w:ascii="Calibri" w:hAnsi="Calibri" w:cs="Calibri"/>
        </w:rPr>
        <w:t>.</w:t>
      </w:r>
    </w:p>
    <w:p w14:paraId="160EB272" w14:textId="77777777" w:rsidR="00C54475" w:rsidRPr="00C54475" w:rsidRDefault="00C54475" w:rsidP="00C54475">
      <w:pPr>
        <w:numPr>
          <w:ilvl w:val="0"/>
          <w:numId w:val="20"/>
        </w:numPr>
        <w:jc w:val="both"/>
        <w:rPr>
          <w:rFonts w:ascii="Calibri" w:hAnsi="Calibri" w:cs="Calibri"/>
        </w:rPr>
      </w:pPr>
      <w:r w:rsidRPr="00C54475">
        <w:rPr>
          <w:rFonts w:ascii="Calibri" w:hAnsi="Calibri" w:cs="Calibri"/>
          <w:b/>
          <w:bCs/>
        </w:rPr>
        <w:t>High-Value and Engagement Analysis</w:t>
      </w:r>
      <w:r w:rsidRPr="00C54475">
        <w:rPr>
          <w:rFonts w:ascii="Calibri" w:hAnsi="Calibri" w:cs="Calibri"/>
        </w:rPr>
        <w:t xml:space="preserve"> Special attention was given to high-balance customers, since their churn represents significant revenue risk. Engagement levels were also studied, showing that inactive customers were far more likely to leave compared to active ones.</w:t>
      </w:r>
    </w:p>
    <w:p w14:paraId="4CE06DB8" w14:textId="77777777" w:rsidR="00C54475" w:rsidRPr="00C54475" w:rsidRDefault="00C54475" w:rsidP="00C54475">
      <w:pPr>
        <w:numPr>
          <w:ilvl w:val="0"/>
          <w:numId w:val="20"/>
        </w:numPr>
        <w:jc w:val="both"/>
        <w:rPr>
          <w:rFonts w:ascii="Calibri" w:hAnsi="Calibri" w:cs="Calibri"/>
        </w:rPr>
      </w:pPr>
      <w:r w:rsidRPr="00C54475">
        <w:rPr>
          <w:rFonts w:ascii="Calibri" w:hAnsi="Calibri" w:cs="Calibri"/>
          <w:b/>
          <w:bCs/>
        </w:rPr>
        <w:lastRenderedPageBreak/>
        <w:t>Visualization and Communication</w:t>
      </w:r>
      <w:r w:rsidRPr="00C54475">
        <w:rPr>
          <w:rFonts w:ascii="Calibri" w:hAnsi="Calibri" w:cs="Calibri"/>
        </w:rPr>
        <w:t xml:space="preserve"> Throughout the process, charts and graphs were created using </w:t>
      </w:r>
      <w:r w:rsidRPr="00C54475">
        <w:rPr>
          <w:rFonts w:ascii="Calibri" w:hAnsi="Calibri" w:cs="Calibri"/>
          <w:b/>
          <w:bCs/>
        </w:rPr>
        <w:t>matplotlib</w:t>
      </w:r>
      <w:r w:rsidRPr="00C54475">
        <w:rPr>
          <w:rFonts w:ascii="Calibri" w:hAnsi="Calibri" w:cs="Calibri"/>
        </w:rPr>
        <w:t xml:space="preserve"> and </w:t>
      </w:r>
      <w:r w:rsidRPr="00C54475">
        <w:rPr>
          <w:rFonts w:ascii="Calibri" w:hAnsi="Calibri" w:cs="Calibri"/>
          <w:b/>
          <w:bCs/>
        </w:rPr>
        <w:t>seaborn</w:t>
      </w:r>
      <w:r w:rsidRPr="00C54475">
        <w:rPr>
          <w:rFonts w:ascii="Calibri" w:hAnsi="Calibri" w:cs="Calibri"/>
        </w:rPr>
        <w:t>. These visualizations translated complex data into clear insights, making the results easier to interpret for both technical and non-technical audiences.</w:t>
      </w:r>
    </w:p>
    <w:p w14:paraId="71A81721" w14:textId="25FDB593" w:rsidR="00DA4065" w:rsidRPr="00C54475" w:rsidRDefault="00DA4065" w:rsidP="00C54475">
      <w:pPr>
        <w:pStyle w:val="ListParagraph"/>
        <w:numPr>
          <w:ilvl w:val="0"/>
          <w:numId w:val="19"/>
        </w:numPr>
        <w:jc w:val="both"/>
        <w:rPr>
          <w:rFonts w:ascii="Calibri" w:hAnsi="Calibri" w:cs="Calibri"/>
          <w:b/>
          <w:bCs/>
          <w:sz w:val="28"/>
          <w:szCs w:val="28"/>
        </w:rPr>
      </w:pPr>
      <w:r w:rsidRPr="00C54475">
        <w:rPr>
          <w:rFonts w:ascii="Calibri" w:hAnsi="Calibri" w:cs="Calibri"/>
          <w:b/>
          <w:bCs/>
          <w:sz w:val="28"/>
          <w:szCs w:val="28"/>
        </w:rPr>
        <w:t>Results</w:t>
      </w:r>
      <w:r w:rsidR="00C54475">
        <w:rPr>
          <w:rFonts w:ascii="Calibri" w:hAnsi="Calibri" w:cs="Calibri"/>
          <w:b/>
          <w:bCs/>
          <w:sz w:val="28"/>
          <w:szCs w:val="28"/>
        </w:rPr>
        <w:t xml:space="preserve"> (Exploratory Data Analysis)</w:t>
      </w:r>
    </w:p>
    <w:p w14:paraId="588C4ADE" w14:textId="26C81925" w:rsidR="00DA4065" w:rsidRPr="00DA4065" w:rsidRDefault="00C54475" w:rsidP="00C54475">
      <w:pPr>
        <w:ind w:firstLine="360"/>
        <w:jc w:val="both"/>
        <w:rPr>
          <w:rFonts w:ascii="Calibri" w:hAnsi="Calibri" w:cs="Calibri"/>
          <w:b/>
          <w:bCs/>
        </w:rPr>
      </w:pPr>
      <w:r>
        <w:rPr>
          <w:rFonts w:ascii="Calibri" w:hAnsi="Calibri" w:cs="Calibri"/>
          <w:b/>
          <w:bCs/>
        </w:rPr>
        <w:t xml:space="preserve">3.1 </w:t>
      </w:r>
      <w:r w:rsidR="00DA4065" w:rsidRPr="00DA4065">
        <w:rPr>
          <w:rFonts w:ascii="Calibri" w:hAnsi="Calibri" w:cs="Calibri"/>
          <w:b/>
          <w:bCs/>
        </w:rPr>
        <w:t>Overall Churn</w:t>
      </w:r>
    </w:p>
    <w:p w14:paraId="1921067C" w14:textId="2EB94F15" w:rsidR="00DA4065" w:rsidRPr="00DA4065" w:rsidRDefault="00C54475" w:rsidP="00CC467C">
      <w:pPr>
        <w:numPr>
          <w:ilvl w:val="0"/>
          <w:numId w:val="8"/>
        </w:numPr>
        <w:spacing w:line="240" w:lineRule="auto"/>
        <w:jc w:val="both"/>
        <w:rPr>
          <w:rFonts w:ascii="Calibri" w:hAnsi="Calibri" w:cs="Calibri"/>
        </w:rPr>
      </w:pPr>
      <w:r w:rsidRPr="00C54475">
        <w:rPr>
          <w:rFonts w:ascii="Calibri" w:hAnsi="Calibri" w:cs="Calibri"/>
        </w:rPr>
        <w:t>The exploration began by calculating the overall churn rate.</w:t>
      </w:r>
      <w:r>
        <w:rPr>
          <w:rFonts w:ascii="Calibri" w:hAnsi="Calibri" w:cs="Calibri"/>
        </w:rPr>
        <w:t xml:space="preserve"> </w:t>
      </w:r>
      <w:r w:rsidR="00DA4065" w:rsidRPr="00DA4065">
        <w:rPr>
          <w:rFonts w:ascii="Calibri" w:hAnsi="Calibri" w:cs="Calibri"/>
        </w:rPr>
        <w:t>The overall churn rate was approximately 20%, meaning one in five customers exited.</w:t>
      </w:r>
    </w:p>
    <w:p w14:paraId="5AAF5DB1" w14:textId="2435FA06" w:rsidR="00154D8D" w:rsidRPr="00154D8D" w:rsidRDefault="00DA4065" w:rsidP="00154D8D">
      <w:pPr>
        <w:numPr>
          <w:ilvl w:val="0"/>
          <w:numId w:val="8"/>
        </w:numPr>
        <w:spacing w:line="240" w:lineRule="auto"/>
        <w:jc w:val="both"/>
        <w:rPr>
          <w:rFonts w:ascii="Calibri" w:hAnsi="Calibri" w:cs="Calibri"/>
        </w:rPr>
      </w:pPr>
      <w:r w:rsidRPr="00DA4065">
        <w:rPr>
          <w:rFonts w:ascii="Calibri" w:hAnsi="Calibri" w:cs="Calibri"/>
        </w:rPr>
        <w:t>A pie chart visualization confirmed the imbalance between retained and churned customers.</w:t>
      </w:r>
    </w:p>
    <w:p w14:paraId="2D278904" w14:textId="184467FE" w:rsidR="00154D8D" w:rsidRDefault="00154D8D" w:rsidP="00154D8D">
      <w:pPr>
        <w:pStyle w:val="ListParagraph"/>
        <w:spacing w:before="100" w:beforeAutospacing="1" w:after="100" w:afterAutospacing="1" w:line="240" w:lineRule="auto"/>
        <w:rPr>
          <w:rFonts w:ascii="Times New Roman" w:eastAsia="Times New Roman" w:hAnsi="Times New Roman" w:cs="Times New Roman"/>
          <w:b/>
          <w:bCs/>
          <w:kern w:val="0"/>
          <w:lang w:eastAsia="en-IN"/>
          <w14:ligatures w14:val="none"/>
        </w:rPr>
      </w:pPr>
      <w:r>
        <w:rPr>
          <w:noProof/>
        </w:rPr>
        <w:drawing>
          <wp:inline distT="0" distB="0" distL="0" distR="0" wp14:anchorId="26A868F4" wp14:editId="6C31EB53">
            <wp:extent cx="5273040" cy="3788410"/>
            <wp:effectExtent l="0" t="0" r="3810" b="2540"/>
            <wp:docPr id="163722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3040" cy="3788410"/>
                    </a:xfrm>
                    <a:prstGeom prst="rect">
                      <a:avLst/>
                    </a:prstGeom>
                    <a:noFill/>
                    <a:ln>
                      <a:noFill/>
                    </a:ln>
                  </pic:spPr>
                </pic:pic>
              </a:graphicData>
            </a:graphic>
          </wp:inline>
        </w:drawing>
      </w:r>
    </w:p>
    <w:p w14:paraId="49A9A201" w14:textId="77777777" w:rsidR="00154D8D" w:rsidRDefault="00154D8D" w:rsidP="00154D8D">
      <w:pPr>
        <w:pStyle w:val="ListParagraph"/>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430A6ED5" w14:textId="77777777" w:rsidR="00154D8D" w:rsidRDefault="00154D8D" w:rsidP="00154D8D">
      <w:pPr>
        <w:pStyle w:val="ListParagraph"/>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54D8D">
        <w:rPr>
          <w:rFonts w:ascii="Times New Roman" w:eastAsia="Times New Roman" w:hAnsi="Times New Roman" w:cs="Times New Roman"/>
          <w:b/>
          <w:bCs/>
          <w:kern w:val="0"/>
          <w:lang w:eastAsia="en-IN"/>
          <w14:ligatures w14:val="none"/>
        </w:rPr>
        <w:t>Figure 1: Overall Churn Rate</w:t>
      </w:r>
      <w:r w:rsidRPr="00154D8D">
        <w:rPr>
          <w:rFonts w:ascii="Times New Roman" w:eastAsia="Times New Roman" w:hAnsi="Times New Roman" w:cs="Times New Roman"/>
          <w:kern w:val="0"/>
          <w:lang w:eastAsia="en-IN"/>
          <w14:ligatures w14:val="none"/>
        </w:rPr>
        <w:t xml:space="preserve"> </w:t>
      </w:r>
    </w:p>
    <w:p w14:paraId="6EA85805" w14:textId="45C57446" w:rsidR="00154D8D" w:rsidRDefault="00154D8D" w:rsidP="00154D8D">
      <w:pPr>
        <w:pStyle w:val="ListParagraph"/>
        <w:spacing w:before="100" w:beforeAutospacing="1" w:after="100" w:afterAutospacing="1" w:line="240" w:lineRule="auto"/>
        <w:jc w:val="both"/>
        <w:rPr>
          <w:rFonts w:ascii="Times New Roman" w:eastAsia="Times New Roman" w:hAnsi="Times New Roman" w:cs="Times New Roman"/>
          <w:i/>
          <w:iCs/>
          <w:kern w:val="0"/>
          <w:lang w:eastAsia="en-IN"/>
          <w14:ligatures w14:val="none"/>
        </w:rPr>
      </w:pPr>
      <w:r w:rsidRPr="00154D8D">
        <w:rPr>
          <w:rFonts w:ascii="Times New Roman" w:eastAsia="Times New Roman" w:hAnsi="Times New Roman" w:cs="Times New Roman"/>
          <w:i/>
          <w:iCs/>
          <w:kern w:val="0"/>
          <w:lang w:eastAsia="en-IN"/>
          <w14:ligatures w14:val="none"/>
        </w:rPr>
        <w:t>A pie chart visualization confirms the imbalance between retained (79.6%) and churned (20.4%) customers, establishing the baseline for further segmentation analysis.</w:t>
      </w:r>
    </w:p>
    <w:p w14:paraId="184412C6" w14:textId="77777777" w:rsidR="00C54475" w:rsidRPr="00154D8D" w:rsidRDefault="00C54475" w:rsidP="00154D8D">
      <w:pPr>
        <w:pStyle w:val="ListParagraph"/>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199A5189" w14:textId="6177159F" w:rsidR="00C54475" w:rsidRDefault="00DA4065" w:rsidP="00C54475">
      <w:pPr>
        <w:pStyle w:val="ListParagraph"/>
        <w:numPr>
          <w:ilvl w:val="1"/>
          <w:numId w:val="19"/>
        </w:numPr>
        <w:jc w:val="both"/>
        <w:rPr>
          <w:rFonts w:ascii="Calibri" w:hAnsi="Calibri" w:cs="Calibri"/>
          <w:b/>
          <w:bCs/>
        </w:rPr>
      </w:pPr>
      <w:r w:rsidRPr="00C54475">
        <w:rPr>
          <w:rFonts w:ascii="Calibri" w:hAnsi="Calibri" w:cs="Calibri"/>
          <w:b/>
          <w:bCs/>
        </w:rPr>
        <w:t>Segment-Level Insights</w:t>
      </w:r>
    </w:p>
    <w:p w14:paraId="39D6603C" w14:textId="77777777" w:rsidR="00C54475" w:rsidRPr="00C54475" w:rsidRDefault="00C54475" w:rsidP="00C54475">
      <w:pPr>
        <w:pStyle w:val="ListParagraph"/>
        <w:jc w:val="both"/>
        <w:rPr>
          <w:rFonts w:ascii="Calibri" w:hAnsi="Calibri" w:cs="Calibri"/>
          <w:b/>
          <w:bCs/>
        </w:rPr>
      </w:pPr>
    </w:p>
    <w:p w14:paraId="5F525338" w14:textId="77777777" w:rsidR="00D15AF7" w:rsidRDefault="00DA4065" w:rsidP="00D15AF7">
      <w:pPr>
        <w:pStyle w:val="ListParagraph"/>
        <w:numPr>
          <w:ilvl w:val="2"/>
          <w:numId w:val="19"/>
        </w:numPr>
        <w:spacing w:line="240" w:lineRule="auto"/>
        <w:jc w:val="both"/>
        <w:rPr>
          <w:rFonts w:ascii="Calibri" w:hAnsi="Calibri" w:cs="Calibri"/>
          <w:b/>
          <w:bCs/>
        </w:rPr>
      </w:pPr>
      <w:r w:rsidRPr="00D15AF7">
        <w:rPr>
          <w:rFonts w:ascii="Calibri" w:hAnsi="Calibri" w:cs="Calibri"/>
          <w:b/>
          <w:bCs/>
        </w:rPr>
        <w:t>Age Groups</w:t>
      </w:r>
    </w:p>
    <w:p w14:paraId="2833C7DB" w14:textId="77777777" w:rsidR="00D15AF7" w:rsidRDefault="00D15AF7" w:rsidP="00D15AF7">
      <w:pPr>
        <w:pStyle w:val="ListParagraph"/>
        <w:spacing w:line="240" w:lineRule="auto"/>
        <w:ind w:left="1080"/>
        <w:jc w:val="both"/>
        <w:rPr>
          <w:rFonts w:ascii="Calibri" w:hAnsi="Calibri" w:cs="Calibri"/>
        </w:rPr>
      </w:pPr>
    </w:p>
    <w:p w14:paraId="6713F643" w14:textId="744F7B22" w:rsidR="00DA4065" w:rsidRPr="00D15AF7" w:rsidRDefault="00C54475" w:rsidP="00D15AF7">
      <w:pPr>
        <w:pStyle w:val="ListParagraph"/>
        <w:spacing w:line="240" w:lineRule="auto"/>
        <w:ind w:left="1080"/>
        <w:jc w:val="both"/>
        <w:rPr>
          <w:rFonts w:ascii="Calibri" w:hAnsi="Calibri" w:cs="Calibri"/>
          <w:b/>
          <w:bCs/>
        </w:rPr>
      </w:pPr>
      <w:r w:rsidRPr="00D15AF7">
        <w:rPr>
          <w:rFonts w:ascii="Calibri" w:hAnsi="Calibri" w:cs="Calibri"/>
        </w:rPr>
        <w:t xml:space="preserve">Now </w:t>
      </w:r>
      <w:r w:rsidRPr="00D15AF7">
        <w:rPr>
          <w:rFonts w:ascii="Calibri" w:hAnsi="Calibri" w:cs="Calibri"/>
        </w:rPr>
        <w:t xml:space="preserve">churn was examined across age segments. The </w:t>
      </w:r>
      <w:r w:rsidRPr="00D15AF7">
        <w:rPr>
          <w:rFonts w:ascii="Calibri" w:hAnsi="Calibri" w:cs="Calibri"/>
          <w:b/>
          <w:bCs/>
        </w:rPr>
        <w:t>46–60 age group</w:t>
      </w:r>
      <w:r w:rsidRPr="00D15AF7">
        <w:rPr>
          <w:rFonts w:ascii="Calibri" w:hAnsi="Calibri" w:cs="Calibri"/>
        </w:rPr>
        <w:t xml:space="preserve"> showed the highest churn (~51%), while customers under 30 had the lowest (~8%).</w:t>
      </w:r>
    </w:p>
    <w:p w14:paraId="217AA03E" w14:textId="77777777" w:rsidR="00154D8D" w:rsidRDefault="00154D8D" w:rsidP="00154D8D">
      <w:pPr>
        <w:spacing w:line="240" w:lineRule="auto"/>
        <w:ind w:left="720"/>
        <w:jc w:val="both"/>
        <w:rPr>
          <w:rFonts w:ascii="Calibri" w:hAnsi="Calibri" w:cs="Calibri"/>
          <w:b/>
          <w:bCs/>
        </w:rPr>
      </w:pPr>
    </w:p>
    <w:p w14:paraId="69957B9B" w14:textId="57735EB5" w:rsidR="00154D8D" w:rsidRDefault="00154D8D" w:rsidP="00154D8D">
      <w:pPr>
        <w:spacing w:line="240" w:lineRule="auto"/>
        <w:ind w:left="720"/>
        <w:jc w:val="both"/>
        <w:rPr>
          <w:rFonts w:ascii="Calibri" w:hAnsi="Calibri" w:cs="Calibri"/>
          <w:b/>
          <w:bCs/>
        </w:rPr>
      </w:pPr>
      <w:r>
        <w:rPr>
          <w:noProof/>
        </w:rPr>
        <w:drawing>
          <wp:inline distT="0" distB="0" distL="0" distR="0" wp14:anchorId="4A69146E" wp14:editId="554E8432">
            <wp:extent cx="5273040" cy="4298950"/>
            <wp:effectExtent l="0" t="0" r="3810" b="6350"/>
            <wp:docPr id="7313937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3040" cy="4298950"/>
                    </a:xfrm>
                    <a:prstGeom prst="rect">
                      <a:avLst/>
                    </a:prstGeom>
                    <a:noFill/>
                    <a:ln>
                      <a:noFill/>
                    </a:ln>
                  </pic:spPr>
                </pic:pic>
              </a:graphicData>
            </a:graphic>
          </wp:inline>
        </w:drawing>
      </w:r>
    </w:p>
    <w:p w14:paraId="3D26BDC6" w14:textId="77777777" w:rsidR="00C54475" w:rsidRDefault="00154D8D" w:rsidP="00C54475">
      <w:pPr>
        <w:spacing w:line="240" w:lineRule="auto"/>
        <w:ind w:left="720"/>
        <w:jc w:val="both"/>
        <w:rPr>
          <w:rFonts w:ascii="Calibri" w:hAnsi="Calibri" w:cs="Calibri"/>
        </w:rPr>
      </w:pPr>
      <w:r w:rsidRPr="00154D8D">
        <w:rPr>
          <w:rFonts w:ascii="Calibri" w:hAnsi="Calibri" w:cs="Calibri"/>
          <w:b/>
          <w:bCs/>
        </w:rPr>
        <w:t>Figure 2: Churn Rate by Age Group</w:t>
      </w:r>
      <w:r w:rsidRPr="00154D8D">
        <w:rPr>
          <w:rFonts w:ascii="Calibri" w:hAnsi="Calibri" w:cs="Calibri"/>
        </w:rPr>
        <w:t xml:space="preserve"> </w:t>
      </w:r>
    </w:p>
    <w:p w14:paraId="471FBDE6" w14:textId="21971C55" w:rsidR="00C54475" w:rsidRPr="00C54475" w:rsidRDefault="00C54475" w:rsidP="00C54475">
      <w:pPr>
        <w:spacing w:line="240" w:lineRule="auto"/>
        <w:ind w:left="720"/>
        <w:jc w:val="both"/>
        <w:rPr>
          <w:rFonts w:ascii="Calibri" w:hAnsi="Calibri" w:cs="Calibri"/>
        </w:rPr>
      </w:pPr>
      <w:r w:rsidRPr="00C54475">
        <w:rPr>
          <w:rFonts w:ascii="Calibri" w:hAnsi="Calibri" w:cs="Calibri"/>
          <w:i/>
          <w:iCs/>
        </w:rPr>
        <w:t>This indicates that middle-aged customers are particularly vulnerable, possibly due to financial or service-related pressures.</w:t>
      </w:r>
    </w:p>
    <w:p w14:paraId="4EE2D469" w14:textId="77777777" w:rsidR="00154D8D" w:rsidRPr="00DA4065" w:rsidRDefault="00154D8D" w:rsidP="00154D8D">
      <w:pPr>
        <w:spacing w:line="240" w:lineRule="auto"/>
        <w:jc w:val="both"/>
        <w:rPr>
          <w:rFonts w:ascii="Calibri" w:hAnsi="Calibri" w:cs="Calibri"/>
        </w:rPr>
      </w:pPr>
    </w:p>
    <w:p w14:paraId="4E739909" w14:textId="43C2D9F1" w:rsidR="00D15AF7" w:rsidRPr="00D15AF7" w:rsidRDefault="00DA4065" w:rsidP="00D15AF7">
      <w:pPr>
        <w:pStyle w:val="ListParagraph"/>
        <w:numPr>
          <w:ilvl w:val="2"/>
          <w:numId w:val="19"/>
        </w:numPr>
        <w:spacing w:line="240" w:lineRule="auto"/>
        <w:jc w:val="both"/>
        <w:rPr>
          <w:rFonts w:ascii="Calibri" w:hAnsi="Calibri" w:cs="Calibri"/>
          <w:b/>
          <w:bCs/>
        </w:rPr>
      </w:pPr>
      <w:r w:rsidRPr="00D15AF7">
        <w:rPr>
          <w:rFonts w:ascii="Calibri" w:hAnsi="Calibri" w:cs="Calibri"/>
          <w:b/>
          <w:bCs/>
        </w:rPr>
        <w:t>Geography</w:t>
      </w:r>
    </w:p>
    <w:p w14:paraId="670E785B" w14:textId="77777777" w:rsidR="00D15AF7" w:rsidRDefault="00D15AF7" w:rsidP="00D15AF7">
      <w:pPr>
        <w:pStyle w:val="ListParagraph"/>
        <w:spacing w:line="240" w:lineRule="auto"/>
        <w:ind w:left="1080"/>
        <w:jc w:val="both"/>
        <w:rPr>
          <w:rFonts w:ascii="Calibri" w:hAnsi="Calibri" w:cs="Calibri"/>
        </w:rPr>
      </w:pPr>
    </w:p>
    <w:p w14:paraId="2048F001" w14:textId="754B5BD2" w:rsidR="006F79B0" w:rsidRPr="00D15AF7" w:rsidRDefault="00D15AF7" w:rsidP="00D15AF7">
      <w:pPr>
        <w:pStyle w:val="ListParagraph"/>
        <w:spacing w:line="240" w:lineRule="auto"/>
        <w:ind w:left="1080"/>
        <w:jc w:val="both"/>
        <w:rPr>
          <w:rFonts w:ascii="Calibri" w:hAnsi="Calibri" w:cs="Calibri"/>
        </w:rPr>
      </w:pPr>
      <w:r w:rsidRPr="00D15AF7">
        <w:rPr>
          <w:rFonts w:ascii="Calibri" w:hAnsi="Calibri" w:cs="Calibri"/>
        </w:rPr>
        <w:t xml:space="preserve">The EDA then explored churn by geography. </w:t>
      </w:r>
      <w:r w:rsidRPr="00D15AF7">
        <w:rPr>
          <w:rFonts w:ascii="Calibri" w:hAnsi="Calibri" w:cs="Calibri"/>
          <w:b/>
          <w:bCs/>
        </w:rPr>
        <w:t>Germany exhibited the highest churn (~32%)</w:t>
      </w:r>
      <w:r w:rsidRPr="00D15AF7">
        <w:rPr>
          <w:rFonts w:ascii="Calibri" w:hAnsi="Calibri" w:cs="Calibri"/>
        </w:rPr>
        <w:t>, while France and Spain were both around 16%.</w:t>
      </w:r>
    </w:p>
    <w:p w14:paraId="77189C5B" w14:textId="29E8D0E2" w:rsidR="006F79B0" w:rsidRDefault="006F79B0" w:rsidP="006F79B0">
      <w:pPr>
        <w:spacing w:line="240" w:lineRule="auto"/>
        <w:ind w:left="720"/>
        <w:jc w:val="both"/>
        <w:rPr>
          <w:rFonts w:ascii="Calibri" w:hAnsi="Calibri" w:cs="Calibri"/>
        </w:rPr>
      </w:pPr>
      <w:r>
        <w:rPr>
          <w:noProof/>
        </w:rPr>
        <w:lastRenderedPageBreak/>
        <w:drawing>
          <wp:inline distT="0" distB="0" distL="0" distR="0" wp14:anchorId="02BBBD98" wp14:editId="36E4372D">
            <wp:extent cx="5257800" cy="4298950"/>
            <wp:effectExtent l="0" t="0" r="0" b="6350"/>
            <wp:docPr id="176672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57800" cy="4298950"/>
                    </a:xfrm>
                    <a:prstGeom prst="rect">
                      <a:avLst/>
                    </a:prstGeom>
                    <a:noFill/>
                    <a:ln>
                      <a:noFill/>
                    </a:ln>
                  </pic:spPr>
                </pic:pic>
              </a:graphicData>
            </a:graphic>
          </wp:inline>
        </w:drawing>
      </w:r>
    </w:p>
    <w:p w14:paraId="02FF9F8B" w14:textId="77777777" w:rsidR="00D15AF7" w:rsidRDefault="006F79B0" w:rsidP="006F79B0">
      <w:pPr>
        <w:spacing w:line="240" w:lineRule="auto"/>
        <w:ind w:left="720"/>
        <w:jc w:val="both"/>
        <w:rPr>
          <w:rFonts w:ascii="Calibri" w:hAnsi="Calibri" w:cs="Calibri"/>
        </w:rPr>
      </w:pPr>
      <w:r w:rsidRPr="006F79B0">
        <w:rPr>
          <w:rFonts w:ascii="Calibri" w:hAnsi="Calibri" w:cs="Calibri"/>
          <w:b/>
          <w:bCs/>
        </w:rPr>
        <w:t xml:space="preserve">Figure 3: Geographic Risk Index (Churn </w:t>
      </w:r>
      <w:r>
        <w:rPr>
          <w:rFonts w:ascii="Calibri" w:hAnsi="Calibri" w:cs="Calibri"/>
          <w:b/>
          <w:bCs/>
        </w:rPr>
        <w:t>Percentage</w:t>
      </w:r>
      <w:r w:rsidRPr="006F79B0">
        <w:rPr>
          <w:rFonts w:ascii="Calibri" w:hAnsi="Calibri" w:cs="Calibri"/>
          <w:b/>
          <w:bCs/>
        </w:rPr>
        <w:t>)</w:t>
      </w:r>
      <w:r w:rsidRPr="006F79B0">
        <w:rPr>
          <w:rFonts w:ascii="Calibri" w:hAnsi="Calibri" w:cs="Calibri"/>
        </w:rPr>
        <w:t xml:space="preserve"> </w:t>
      </w:r>
    </w:p>
    <w:p w14:paraId="0F239886" w14:textId="77777777" w:rsidR="00D15AF7" w:rsidRPr="00D15AF7" w:rsidRDefault="00D15AF7" w:rsidP="00D15AF7">
      <w:pPr>
        <w:spacing w:line="240" w:lineRule="auto"/>
        <w:ind w:left="720"/>
        <w:jc w:val="both"/>
        <w:rPr>
          <w:rFonts w:ascii="Calibri" w:hAnsi="Calibri" w:cs="Calibri"/>
        </w:rPr>
      </w:pPr>
      <w:r w:rsidRPr="00D15AF7">
        <w:rPr>
          <w:rFonts w:ascii="Calibri" w:hAnsi="Calibri" w:cs="Calibri"/>
          <w:i/>
          <w:iCs/>
        </w:rPr>
        <w:t>This suggests localized risk factors, such as regional competition or economic conditions.</w:t>
      </w:r>
    </w:p>
    <w:p w14:paraId="661464A8" w14:textId="77777777" w:rsidR="00D15AF7" w:rsidRPr="00D15AF7" w:rsidRDefault="00DA4065" w:rsidP="00D15AF7">
      <w:pPr>
        <w:pStyle w:val="ListParagraph"/>
        <w:numPr>
          <w:ilvl w:val="2"/>
          <w:numId w:val="19"/>
        </w:numPr>
        <w:spacing w:line="240" w:lineRule="auto"/>
        <w:jc w:val="both"/>
        <w:rPr>
          <w:rFonts w:ascii="Calibri" w:hAnsi="Calibri" w:cs="Calibri"/>
          <w:b/>
          <w:bCs/>
        </w:rPr>
      </w:pPr>
      <w:r w:rsidRPr="00D15AF7">
        <w:rPr>
          <w:rFonts w:ascii="Calibri" w:hAnsi="Calibri" w:cs="Calibri"/>
          <w:b/>
          <w:bCs/>
        </w:rPr>
        <w:t>Balance Segments</w:t>
      </w:r>
    </w:p>
    <w:p w14:paraId="00486B5C" w14:textId="77777777" w:rsidR="00D15AF7" w:rsidRDefault="00D15AF7" w:rsidP="00D15AF7">
      <w:pPr>
        <w:pStyle w:val="ListParagraph"/>
        <w:spacing w:line="240" w:lineRule="auto"/>
        <w:ind w:left="1080"/>
        <w:jc w:val="both"/>
        <w:rPr>
          <w:rFonts w:ascii="Calibri" w:hAnsi="Calibri" w:cs="Calibri"/>
        </w:rPr>
      </w:pPr>
    </w:p>
    <w:p w14:paraId="30E9BF4F" w14:textId="33F3C774" w:rsidR="006F79B0" w:rsidRPr="00D15AF7" w:rsidRDefault="00D15AF7" w:rsidP="00D15AF7">
      <w:pPr>
        <w:pStyle w:val="ListParagraph"/>
        <w:spacing w:line="240" w:lineRule="auto"/>
        <w:ind w:left="1080"/>
        <w:jc w:val="both"/>
        <w:rPr>
          <w:rFonts w:ascii="Calibri" w:hAnsi="Calibri" w:cs="Calibri"/>
        </w:rPr>
      </w:pPr>
      <w:r w:rsidRPr="00D15AF7">
        <w:rPr>
          <w:rFonts w:ascii="Calibri" w:hAnsi="Calibri" w:cs="Calibri"/>
        </w:rPr>
        <w:t xml:space="preserve">Churn was further segmented by customer balances. Customers with </w:t>
      </w:r>
      <w:r w:rsidRPr="00D15AF7">
        <w:rPr>
          <w:rFonts w:ascii="Calibri" w:hAnsi="Calibri" w:cs="Calibri"/>
          <w:b/>
          <w:bCs/>
        </w:rPr>
        <w:t>low balances churned most frequently (~35%)</w:t>
      </w:r>
      <w:r w:rsidRPr="00D15AF7">
        <w:rPr>
          <w:rFonts w:ascii="Calibri" w:hAnsi="Calibri" w:cs="Calibri"/>
        </w:rPr>
        <w:t>, while zero-balance (~14%) and high-balance (~24%) customers showed lower churn.</w:t>
      </w:r>
    </w:p>
    <w:p w14:paraId="371B8ED3" w14:textId="0E5B4BC2" w:rsidR="006F79B0" w:rsidRDefault="006F79B0" w:rsidP="006F79B0">
      <w:pPr>
        <w:spacing w:line="240" w:lineRule="auto"/>
        <w:ind w:left="720"/>
        <w:jc w:val="both"/>
        <w:rPr>
          <w:rFonts w:ascii="Calibri" w:hAnsi="Calibri" w:cs="Calibri"/>
        </w:rPr>
      </w:pPr>
      <w:r>
        <w:rPr>
          <w:noProof/>
        </w:rPr>
        <w:lastRenderedPageBreak/>
        <w:drawing>
          <wp:inline distT="0" distB="0" distL="0" distR="0" wp14:anchorId="2693BCE9" wp14:editId="46EC3363">
            <wp:extent cx="5295900" cy="3925570"/>
            <wp:effectExtent l="0" t="0" r="0" b="0"/>
            <wp:docPr id="21264197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95900" cy="3925570"/>
                    </a:xfrm>
                    <a:prstGeom prst="rect">
                      <a:avLst/>
                    </a:prstGeom>
                    <a:noFill/>
                    <a:ln>
                      <a:noFill/>
                    </a:ln>
                  </pic:spPr>
                </pic:pic>
              </a:graphicData>
            </a:graphic>
          </wp:inline>
        </w:drawing>
      </w:r>
    </w:p>
    <w:p w14:paraId="6830B8DA" w14:textId="77777777" w:rsidR="00D15AF7" w:rsidRDefault="006F79B0" w:rsidP="006F79B0">
      <w:pPr>
        <w:spacing w:line="240" w:lineRule="auto"/>
        <w:ind w:left="720"/>
        <w:jc w:val="both"/>
        <w:rPr>
          <w:rFonts w:ascii="Calibri" w:hAnsi="Calibri" w:cs="Calibri"/>
        </w:rPr>
      </w:pPr>
      <w:r w:rsidRPr="006F79B0">
        <w:rPr>
          <w:rFonts w:ascii="Calibri" w:hAnsi="Calibri" w:cs="Calibri"/>
          <w:b/>
          <w:bCs/>
        </w:rPr>
        <w:t>Figure 4: Churn Rate by Balance Segment</w:t>
      </w:r>
      <w:r w:rsidRPr="006F79B0">
        <w:rPr>
          <w:rFonts w:ascii="Calibri" w:hAnsi="Calibri" w:cs="Calibri"/>
        </w:rPr>
        <w:t xml:space="preserve"> </w:t>
      </w:r>
    </w:p>
    <w:p w14:paraId="3AA50893" w14:textId="77777777" w:rsidR="00D15AF7" w:rsidRDefault="006F79B0" w:rsidP="00D15AF7">
      <w:pPr>
        <w:spacing w:line="240" w:lineRule="auto"/>
        <w:ind w:left="720"/>
        <w:jc w:val="both"/>
        <w:rPr>
          <w:rFonts w:ascii="Calibri" w:hAnsi="Calibri" w:cs="Calibri"/>
          <w:i/>
          <w:iCs/>
        </w:rPr>
      </w:pPr>
      <w:r w:rsidRPr="006F79B0">
        <w:rPr>
          <w:rFonts w:ascii="Calibri" w:hAnsi="Calibri" w:cs="Calibri"/>
          <w:i/>
          <w:iCs/>
        </w:rPr>
        <w:t>Financial vulnerability emerges as a strong churn driver.</w:t>
      </w:r>
    </w:p>
    <w:p w14:paraId="1F071AD9" w14:textId="77777777" w:rsidR="00D15AF7" w:rsidRPr="00D15AF7" w:rsidRDefault="00DA4065" w:rsidP="00D15AF7">
      <w:pPr>
        <w:pStyle w:val="ListParagraph"/>
        <w:numPr>
          <w:ilvl w:val="2"/>
          <w:numId w:val="19"/>
        </w:numPr>
        <w:spacing w:line="240" w:lineRule="auto"/>
        <w:jc w:val="both"/>
        <w:rPr>
          <w:rFonts w:ascii="Calibri" w:hAnsi="Calibri" w:cs="Calibri"/>
          <w:b/>
          <w:bCs/>
        </w:rPr>
      </w:pPr>
      <w:r w:rsidRPr="00D15AF7">
        <w:rPr>
          <w:rFonts w:ascii="Calibri" w:hAnsi="Calibri" w:cs="Calibri"/>
          <w:b/>
          <w:bCs/>
        </w:rPr>
        <w:t>Tenure Groups</w:t>
      </w:r>
    </w:p>
    <w:p w14:paraId="34C8E5C6" w14:textId="77777777" w:rsidR="00D15AF7" w:rsidRDefault="00D15AF7" w:rsidP="00D15AF7">
      <w:pPr>
        <w:pStyle w:val="ListParagraph"/>
        <w:spacing w:line="240" w:lineRule="auto"/>
        <w:ind w:left="1080"/>
        <w:jc w:val="both"/>
        <w:rPr>
          <w:rFonts w:ascii="Calibri" w:hAnsi="Calibri" w:cs="Calibri"/>
        </w:rPr>
      </w:pPr>
    </w:p>
    <w:p w14:paraId="2517697B" w14:textId="77777777" w:rsidR="00124E8A" w:rsidRDefault="008D6711" w:rsidP="00124E8A">
      <w:pPr>
        <w:pStyle w:val="ListParagraph"/>
        <w:spacing w:line="240" w:lineRule="auto"/>
        <w:ind w:left="1080"/>
        <w:jc w:val="both"/>
        <w:rPr>
          <w:rFonts w:ascii="Calibri" w:hAnsi="Calibri" w:cs="Calibri"/>
        </w:rPr>
      </w:pPr>
      <w:r w:rsidRPr="00D15AF7">
        <w:rPr>
          <w:rFonts w:ascii="Calibri" w:hAnsi="Calibri" w:cs="Calibri"/>
        </w:rPr>
        <w:t xml:space="preserve">The </w:t>
      </w:r>
      <w:r w:rsidRPr="00D15AF7">
        <w:rPr>
          <w:rFonts w:ascii="Calibri" w:hAnsi="Calibri" w:cs="Calibri"/>
        </w:rPr>
        <w:t>churn rates are relatively consistent across tenure segments, with minor variations.</w:t>
      </w:r>
    </w:p>
    <w:p w14:paraId="222FB747" w14:textId="77777777" w:rsidR="00124E8A" w:rsidRDefault="008D6711" w:rsidP="00124E8A">
      <w:pPr>
        <w:pStyle w:val="ListParagraph"/>
        <w:numPr>
          <w:ilvl w:val="0"/>
          <w:numId w:val="22"/>
        </w:numPr>
        <w:spacing w:line="240" w:lineRule="auto"/>
        <w:jc w:val="both"/>
        <w:rPr>
          <w:rFonts w:ascii="Calibri" w:hAnsi="Calibri" w:cs="Calibri"/>
        </w:rPr>
      </w:pPr>
      <w:r w:rsidRPr="00124E8A">
        <w:rPr>
          <w:rFonts w:ascii="Calibri" w:hAnsi="Calibri" w:cs="Calibri"/>
          <w:b/>
          <w:bCs/>
        </w:rPr>
        <w:t>New customers</w:t>
      </w:r>
      <w:r w:rsidRPr="00124E8A">
        <w:rPr>
          <w:rFonts w:ascii="Calibri" w:hAnsi="Calibri" w:cs="Calibri"/>
        </w:rPr>
        <w:t xml:space="preserve"> show a churn rate slightly above 20%, indicating that early-stage engagement is crucial to prevent quick exits.</w:t>
      </w:r>
    </w:p>
    <w:p w14:paraId="35D9FE2B" w14:textId="77777777" w:rsidR="00124E8A" w:rsidRDefault="008D6711" w:rsidP="00124E8A">
      <w:pPr>
        <w:pStyle w:val="ListParagraph"/>
        <w:numPr>
          <w:ilvl w:val="0"/>
          <w:numId w:val="22"/>
        </w:numPr>
        <w:spacing w:line="240" w:lineRule="auto"/>
        <w:jc w:val="both"/>
        <w:rPr>
          <w:rFonts w:ascii="Calibri" w:hAnsi="Calibri" w:cs="Calibri"/>
        </w:rPr>
      </w:pPr>
      <w:r w:rsidRPr="00124E8A">
        <w:rPr>
          <w:rFonts w:ascii="Calibri" w:hAnsi="Calibri" w:cs="Calibri"/>
          <w:b/>
          <w:bCs/>
        </w:rPr>
        <w:t>Mid-term customers (3–7 years)</w:t>
      </w:r>
      <w:r w:rsidRPr="00124E8A">
        <w:rPr>
          <w:rFonts w:ascii="Calibri" w:hAnsi="Calibri" w:cs="Calibri"/>
        </w:rPr>
        <w:t xml:space="preserve"> exhibit a churn rate just below 20%, suggesting moderate stability but still a notable risk of attrition.</w:t>
      </w:r>
    </w:p>
    <w:p w14:paraId="6FA17C0B" w14:textId="39DEDD3B" w:rsidR="008D6711" w:rsidRPr="00124E8A" w:rsidRDefault="008D6711" w:rsidP="00124E8A">
      <w:pPr>
        <w:pStyle w:val="ListParagraph"/>
        <w:numPr>
          <w:ilvl w:val="0"/>
          <w:numId w:val="22"/>
        </w:numPr>
        <w:spacing w:line="240" w:lineRule="auto"/>
        <w:jc w:val="both"/>
        <w:rPr>
          <w:rFonts w:ascii="Calibri" w:hAnsi="Calibri" w:cs="Calibri"/>
        </w:rPr>
      </w:pPr>
      <w:r w:rsidRPr="00124E8A">
        <w:rPr>
          <w:rFonts w:ascii="Calibri" w:hAnsi="Calibri" w:cs="Calibri"/>
          <w:b/>
          <w:bCs/>
        </w:rPr>
        <w:t>Long-term customers (&gt;7 years)</w:t>
      </w:r>
      <w:r w:rsidRPr="00124E8A">
        <w:rPr>
          <w:rFonts w:ascii="Calibri" w:hAnsi="Calibri" w:cs="Calibri"/>
        </w:rPr>
        <w:t xml:space="preserve"> also hover around a 20% churn rate, implying that even established relationships are not immune to churn.</w:t>
      </w:r>
    </w:p>
    <w:p w14:paraId="6CF1C9AE" w14:textId="2120A5C3" w:rsidR="006F79B0" w:rsidRDefault="00BB2231" w:rsidP="008D6711">
      <w:pPr>
        <w:spacing w:line="240" w:lineRule="auto"/>
        <w:ind w:left="720"/>
        <w:jc w:val="both"/>
        <w:rPr>
          <w:rFonts w:ascii="Calibri" w:hAnsi="Calibri" w:cs="Calibri"/>
        </w:rPr>
      </w:pPr>
      <w:r>
        <w:rPr>
          <w:noProof/>
        </w:rPr>
        <w:lastRenderedPageBreak/>
        <w:drawing>
          <wp:inline distT="0" distB="0" distL="0" distR="0" wp14:anchorId="7372F928" wp14:editId="4D984F01">
            <wp:extent cx="5250180" cy="4298950"/>
            <wp:effectExtent l="0" t="0" r="7620" b="6350"/>
            <wp:docPr id="10349537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50180" cy="4298950"/>
                    </a:xfrm>
                    <a:prstGeom prst="rect">
                      <a:avLst/>
                    </a:prstGeom>
                    <a:noFill/>
                    <a:ln>
                      <a:noFill/>
                    </a:ln>
                  </pic:spPr>
                </pic:pic>
              </a:graphicData>
            </a:graphic>
          </wp:inline>
        </w:drawing>
      </w:r>
    </w:p>
    <w:p w14:paraId="5DED0908" w14:textId="77777777" w:rsidR="008D6711" w:rsidRDefault="008D6711" w:rsidP="008D6711">
      <w:pPr>
        <w:spacing w:line="240" w:lineRule="auto"/>
        <w:ind w:left="720"/>
        <w:jc w:val="both"/>
        <w:rPr>
          <w:rFonts w:ascii="Calibri" w:hAnsi="Calibri" w:cs="Calibri"/>
        </w:rPr>
      </w:pPr>
      <w:r w:rsidRPr="008D6711">
        <w:rPr>
          <w:rFonts w:ascii="Calibri" w:hAnsi="Calibri" w:cs="Calibri"/>
          <w:b/>
          <w:bCs/>
        </w:rPr>
        <w:t xml:space="preserve">Figure </w:t>
      </w:r>
      <w:r>
        <w:rPr>
          <w:rFonts w:ascii="Calibri" w:hAnsi="Calibri" w:cs="Calibri"/>
          <w:b/>
          <w:bCs/>
        </w:rPr>
        <w:t>5</w:t>
      </w:r>
      <w:r w:rsidRPr="008D6711">
        <w:rPr>
          <w:rFonts w:ascii="Calibri" w:hAnsi="Calibri" w:cs="Calibri"/>
          <w:b/>
          <w:bCs/>
        </w:rPr>
        <w:t>: Churn Rate by Tenure Group</w:t>
      </w:r>
      <w:r w:rsidRPr="008D6711">
        <w:rPr>
          <w:rFonts w:ascii="Calibri" w:hAnsi="Calibri" w:cs="Calibri"/>
        </w:rPr>
        <w:t xml:space="preserve"> </w:t>
      </w:r>
    </w:p>
    <w:p w14:paraId="302DB06E" w14:textId="7F9273A9" w:rsidR="008D6711" w:rsidRPr="008D6711" w:rsidRDefault="00D15AF7" w:rsidP="008D6711">
      <w:pPr>
        <w:spacing w:line="240" w:lineRule="auto"/>
        <w:ind w:left="720"/>
        <w:jc w:val="both"/>
        <w:rPr>
          <w:rFonts w:ascii="Calibri" w:hAnsi="Calibri" w:cs="Calibri"/>
        </w:rPr>
      </w:pPr>
      <w:r w:rsidRPr="00D15AF7">
        <w:rPr>
          <w:rFonts w:ascii="Calibri" w:hAnsi="Calibri" w:cs="Calibri"/>
          <w:i/>
          <w:iCs/>
        </w:rPr>
        <w:t>This confirms that tenure alone is not a strong predictor of churn, emphasizing the need for continuous engagement strategies.</w:t>
      </w:r>
    </w:p>
    <w:p w14:paraId="0032D617" w14:textId="7D1AFF52" w:rsidR="006A0F22" w:rsidRPr="00124E8A" w:rsidRDefault="006A0F22" w:rsidP="006A0F22">
      <w:pPr>
        <w:pStyle w:val="NormalWeb"/>
        <w:numPr>
          <w:ilvl w:val="2"/>
          <w:numId w:val="19"/>
        </w:numPr>
        <w:rPr>
          <w:rFonts w:ascii="Calibri" w:hAnsi="Calibri" w:cs="Calibri"/>
        </w:rPr>
      </w:pPr>
      <w:r w:rsidRPr="00124E8A">
        <w:rPr>
          <w:rFonts w:ascii="Calibri" w:hAnsi="Calibri" w:cs="Calibri"/>
          <w:b/>
          <w:bCs/>
        </w:rPr>
        <w:t>Visualization Tools</w:t>
      </w:r>
    </w:p>
    <w:p w14:paraId="394BDCB7" w14:textId="77777777" w:rsidR="006A0F22" w:rsidRPr="00124E8A" w:rsidRDefault="006A0F22" w:rsidP="006A0F22">
      <w:pPr>
        <w:pStyle w:val="NormalWeb"/>
        <w:numPr>
          <w:ilvl w:val="0"/>
          <w:numId w:val="23"/>
        </w:numPr>
        <w:rPr>
          <w:rFonts w:ascii="Calibri" w:hAnsi="Calibri" w:cs="Calibri"/>
        </w:rPr>
      </w:pPr>
      <w:r w:rsidRPr="00124E8A">
        <w:rPr>
          <w:rFonts w:ascii="Calibri" w:hAnsi="Calibri" w:cs="Calibri"/>
          <w:b/>
          <w:bCs/>
        </w:rPr>
        <w:t>Matplotlib</w:t>
      </w:r>
      <w:r w:rsidRPr="00124E8A">
        <w:rPr>
          <w:rFonts w:ascii="Calibri" w:hAnsi="Calibri" w:cs="Calibri"/>
        </w:rPr>
        <w:t>: Used for pie charts and static plots.</w:t>
      </w:r>
    </w:p>
    <w:p w14:paraId="2E5F2057" w14:textId="77777777" w:rsidR="006A0F22" w:rsidRPr="00124E8A" w:rsidRDefault="006A0F22" w:rsidP="006A0F22">
      <w:pPr>
        <w:pStyle w:val="NormalWeb"/>
        <w:numPr>
          <w:ilvl w:val="0"/>
          <w:numId w:val="23"/>
        </w:numPr>
        <w:rPr>
          <w:rFonts w:ascii="Calibri" w:hAnsi="Calibri" w:cs="Calibri"/>
        </w:rPr>
      </w:pPr>
      <w:r w:rsidRPr="00124E8A">
        <w:rPr>
          <w:rFonts w:ascii="Calibri" w:hAnsi="Calibri" w:cs="Calibri"/>
          <w:b/>
          <w:bCs/>
        </w:rPr>
        <w:t>Seaborn</w:t>
      </w:r>
      <w:r w:rsidRPr="00124E8A">
        <w:rPr>
          <w:rFonts w:ascii="Calibri" w:hAnsi="Calibri" w:cs="Calibri"/>
        </w:rPr>
        <w:t xml:space="preserve">: Used for enhanced bar charts with </w:t>
      </w:r>
      <w:proofErr w:type="spellStart"/>
      <w:r w:rsidRPr="00124E8A">
        <w:rPr>
          <w:rFonts w:ascii="Calibri" w:hAnsi="Calibri" w:cs="Calibri"/>
        </w:rPr>
        <w:t>color</w:t>
      </w:r>
      <w:proofErr w:type="spellEnd"/>
      <w:r w:rsidRPr="00124E8A">
        <w:rPr>
          <w:rFonts w:ascii="Calibri" w:hAnsi="Calibri" w:cs="Calibri"/>
        </w:rPr>
        <w:t xml:space="preserve"> palettes and gridlines, improving interpretability.</w:t>
      </w:r>
    </w:p>
    <w:p w14:paraId="126872E3" w14:textId="77777777" w:rsidR="006A0F22" w:rsidRPr="00124E8A" w:rsidRDefault="006A0F22" w:rsidP="006A0F22">
      <w:pPr>
        <w:pStyle w:val="NormalWeb"/>
        <w:ind w:left="720"/>
        <w:rPr>
          <w:rFonts w:ascii="Calibri" w:hAnsi="Calibri" w:cs="Calibri"/>
        </w:rPr>
      </w:pPr>
      <w:r w:rsidRPr="00124E8A">
        <w:rPr>
          <w:rFonts w:ascii="Calibri" w:hAnsi="Calibri" w:cs="Calibri"/>
        </w:rPr>
        <w:t>All figures were saved as PNGs for integration into the research paper.</w:t>
      </w:r>
    </w:p>
    <w:p w14:paraId="5131D482" w14:textId="2A24284A" w:rsidR="00DA4065" w:rsidRPr="00DA4065" w:rsidRDefault="006A0F22" w:rsidP="006A0F22">
      <w:pPr>
        <w:ind w:firstLine="360"/>
        <w:jc w:val="both"/>
        <w:rPr>
          <w:rFonts w:ascii="Calibri" w:hAnsi="Calibri" w:cs="Calibri"/>
          <w:b/>
          <w:bCs/>
        </w:rPr>
      </w:pPr>
      <w:r>
        <w:rPr>
          <w:rFonts w:ascii="Calibri" w:hAnsi="Calibri" w:cs="Calibri"/>
          <w:b/>
          <w:bCs/>
        </w:rPr>
        <w:t xml:space="preserve">3.2.6    </w:t>
      </w:r>
      <w:r w:rsidR="00DA4065" w:rsidRPr="00DA4065">
        <w:rPr>
          <w:rFonts w:ascii="Calibri" w:hAnsi="Calibri" w:cs="Calibri"/>
          <w:b/>
          <w:bCs/>
        </w:rPr>
        <w:t>Contribution Analysis</w:t>
      </w:r>
    </w:p>
    <w:p w14:paraId="7FB25ADC" w14:textId="77777777" w:rsidR="00DA4065" w:rsidRPr="00DA4065" w:rsidRDefault="00DA4065" w:rsidP="00CC467C">
      <w:pPr>
        <w:numPr>
          <w:ilvl w:val="0"/>
          <w:numId w:val="10"/>
        </w:numPr>
        <w:spacing w:line="240" w:lineRule="auto"/>
        <w:jc w:val="both"/>
        <w:rPr>
          <w:rFonts w:ascii="Calibri" w:hAnsi="Calibri" w:cs="Calibri"/>
        </w:rPr>
      </w:pPr>
      <w:r w:rsidRPr="00DA4065">
        <w:rPr>
          <w:rFonts w:ascii="Calibri" w:hAnsi="Calibri" w:cs="Calibri"/>
        </w:rPr>
        <w:t>Age and Credit Score contributed significantly to churn volume.</w:t>
      </w:r>
    </w:p>
    <w:p w14:paraId="7854AFBE" w14:textId="77777777" w:rsidR="00DA4065" w:rsidRDefault="00DA4065" w:rsidP="00CC467C">
      <w:pPr>
        <w:numPr>
          <w:ilvl w:val="0"/>
          <w:numId w:val="10"/>
        </w:numPr>
        <w:spacing w:line="240" w:lineRule="auto"/>
        <w:jc w:val="both"/>
        <w:rPr>
          <w:rFonts w:ascii="Calibri" w:hAnsi="Calibri" w:cs="Calibri"/>
        </w:rPr>
      </w:pPr>
      <w:r w:rsidRPr="00DA4065">
        <w:rPr>
          <w:rFonts w:ascii="Calibri" w:hAnsi="Calibri" w:cs="Calibri"/>
        </w:rPr>
        <w:t>High-value customers (large balances) accounted for a substantial share of lost revenue, underscoring the financial risk of churn.</w:t>
      </w:r>
    </w:p>
    <w:p w14:paraId="1CFC348D" w14:textId="3F2BA1D8" w:rsidR="00D15AF7" w:rsidRDefault="00D15AF7" w:rsidP="00CC467C">
      <w:pPr>
        <w:numPr>
          <w:ilvl w:val="0"/>
          <w:numId w:val="10"/>
        </w:numPr>
        <w:spacing w:line="240" w:lineRule="auto"/>
        <w:jc w:val="both"/>
        <w:rPr>
          <w:rFonts w:ascii="Calibri" w:hAnsi="Calibri" w:cs="Calibri"/>
        </w:rPr>
      </w:pPr>
      <w:r w:rsidRPr="00D15AF7">
        <w:rPr>
          <w:rFonts w:ascii="Calibri" w:hAnsi="Calibri" w:cs="Calibri"/>
        </w:rPr>
        <w:t xml:space="preserve">Special focus was placed on high-balance customers. The analysis revealed </w:t>
      </w:r>
      <w:r w:rsidRPr="00D15AF7">
        <w:rPr>
          <w:rFonts w:ascii="Calibri" w:hAnsi="Calibri" w:cs="Calibri"/>
          <w:b/>
          <w:bCs/>
        </w:rPr>
        <w:t>0% churn among high-value customers</w:t>
      </w:r>
      <w:r w:rsidRPr="00D15AF7">
        <w:rPr>
          <w:rFonts w:ascii="Calibri" w:hAnsi="Calibri" w:cs="Calibri"/>
        </w:rPr>
        <w:t>, compared to ~20% overall.</w:t>
      </w:r>
    </w:p>
    <w:p w14:paraId="70BD279B" w14:textId="50EBC32B" w:rsidR="008D6711" w:rsidRDefault="008D6711" w:rsidP="008D6711">
      <w:pPr>
        <w:spacing w:line="240" w:lineRule="auto"/>
        <w:ind w:left="720"/>
        <w:jc w:val="both"/>
        <w:rPr>
          <w:rFonts w:ascii="Calibri" w:hAnsi="Calibri" w:cs="Calibri"/>
        </w:rPr>
      </w:pPr>
      <w:r>
        <w:rPr>
          <w:noProof/>
        </w:rPr>
        <w:lastRenderedPageBreak/>
        <w:drawing>
          <wp:inline distT="0" distB="0" distL="0" distR="0" wp14:anchorId="1FA54C8E" wp14:editId="69B2BB71">
            <wp:extent cx="5280660" cy="4298950"/>
            <wp:effectExtent l="0" t="0" r="0" b="6350"/>
            <wp:docPr id="9950974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80660" cy="4298950"/>
                    </a:xfrm>
                    <a:prstGeom prst="rect">
                      <a:avLst/>
                    </a:prstGeom>
                    <a:noFill/>
                    <a:ln>
                      <a:noFill/>
                    </a:ln>
                  </pic:spPr>
                </pic:pic>
              </a:graphicData>
            </a:graphic>
          </wp:inline>
        </w:drawing>
      </w:r>
    </w:p>
    <w:p w14:paraId="61FE4FA3" w14:textId="6B574CA5" w:rsidR="008D6711" w:rsidRDefault="008D6711" w:rsidP="008D6711">
      <w:pPr>
        <w:spacing w:line="240" w:lineRule="auto"/>
        <w:ind w:left="720"/>
        <w:jc w:val="both"/>
        <w:rPr>
          <w:rFonts w:ascii="Calibri" w:hAnsi="Calibri" w:cs="Calibri"/>
        </w:rPr>
      </w:pPr>
      <w:r w:rsidRPr="008D6711">
        <w:rPr>
          <w:rFonts w:ascii="Calibri" w:hAnsi="Calibri" w:cs="Calibri"/>
          <w:b/>
          <w:bCs/>
        </w:rPr>
        <w:t xml:space="preserve">Figure </w:t>
      </w:r>
      <w:r>
        <w:rPr>
          <w:rFonts w:ascii="Calibri" w:hAnsi="Calibri" w:cs="Calibri"/>
          <w:b/>
          <w:bCs/>
        </w:rPr>
        <w:t>6</w:t>
      </w:r>
      <w:r w:rsidRPr="008D6711">
        <w:rPr>
          <w:rFonts w:ascii="Calibri" w:hAnsi="Calibri" w:cs="Calibri"/>
          <w:b/>
          <w:bCs/>
        </w:rPr>
        <w:t>: High-Value Churn Ratio vs Overall</w:t>
      </w:r>
      <w:r w:rsidRPr="008D6711">
        <w:rPr>
          <w:rFonts w:ascii="Calibri" w:hAnsi="Calibri" w:cs="Calibri"/>
        </w:rPr>
        <w:t xml:space="preserve"> </w:t>
      </w:r>
    </w:p>
    <w:p w14:paraId="2817FC17" w14:textId="77777777" w:rsidR="00124E8A" w:rsidRDefault="008D6711" w:rsidP="00124E8A">
      <w:pPr>
        <w:spacing w:line="240" w:lineRule="auto"/>
        <w:ind w:left="720"/>
        <w:jc w:val="both"/>
        <w:rPr>
          <w:rFonts w:ascii="Calibri" w:hAnsi="Calibri" w:cs="Calibri"/>
          <w:i/>
          <w:iCs/>
        </w:rPr>
      </w:pPr>
      <w:r w:rsidRPr="008D6711">
        <w:rPr>
          <w:rFonts w:ascii="Calibri" w:hAnsi="Calibri" w:cs="Calibri"/>
        </w:rPr>
        <w:t xml:space="preserve">High-balance customers showed </w:t>
      </w:r>
      <w:r w:rsidRPr="008D6711">
        <w:rPr>
          <w:rFonts w:ascii="Calibri" w:hAnsi="Calibri" w:cs="Calibri"/>
          <w:b/>
          <w:bCs/>
        </w:rPr>
        <w:t>0% churn</w:t>
      </w:r>
      <w:r w:rsidRPr="008D6711">
        <w:rPr>
          <w:rFonts w:ascii="Calibri" w:hAnsi="Calibri" w:cs="Calibri"/>
        </w:rPr>
        <w:t>, compared to the overall rate of ~20%.</w:t>
      </w:r>
    </w:p>
    <w:p w14:paraId="1203113B" w14:textId="01D6CA35" w:rsidR="008D6711" w:rsidRPr="00124E8A" w:rsidRDefault="00124E8A" w:rsidP="00124E8A">
      <w:pPr>
        <w:spacing w:line="240" w:lineRule="auto"/>
        <w:ind w:left="720"/>
        <w:jc w:val="both"/>
        <w:rPr>
          <w:rFonts w:ascii="Calibri" w:hAnsi="Calibri" w:cs="Calibri"/>
          <w:i/>
          <w:iCs/>
        </w:rPr>
      </w:pPr>
      <w:r w:rsidRPr="00124E8A">
        <w:rPr>
          <w:rFonts w:ascii="Calibri" w:hAnsi="Calibri" w:cs="Calibri"/>
          <w:i/>
          <w:iCs/>
        </w:rPr>
        <w:t>This underscores the stability of high-value customers and the importance of nurturing this segment.</w:t>
      </w:r>
    </w:p>
    <w:p w14:paraId="63E6F5BF" w14:textId="7EE0B24A" w:rsidR="00DA4065" w:rsidRPr="00DA4065" w:rsidRDefault="00124E8A" w:rsidP="00124E8A">
      <w:pPr>
        <w:ind w:firstLine="360"/>
        <w:jc w:val="both"/>
        <w:rPr>
          <w:rFonts w:ascii="Calibri" w:hAnsi="Calibri" w:cs="Calibri"/>
          <w:b/>
          <w:bCs/>
        </w:rPr>
      </w:pPr>
      <w:r>
        <w:rPr>
          <w:rFonts w:ascii="Calibri" w:hAnsi="Calibri" w:cs="Calibri"/>
          <w:b/>
          <w:bCs/>
        </w:rPr>
        <w:t>3.2.6</w:t>
      </w:r>
      <w:r w:rsidR="003B30FD">
        <w:rPr>
          <w:rFonts w:ascii="Calibri" w:hAnsi="Calibri" w:cs="Calibri"/>
          <w:b/>
          <w:bCs/>
        </w:rPr>
        <w:t xml:space="preserve">   </w:t>
      </w:r>
      <w:r w:rsidR="00DA4065" w:rsidRPr="00DA4065">
        <w:rPr>
          <w:rFonts w:ascii="Calibri" w:hAnsi="Calibri" w:cs="Calibri"/>
          <w:b/>
          <w:bCs/>
        </w:rPr>
        <w:t>Comparative Profiles</w:t>
      </w:r>
    </w:p>
    <w:p w14:paraId="2E6E859E" w14:textId="77777777" w:rsidR="00DA4065" w:rsidRPr="00DA4065" w:rsidRDefault="00DA4065" w:rsidP="00CC467C">
      <w:pPr>
        <w:numPr>
          <w:ilvl w:val="0"/>
          <w:numId w:val="11"/>
        </w:numPr>
        <w:spacing w:line="240" w:lineRule="auto"/>
        <w:jc w:val="both"/>
        <w:rPr>
          <w:rFonts w:ascii="Calibri" w:hAnsi="Calibri" w:cs="Calibri"/>
        </w:rPr>
      </w:pPr>
      <w:r w:rsidRPr="00DA4065">
        <w:rPr>
          <w:rFonts w:ascii="Calibri" w:hAnsi="Calibri" w:cs="Calibri"/>
        </w:rPr>
        <w:t>Churned customers tended to have lower credit scores, fewer products, and lower engagement levels.</w:t>
      </w:r>
    </w:p>
    <w:p w14:paraId="6108C115" w14:textId="77777777" w:rsidR="00DA4065" w:rsidRDefault="00DA4065" w:rsidP="00CC467C">
      <w:pPr>
        <w:numPr>
          <w:ilvl w:val="0"/>
          <w:numId w:val="11"/>
        </w:numPr>
        <w:spacing w:line="240" w:lineRule="auto"/>
        <w:jc w:val="both"/>
        <w:rPr>
          <w:rFonts w:ascii="Calibri" w:hAnsi="Calibri" w:cs="Calibri"/>
        </w:rPr>
      </w:pPr>
      <w:r w:rsidRPr="00DA4065">
        <w:rPr>
          <w:rFonts w:ascii="Calibri" w:hAnsi="Calibri" w:cs="Calibri"/>
        </w:rPr>
        <w:t>Gender differences were modest but present, with one gender showing slightly higher churn risk.</w:t>
      </w:r>
    </w:p>
    <w:p w14:paraId="7FA82C83" w14:textId="0599E8FB" w:rsidR="00124E8A" w:rsidRPr="00124E8A" w:rsidRDefault="00124E8A" w:rsidP="00124E8A">
      <w:pPr>
        <w:spacing w:before="100" w:beforeAutospacing="1" w:after="100" w:afterAutospacing="1" w:line="240" w:lineRule="auto"/>
        <w:ind w:left="360"/>
        <w:outlineLvl w:val="2"/>
        <w:rPr>
          <w:rFonts w:ascii="Calibri" w:eastAsia="Times New Roman" w:hAnsi="Calibri" w:cs="Calibri"/>
          <w:b/>
          <w:bCs/>
          <w:kern w:val="0"/>
          <w:lang w:eastAsia="en-IN"/>
          <w14:ligatures w14:val="none"/>
        </w:rPr>
      </w:pPr>
      <w:r w:rsidRPr="00124E8A">
        <w:rPr>
          <w:rFonts w:ascii="Calibri" w:eastAsia="Times New Roman" w:hAnsi="Calibri" w:cs="Calibri"/>
          <w:b/>
          <w:bCs/>
          <w:kern w:val="0"/>
          <w:lang w:eastAsia="en-IN"/>
          <w14:ligatures w14:val="none"/>
        </w:rPr>
        <w:t xml:space="preserve">3.2.7 </w:t>
      </w:r>
      <w:r w:rsidR="003B30FD">
        <w:rPr>
          <w:rFonts w:ascii="Calibri" w:eastAsia="Times New Roman" w:hAnsi="Calibri" w:cs="Calibri"/>
          <w:b/>
          <w:bCs/>
          <w:kern w:val="0"/>
          <w:lang w:eastAsia="en-IN"/>
          <w14:ligatures w14:val="none"/>
        </w:rPr>
        <w:t xml:space="preserve">  </w:t>
      </w:r>
      <w:r w:rsidRPr="00124E8A">
        <w:rPr>
          <w:rFonts w:ascii="Calibri" w:eastAsia="Times New Roman" w:hAnsi="Calibri" w:cs="Calibri"/>
          <w:b/>
          <w:bCs/>
          <w:kern w:val="0"/>
          <w:lang w:eastAsia="en-IN"/>
          <w14:ligatures w14:val="none"/>
        </w:rPr>
        <w:t>Engagement Patterns</w:t>
      </w:r>
    </w:p>
    <w:p w14:paraId="640C1757" w14:textId="4E360239" w:rsidR="00124E8A" w:rsidRPr="00124E8A" w:rsidRDefault="00124E8A" w:rsidP="00124E8A">
      <w:pPr>
        <w:pStyle w:val="ListParagraph"/>
        <w:numPr>
          <w:ilvl w:val="0"/>
          <w:numId w:val="11"/>
        </w:numPr>
        <w:spacing w:line="240" w:lineRule="auto"/>
        <w:ind w:left="714" w:hanging="357"/>
        <w:rPr>
          <w:rFonts w:ascii="Calibri" w:eastAsia="Times New Roman" w:hAnsi="Calibri" w:cs="Calibri"/>
          <w:kern w:val="0"/>
          <w:lang w:eastAsia="en-IN"/>
          <w14:ligatures w14:val="none"/>
        </w:rPr>
      </w:pPr>
      <w:r w:rsidRPr="00124E8A">
        <w:rPr>
          <w:rFonts w:ascii="Calibri" w:eastAsia="Times New Roman" w:hAnsi="Calibri" w:cs="Calibri"/>
          <w:kern w:val="0"/>
          <w:lang w:eastAsia="en-IN"/>
          <w14:ligatures w14:val="none"/>
        </w:rPr>
        <w:t xml:space="preserve">Finally, engagement was </w:t>
      </w:r>
      <w:proofErr w:type="spellStart"/>
      <w:r w:rsidRPr="00124E8A">
        <w:rPr>
          <w:rFonts w:ascii="Calibri" w:eastAsia="Times New Roman" w:hAnsi="Calibri" w:cs="Calibri"/>
          <w:kern w:val="0"/>
          <w:lang w:eastAsia="en-IN"/>
          <w14:ligatures w14:val="none"/>
        </w:rPr>
        <w:t>analyzed</w:t>
      </w:r>
      <w:proofErr w:type="spellEnd"/>
      <w:r w:rsidRPr="00124E8A">
        <w:rPr>
          <w:rFonts w:ascii="Calibri" w:eastAsia="Times New Roman" w:hAnsi="Calibri" w:cs="Calibri"/>
          <w:kern w:val="0"/>
          <w:lang w:eastAsia="en-IN"/>
          <w14:ligatures w14:val="none"/>
        </w:rPr>
        <w:t xml:space="preserve">. </w:t>
      </w:r>
      <w:r w:rsidRPr="00124E8A">
        <w:rPr>
          <w:rFonts w:ascii="Calibri" w:eastAsia="Times New Roman" w:hAnsi="Calibri" w:cs="Calibri"/>
          <w:b/>
          <w:bCs/>
          <w:kern w:val="0"/>
          <w:lang w:eastAsia="en-IN"/>
          <w14:ligatures w14:val="none"/>
        </w:rPr>
        <w:t>Inactive customers churned at 27%</w:t>
      </w:r>
      <w:r w:rsidRPr="00124E8A">
        <w:rPr>
          <w:rFonts w:ascii="Calibri" w:eastAsia="Times New Roman" w:hAnsi="Calibri" w:cs="Calibri"/>
          <w:kern w:val="0"/>
          <w:lang w:eastAsia="en-IN"/>
          <w14:ligatures w14:val="none"/>
        </w:rPr>
        <w:t>, nearly double the churn rate of active customers (~14%).</w:t>
      </w:r>
    </w:p>
    <w:p w14:paraId="27E435CC" w14:textId="77777777" w:rsidR="00DA4065" w:rsidRPr="00124E8A" w:rsidRDefault="00DA4065" w:rsidP="00124E8A">
      <w:pPr>
        <w:numPr>
          <w:ilvl w:val="0"/>
          <w:numId w:val="11"/>
        </w:numPr>
        <w:spacing w:line="240" w:lineRule="auto"/>
        <w:ind w:left="714" w:hanging="357"/>
        <w:jc w:val="both"/>
        <w:rPr>
          <w:rFonts w:ascii="Calibri" w:hAnsi="Calibri" w:cs="Calibri"/>
        </w:rPr>
      </w:pPr>
      <w:r w:rsidRPr="00124E8A">
        <w:rPr>
          <w:rFonts w:ascii="Calibri" w:hAnsi="Calibri" w:cs="Calibri"/>
        </w:rPr>
        <w:t>Inactive members were far more likely to churn compared to active ones.</w:t>
      </w:r>
    </w:p>
    <w:p w14:paraId="5A1527C4" w14:textId="77777777" w:rsidR="008D6711" w:rsidRPr="00124E8A" w:rsidRDefault="008D6711" w:rsidP="008D6711">
      <w:pPr>
        <w:pStyle w:val="NormalWeb"/>
        <w:ind w:left="720"/>
        <w:rPr>
          <w:rFonts w:ascii="Calibri" w:hAnsi="Calibri" w:cs="Calibri"/>
        </w:rPr>
      </w:pPr>
      <w:r w:rsidRPr="00124E8A">
        <w:rPr>
          <w:rFonts w:ascii="Calibri" w:hAnsi="Calibri" w:cs="Calibri"/>
          <w:noProof/>
        </w:rPr>
        <w:lastRenderedPageBreak/>
        <w:drawing>
          <wp:inline distT="0" distB="0" distL="0" distR="0" wp14:anchorId="0B452DBF" wp14:editId="5417EDB3">
            <wp:extent cx="5143500" cy="4298950"/>
            <wp:effectExtent l="0" t="0" r="0" b="6350"/>
            <wp:docPr id="17894194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43500" cy="4298950"/>
                    </a:xfrm>
                    <a:prstGeom prst="rect">
                      <a:avLst/>
                    </a:prstGeom>
                    <a:noFill/>
                    <a:ln>
                      <a:noFill/>
                    </a:ln>
                  </pic:spPr>
                </pic:pic>
              </a:graphicData>
            </a:graphic>
          </wp:inline>
        </w:drawing>
      </w:r>
    </w:p>
    <w:p w14:paraId="1F11FBCD" w14:textId="18DD677B" w:rsidR="008D6711" w:rsidRPr="00124E8A" w:rsidRDefault="008D6711" w:rsidP="008D6711">
      <w:pPr>
        <w:pStyle w:val="NormalWeb"/>
        <w:ind w:left="720"/>
        <w:rPr>
          <w:rFonts w:ascii="Calibri" w:hAnsi="Calibri" w:cs="Calibri"/>
        </w:rPr>
      </w:pPr>
      <w:r w:rsidRPr="00124E8A">
        <w:rPr>
          <w:rStyle w:val="Strong"/>
          <w:rFonts w:ascii="Calibri" w:eastAsiaTheme="majorEastAsia" w:hAnsi="Calibri" w:cs="Calibri"/>
        </w:rPr>
        <w:t xml:space="preserve">Figure </w:t>
      </w:r>
      <w:r w:rsidRPr="00124E8A">
        <w:rPr>
          <w:rStyle w:val="Strong"/>
          <w:rFonts w:ascii="Calibri" w:eastAsiaTheme="majorEastAsia" w:hAnsi="Calibri" w:cs="Calibri"/>
        </w:rPr>
        <w:t>7</w:t>
      </w:r>
      <w:r w:rsidRPr="00124E8A">
        <w:rPr>
          <w:rStyle w:val="Strong"/>
          <w:rFonts w:ascii="Calibri" w:eastAsiaTheme="majorEastAsia" w:hAnsi="Calibri" w:cs="Calibri"/>
        </w:rPr>
        <w:t>: Engagement Drop Indicator</w:t>
      </w:r>
      <w:r w:rsidRPr="00124E8A">
        <w:rPr>
          <w:rFonts w:ascii="Calibri" w:hAnsi="Calibri" w:cs="Calibri"/>
        </w:rPr>
        <w:t xml:space="preserve"> </w:t>
      </w:r>
    </w:p>
    <w:p w14:paraId="237FDAD0" w14:textId="3F9F2414" w:rsidR="008D6711" w:rsidRPr="00124E8A" w:rsidRDefault="008D6711" w:rsidP="008D6711">
      <w:pPr>
        <w:pStyle w:val="NormalWeb"/>
        <w:ind w:left="720"/>
        <w:rPr>
          <w:rStyle w:val="Emphasis"/>
          <w:rFonts w:ascii="Calibri" w:eastAsiaTheme="majorEastAsia" w:hAnsi="Calibri" w:cs="Calibri"/>
        </w:rPr>
      </w:pPr>
      <w:r w:rsidRPr="00124E8A">
        <w:rPr>
          <w:rFonts w:ascii="Calibri" w:hAnsi="Calibri" w:cs="Calibri"/>
        </w:rPr>
        <w:t xml:space="preserve">Inactive members churned at </w:t>
      </w:r>
      <w:r w:rsidRPr="00124E8A">
        <w:rPr>
          <w:rStyle w:val="Strong"/>
          <w:rFonts w:ascii="Calibri" w:eastAsiaTheme="majorEastAsia" w:hAnsi="Calibri" w:cs="Calibri"/>
        </w:rPr>
        <w:t>27%</w:t>
      </w:r>
      <w:r w:rsidRPr="00124E8A">
        <w:rPr>
          <w:rFonts w:ascii="Calibri" w:hAnsi="Calibri" w:cs="Calibri"/>
        </w:rPr>
        <w:t xml:space="preserve">, nearly double the churn rate of active members (~14%). </w:t>
      </w:r>
      <w:r w:rsidRPr="00124E8A">
        <w:rPr>
          <w:rStyle w:val="Emphasis"/>
          <w:rFonts w:ascii="Calibri" w:eastAsiaTheme="majorEastAsia" w:hAnsi="Calibri" w:cs="Calibri"/>
        </w:rPr>
        <w:t>This confirms that engagement programs are critical for retention.</w:t>
      </w:r>
    </w:p>
    <w:p w14:paraId="1B289291" w14:textId="09985648" w:rsidR="00DA4065" w:rsidRPr="003B30FD" w:rsidRDefault="00DA4065" w:rsidP="003B30FD">
      <w:pPr>
        <w:pStyle w:val="ListParagraph"/>
        <w:numPr>
          <w:ilvl w:val="0"/>
          <w:numId w:val="19"/>
        </w:numPr>
        <w:jc w:val="both"/>
        <w:rPr>
          <w:rFonts w:ascii="Calibri" w:hAnsi="Calibri" w:cs="Calibri"/>
          <w:b/>
          <w:bCs/>
        </w:rPr>
      </w:pPr>
      <w:r w:rsidRPr="003B30FD">
        <w:rPr>
          <w:rFonts w:ascii="Calibri" w:hAnsi="Calibri" w:cs="Calibri"/>
          <w:b/>
          <w:bCs/>
        </w:rPr>
        <w:t>My Analysis</w:t>
      </w:r>
    </w:p>
    <w:p w14:paraId="7E8B8C87" w14:textId="77777777" w:rsidR="00DA4065" w:rsidRPr="00DA4065" w:rsidRDefault="00DA4065" w:rsidP="00DA4065">
      <w:pPr>
        <w:jc w:val="both"/>
        <w:rPr>
          <w:rFonts w:ascii="Calibri" w:hAnsi="Calibri" w:cs="Calibri"/>
        </w:rPr>
      </w:pPr>
      <w:r w:rsidRPr="00DA4065">
        <w:rPr>
          <w:rFonts w:ascii="Calibri" w:hAnsi="Calibri" w:cs="Calibri"/>
        </w:rPr>
        <w:t>The following key takeaways summarize the most critical insights derived from this project:</w:t>
      </w:r>
    </w:p>
    <w:p w14:paraId="4A9B1EAA" w14:textId="77777777" w:rsidR="00DA4065" w:rsidRPr="00DA4065" w:rsidRDefault="00DA4065" w:rsidP="00CC467C">
      <w:pPr>
        <w:numPr>
          <w:ilvl w:val="0"/>
          <w:numId w:val="12"/>
        </w:numPr>
        <w:spacing w:line="240" w:lineRule="auto"/>
        <w:jc w:val="both"/>
        <w:rPr>
          <w:rFonts w:ascii="Calibri" w:hAnsi="Calibri" w:cs="Calibri"/>
        </w:rPr>
      </w:pPr>
      <w:r w:rsidRPr="00DA4065">
        <w:rPr>
          <w:rFonts w:ascii="Calibri" w:hAnsi="Calibri" w:cs="Calibri"/>
        </w:rPr>
        <w:t>Mid-tenure, middle-aged customers with low balances and low credit scores are the most vulnerable to churn.</w:t>
      </w:r>
    </w:p>
    <w:p w14:paraId="3BF430E8" w14:textId="77777777" w:rsidR="00DA4065" w:rsidRPr="00DA4065" w:rsidRDefault="00DA4065" w:rsidP="00CC467C">
      <w:pPr>
        <w:numPr>
          <w:ilvl w:val="0"/>
          <w:numId w:val="12"/>
        </w:numPr>
        <w:spacing w:line="240" w:lineRule="auto"/>
        <w:jc w:val="both"/>
        <w:rPr>
          <w:rFonts w:ascii="Calibri" w:hAnsi="Calibri" w:cs="Calibri"/>
        </w:rPr>
      </w:pPr>
      <w:r w:rsidRPr="00DA4065">
        <w:rPr>
          <w:rFonts w:ascii="Calibri" w:hAnsi="Calibri" w:cs="Calibri"/>
        </w:rPr>
        <w:t>Inactive customers churn far more than active ones → engagement programs are critical.</w:t>
      </w:r>
    </w:p>
    <w:p w14:paraId="22050342" w14:textId="77777777" w:rsidR="00DA4065" w:rsidRPr="00DA4065" w:rsidRDefault="00DA4065" w:rsidP="00CC467C">
      <w:pPr>
        <w:numPr>
          <w:ilvl w:val="0"/>
          <w:numId w:val="12"/>
        </w:numPr>
        <w:spacing w:line="240" w:lineRule="auto"/>
        <w:jc w:val="both"/>
        <w:rPr>
          <w:rFonts w:ascii="Calibri" w:hAnsi="Calibri" w:cs="Calibri"/>
        </w:rPr>
      </w:pPr>
      <w:r w:rsidRPr="00DA4065">
        <w:rPr>
          <w:rFonts w:ascii="Calibri" w:hAnsi="Calibri" w:cs="Calibri"/>
        </w:rPr>
        <w:t>Zero-balance customers are the largest churn group, but high-balance churners pose the biggest revenue risk.</w:t>
      </w:r>
    </w:p>
    <w:p w14:paraId="355ABFB0" w14:textId="77777777" w:rsidR="00DA4065" w:rsidRPr="00DA4065" w:rsidRDefault="00DA4065" w:rsidP="00CC467C">
      <w:pPr>
        <w:numPr>
          <w:ilvl w:val="0"/>
          <w:numId w:val="12"/>
        </w:numPr>
        <w:spacing w:line="240" w:lineRule="auto"/>
        <w:jc w:val="both"/>
        <w:rPr>
          <w:rFonts w:ascii="Calibri" w:hAnsi="Calibri" w:cs="Calibri"/>
        </w:rPr>
      </w:pPr>
      <w:r w:rsidRPr="00DA4065">
        <w:rPr>
          <w:rFonts w:ascii="Calibri" w:hAnsi="Calibri" w:cs="Calibri"/>
        </w:rPr>
        <w:t>Geography and gender differences matter → churn prevention strategies should be tailored by demographic.</w:t>
      </w:r>
    </w:p>
    <w:p w14:paraId="75788C11" w14:textId="77777777" w:rsidR="00DA4065" w:rsidRPr="00DA4065" w:rsidRDefault="00DA4065" w:rsidP="00CC467C">
      <w:pPr>
        <w:numPr>
          <w:ilvl w:val="0"/>
          <w:numId w:val="12"/>
        </w:numPr>
        <w:spacing w:line="240" w:lineRule="auto"/>
        <w:jc w:val="both"/>
        <w:rPr>
          <w:rFonts w:ascii="Calibri" w:hAnsi="Calibri" w:cs="Calibri"/>
        </w:rPr>
      </w:pPr>
      <w:r w:rsidRPr="00DA4065">
        <w:rPr>
          <w:rFonts w:ascii="Calibri" w:hAnsi="Calibri" w:cs="Calibri"/>
        </w:rPr>
        <w:t>Financial stability indicators (credit score, salary, balance) strongly correlate with churn.</w:t>
      </w:r>
    </w:p>
    <w:p w14:paraId="6DB02FD9" w14:textId="77777777" w:rsidR="00DA4065" w:rsidRPr="00DA4065" w:rsidRDefault="00DA4065" w:rsidP="00DA4065">
      <w:pPr>
        <w:jc w:val="both"/>
        <w:rPr>
          <w:rFonts w:ascii="Calibri" w:hAnsi="Calibri" w:cs="Calibri"/>
        </w:rPr>
      </w:pPr>
    </w:p>
    <w:p w14:paraId="78F08D8D" w14:textId="4E4BC8DE" w:rsidR="00DA4065" w:rsidRPr="003B30FD" w:rsidRDefault="00DA4065" w:rsidP="003B30FD">
      <w:pPr>
        <w:pStyle w:val="ListParagraph"/>
        <w:numPr>
          <w:ilvl w:val="0"/>
          <w:numId w:val="19"/>
        </w:numPr>
        <w:jc w:val="both"/>
        <w:rPr>
          <w:rFonts w:ascii="Calibri" w:hAnsi="Calibri" w:cs="Calibri"/>
          <w:b/>
          <w:bCs/>
        </w:rPr>
      </w:pPr>
      <w:r w:rsidRPr="003B30FD">
        <w:rPr>
          <w:rFonts w:ascii="Calibri" w:hAnsi="Calibri" w:cs="Calibri"/>
          <w:b/>
          <w:bCs/>
        </w:rPr>
        <w:lastRenderedPageBreak/>
        <w:t>Conclusion</w:t>
      </w:r>
    </w:p>
    <w:p w14:paraId="3F734E23" w14:textId="465286EB" w:rsidR="00DA4065" w:rsidRPr="00DA4065" w:rsidRDefault="00DA4065" w:rsidP="00DA4065">
      <w:pPr>
        <w:jc w:val="both"/>
        <w:rPr>
          <w:rFonts w:ascii="Calibri" w:hAnsi="Calibri" w:cs="Calibri"/>
        </w:rPr>
      </w:pPr>
      <w:r w:rsidRPr="00DA4065">
        <w:rPr>
          <w:rFonts w:ascii="Calibri" w:hAnsi="Calibri" w:cs="Calibri"/>
        </w:rPr>
        <w:t>This project provides a clear, segmentation-driven understanding of customer churn in European banking. By uncovering churn patterns across geography, demographics, and financial profiles, it equips decision-makers with actionable insights to design targeted, data-driven retention strategies. The successful completion of this project was made possible through the guidance and mentorship of Mr. Sai</w:t>
      </w:r>
      <w:r w:rsidR="00CC467C">
        <w:rPr>
          <w:rFonts w:ascii="Calibri" w:hAnsi="Calibri" w:cs="Calibri"/>
        </w:rPr>
        <w:t>p</w:t>
      </w:r>
      <w:r w:rsidRPr="00DA4065">
        <w:rPr>
          <w:rFonts w:ascii="Calibri" w:hAnsi="Calibri" w:cs="Calibri"/>
        </w:rPr>
        <w:t>rasad Kagne.</w:t>
      </w:r>
    </w:p>
    <w:p w14:paraId="7C54110D" w14:textId="37BF330F" w:rsidR="00DA4065" w:rsidRPr="003B30FD" w:rsidRDefault="00DA4065" w:rsidP="003B30FD">
      <w:pPr>
        <w:pStyle w:val="ListParagraph"/>
        <w:numPr>
          <w:ilvl w:val="0"/>
          <w:numId w:val="19"/>
        </w:numPr>
        <w:jc w:val="both"/>
        <w:rPr>
          <w:rFonts w:ascii="Calibri" w:hAnsi="Calibri" w:cs="Calibri"/>
          <w:b/>
          <w:bCs/>
        </w:rPr>
      </w:pPr>
      <w:r w:rsidRPr="003B30FD">
        <w:rPr>
          <w:rFonts w:ascii="Calibri" w:hAnsi="Calibri" w:cs="Calibri"/>
          <w:b/>
          <w:bCs/>
        </w:rPr>
        <w:t>References</w:t>
      </w:r>
    </w:p>
    <w:p w14:paraId="401F1BBB" w14:textId="77777777" w:rsidR="00DA4065" w:rsidRPr="00DA4065" w:rsidRDefault="00DA4065" w:rsidP="00DA4065">
      <w:pPr>
        <w:numPr>
          <w:ilvl w:val="0"/>
          <w:numId w:val="13"/>
        </w:numPr>
        <w:jc w:val="both"/>
        <w:rPr>
          <w:rFonts w:ascii="Calibri" w:hAnsi="Calibri" w:cs="Calibri"/>
        </w:rPr>
      </w:pPr>
      <w:r w:rsidRPr="00DA4065">
        <w:rPr>
          <w:rFonts w:ascii="Calibri" w:hAnsi="Calibri" w:cs="Calibri"/>
        </w:rPr>
        <w:t xml:space="preserve">Gupta, S., &amp; Lehmann, D. R. (2003). Customers as assets. </w:t>
      </w:r>
      <w:r w:rsidRPr="00DA4065">
        <w:rPr>
          <w:rFonts w:ascii="Calibri" w:hAnsi="Calibri" w:cs="Calibri"/>
          <w:i/>
          <w:iCs/>
        </w:rPr>
        <w:t>Journal of Interactive Marketing</w:t>
      </w:r>
      <w:r w:rsidRPr="00DA4065">
        <w:rPr>
          <w:rFonts w:ascii="Calibri" w:hAnsi="Calibri" w:cs="Calibri"/>
        </w:rPr>
        <w:t>, 17(1), 9–24.</w:t>
      </w:r>
    </w:p>
    <w:p w14:paraId="0477A017" w14:textId="77777777" w:rsidR="00DA4065" w:rsidRPr="00DA4065" w:rsidRDefault="00DA4065" w:rsidP="00DA4065">
      <w:pPr>
        <w:numPr>
          <w:ilvl w:val="0"/>
          <w:numId w:val="13"/>
        </w:numPr>
        <w:jc w:val="both"/>
        <w:rPr>
          <w:rFonts w:ascii="Calibri" w:hAnsi="Calibri" w:cs="Calibri"/>
        </w:rPr>
      </w:pPr>
      <w:r w:rsidRPr="00DA4065">
        <w:rPr>
          <w:rFonts w:ascii="Calibri" w:hAnsi="Calibri" w:cs="Calibri"/>
        </w:rPr>
        <w:t xml:space="preserve">Verbeke, W., Martens, D., &amp; </w:t>
      </w:r>
      <w:proofErr w:type="spellStart"/>
      <w:r w:rsidRPr="00DA4065">
        <w:rPr>
          <w:rFonts w:ascii="Calibri" w:hAnsi="Calibri" w:cs="Calibri"/>
        </w:rPr>
        <w:t>Baesens</w:t>
      </w:r>
      <w:proofErr w:type="spellEnd"/>
      <w:r w:rsidRPr="00DA4065">
        <w:rPr>
          <w:rFonts w:ascii="Calibri" w:hAnsi="Calibri" w:cs="Calibri"/>
        </w:rPr>
        <w:t xml:space="preserve">, B. (2011). Social network analysis for customer churn prediction. </w:t>
      </w:r>
      <w:r w:rsidRPr="00DA4065">
        <w:rPr>
          <w:rFonts w:ascii="Calibri" w:hAnsi="Calibri" w:cs="Calibri"/>
          <w:i/>
          <w:iCs/>
        </w:rPr>
        <w:t>Applied Soft Computing</w:t>
      </w:r>
      <w:r w:rsidRPr="00DA4065">
        <w:rPr>
          <w:rFonts w:ascii="Calibri" w:hAnsi="Calibri" w:cs="Calibri"/>
        </w:rPr>
        <w:t>, 11(3), 221–230.</w:t>
      </w:r>
    </w:p>
    <w:p w14:paraId="7C454CF2" w14:textId="77777777" w:rsidR="00DA4065" w:rsidRPr="00DA4065" w:rsidRDefault="00DA4065" w:rsidP="00DA4065">
      <w:pPr>
        <w:numPr>
          <w:ilvl w:val="0"/>
          <w:numId w:val="13"/>
        </w:numPr>
        <w:jc w:val="both"/>
        <w:rPr>
          <w:rFonts w:ascii="Calibri" w:hAnsi="Calibri" w:cs="Calibri"/>
        </w:rPr>
      </w:pPr>
      <w:r w:rsidRPr="00DA4065">
        <w:rPr>
          <w:rFonts w:ascii="Calibri" w:hAnsi="Calibri" w:cs="Calibri"/>
        </w:rPr>
        <w:t xml:space="preserve">European Banking Authority (2024). Customer retention and risk management in EU banks. </w:t>
      </w:r>
      <w:r w:rsidRPr="00DA4065">
        <w:rPr>
          <w:rFonts w:ascii="Calibri" w:hAnsi="Calibri" w:cs="Calibri"/>
          <w:i/>
          <w:iCs/>
        </w:rPr>
        <w:t>Annual Report</w:t>
      </w:r>
      <w:r w:rsidRPr="00DA4065">
        <w:rPr>
          <w:rFonts w:ascii="Calibri" w:hAnsi="Calibri" w:cs="Calibri"/>
        </w:rPr>
        <w:t>.</w:t>
      </w:r>
    </w:p>
    <w:p w14:paraId="77A3224B" w14:textId="2A321CE2" w:rsidR="002C2681" w:rsidRPr="00DA4065" w:rsidRDefault="002C2681" w:rsidP="00DA4065">
      <w:pPr>
        <w:jc w:val="both"/>
        <w:rPr>
          <w:rFonts w:ascii="Calibri" w:hAnsi="Calibri" w:cs="Calibri"/>
          <w:sz w:val="20"/>
          <w:szCs w:val="20"/>
        </w:rPr>
      </w:pPr>
    </w:p>
    <w:sectPr w:rsidR="002C2681" w:rsidRPr="00DA4065">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1ECBB" w14:textId="77777777" w:rsidR="009E24C3" w:rsidRDefault="009E24C3" w:rsidP="003E6C4A">
      <w:pPr>
        <w:spacing w:after="0" w:line="240" w:lineRule="auto"/>
      </w:pPr>
      <w:r>
        <w:separator/>
      </w:r>
    </w:p>
  </w:endnote>
  <w:endnote w:type="continuationSeparator" w:id="0">
    <w:p w14:paraId="19B6E043" w14:textId="77777777" w:rsidR="009E24C3" w:rsidRDefault="009E24C3" w:rsidP="003E6C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21F67" w14:textId="77777777" w:rsidR="0042682A" w:rsidRDefault="004268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39D08" w14:textId="77777777" w:rsidR="0042682A" w:rsidRDefault="0042682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24657" w14:textId="77777777" w:rsidR="0042682A" w:rsidRDefault="004268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47E44" w14:textId="77777777" w:rsidR="009E24C3" w:rsidRDefault="009E24C3" w:rsidP="003E6C4A">
      <w:pPr>
        <w:spacing w:after="0" w:line="240" w:lineRule="auto"/>
      </w:pPr>
      <w:r>
        <w:separator/>
      </w:r>
    </w:p>
  </w:footnote>
  <w:footnote w:type="continuationSeparator" w:id="0">
    <w:p w14:paraId="41C8DAE6" w14:textId="77777777" w:rsidR="009E24C3" w:rsidRDefault="009E24C3" w:rsidP="003E6C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2BBC2" w14:textId="77777777" w:rsidR="0042682A" w:rsidRDefault="004268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7937F" w14:textId="65B1DADE" w:rsidR="0042682A" w:rsidRDefault="0042682A" w:rsidP="000D0CAA">
    <w:pPr>
      <w:ind w:firstLine="720"/>
    </w:pPr>
    <w:r w:rsidRPr="0042682A">
      <w:rPr>
        <w:rFonts w:ascii="Calibri" w:hAnsi="Calibri" w:cs="Calibri"/>
      </w:rPr>
      <w:t>Customer Segmentation &amp; Churn Pattern Analytics in European Banking</w:t>
    </w:r>
    <w:r>
      <w:rPr>
        <w:rFonts w:ascii="Calibri" w:hAnsi="Calibri" w:cs="Calibri"/>
      </w:rPr>
      <w:t xml:space="preserve"> </w:t>
    </w:r>
    <w:r w:rsidR="000D0CAA">
      <w:rPr>
        <w:rFonts w:ascii="Calibri" w:hAnsi="Calibri" w:cs="Calibri"/>
      </w:rPr>
      <w:tab/>
    </w:r>
    <w:r>
      <w:rPr>
        <w:rFonts w:ascii="Calibri" w:hAnsi="Calibri" w:cs="Calibri"/>
      </w:rPr>
      <w:tab/>
    </w:r>
    <w:sdt>
      <w:sdtPr>
        <w:id w:val="-1285877052"/>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43337527" w14:textId="77777777" w:rsidR="003E6C4A" w:rsidRPr="0042682A" w:rsidRDefault="003E6C4A">
    <w:pPr>
      <w:pStyle w:val="Header"/>
      <w:rPr>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4F70C" w14:textId="77777777" w:rsidR="0042682A" w:rsidRDefault="004268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4494"/>
    <w:multiLevelType w:val="multilevel"/>
    <w:tmpl w:val="29C26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E595C"/>
    <w:multiLevelType w:val="multilevel"/>
    <w:tmpl w:val="C37A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82009"/>
    <w:multiLevelType w:val="multilevel"/>
    <w:tmpl w:val="59A0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B343F"/>
    <w:multiLevelType w:val="multilevel"/>
    <w:tmpl w:val="0520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E7C58"/>
    <w:multiLevelType w:val="hybridMultilevel"/>
    <w:tmpl w:val="569034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B0076D4"/>
    <w:multiLevelType w:val="multilevel"/>
    <w:tmpl w:val="C6E2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54B99"/>
    <w:multiLevelType w:val="multilevel"/>
    <w:tmpl w:val="EA24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12B1B"/>
    <w:multiLevelType w:val="hybridMultilevel"/>
    <w:tmpl w:val="ADAA05D4"/>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28574EE8"/>
    <w:multiLevelType w:val="multilevel"/>
    <w:tmpl w:val="B478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F57D09"/>
    <w:multiLevelType w:val="hybridMultilevel"/>
    <w:tmpl w:val="418C00F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68C6693"/>
    <w:multiLevelType w:val="multilevel"/>
    <w:tmpl w:val="C4B299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C3575F"/>
    <w:multiLevelType w:val="multilevel"/>
    <w:tmpl w:val="6236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83425C"/>
    <w:multiLevelType w:val="multilevel"/>
    <w:tmpl w:val="EE76D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F03948"/>
    <w:multiLevelType w:val="multilevel"/>
    <w:tmpl w:val="5A32B7FA"/>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FFA79F0"/>
    <w:multiLevelType w:val="multilevel"/>
    <w:tmpl w:val="88DC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442968"/>
    <w:multiLevelType w:val="multilevel"/>
    <w:tmpl w:val="67F6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063107"/>
    <w:multiLevelType w:val="multilevel"/>
    <w:tmpl w:val="0D12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B23853"/>
    <w:multiLevelType w:val="multilevel"/>
    <w:tmpl w:val="13DC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2A52BA"/>
    <w:multiLevelType w:val="hybridMultilevel"/>
    <w:tmpl w:val="BD2E040C"/>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9" w15:restartNumberingAfterBreak="0">
    <w:nsid w:val="62390242"/>
    <w:multiLevelType w:val="multilevel"/>
    <w:tmpl w:val="7A74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6F0032"/>
    <w:multiLevelType w:val="multilevel"/>
    <w:tmpl w:val="554C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A22658"/>
    <w:multiLevelType w:val="multilevel"/>
    <w:tmpl w:val="4E3E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573756"/>
    <w:multiLevelType w:val="multilevel"/>
    <w:tmpl w:val="4208A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0437753">
    <w:abstractNumId w:val="6"/>
  </w:num>
  <w:num w:numId="2" w16cid:durableId="256139347">
    <w:abstractNumId w:val="21"/>
  </w:num>
  <w:num w:numId="3" w16cid:durableId="2139714615">
    <w:abstractNumId w:val="2"/>
  </w:num>
  <w:num w:numId="4" w16cid:durableId="657079637">
    <w:abstractNumId w:val="8"/>
  </w:num>
  <w:num w:numId="5" w16cid:durableId="2093315848">
    <w:abstractNumId w:val="11"/>
  </w:num>
  <w:num w:numId="6" w16cid:durableId="519012258">
    <w:abstractNumId w:val="4"/>
  </w:num>
  <w:num w:numId="7" w16cid:durableId="431048103">
    <w:abstractNumId w:val="14"/>
  </w:num>
  <w:num w:numId="8" w16cid:durableId="1016929457">
    <w:abstractNumId w:val="15"/>
  </w:num>
  <w:num w:numId="9" w16cid:durableId="247883978">
    <w:abstractNumId w:val="20"/>
  </w:num>
  <w:num w:numId="10" w16cid:durableId="1652829185">
    <w:abstractNumId w:val="17"/>
  </w:num>
  <w:num w:numId="11" w16cid:durableId="1970089991">
    <w:abstractNumId w:val="16"/>
  </w:num>
  <w:num w:numId="12" w16cid:durableId="186717378">
    <w:abstractNumId w:val="12"/>
  </w:num>
  <w:num w:numId="13" w16cid:durableId="2083791007">
    <w:abstractNumId w:val="0"/>
  </w:num>
  <w:num w:numId="14" w16cid:durableId="102695999">
    <w:abstractNumId w:val="19"/>
  </w:num>
  <w:num w:numId="15" w16cid:durableId="614018513">
    <w:abstractNumId w:val="18"/>
  </w:num>
  <w:num w:numId="16" w16cid:durableId="1202088210">
    <w:abstractNumId w:val="5"/>
  </w:num>
  <w:num w:numId="17" w16cid:durableId="42289300">
    <w:abstractNumId w:val="1"/>
  </w:num>
  <w:num w:numId="18" w16cid:durableId="1623028195">
    <w:abstractNumId w:val="3"/>
  </w:num>
  <w:num w:numId="19" w16cid:durableId="707685436">
    <w:abstractNumId w:val="13"/>
  </w:num>
  <w:num w:numId="20" w16cid:durableId="527837490">
    <w:abstractNumId w:val="22"/>
  </w:num>
  <w:num w:numId="21" w16cid:durableId="1411121593">
    <w:abstractNumId w:val="10"/>
  </w:num>
  <w:num w:numId="22" w16cid:durableId="575479163">
    <w:abstractNumId w:val="7"/>
  </w:num>
  <w:num w:numId="23" w16cid:durableId="201285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681"/>
    <w:rsid w:val="000D0CAA"/>
    <w:rsid w:val="00124E8A"/>
    <w:rsid w:val="00154D8D"/>
    <w:rsid w:val="001A1A42"/>
    <w:rsid w:val="002C2681"/>
    <w:rsid w:val="003812F3"/>
    <w:rsid w:val="003B30FD"/>
    <w:rsid w:val="003E6C4A"/>
    <w:rsid w:val="003E7EA9"/>
    <w:rsid w:val="0042682A"/>
    <w:rsid w:val="006A0F22"/>
    <w:rsid w:val="006F79B0"/>
    <w:rsid w:val="008D6711"/>
    <w:rsid w:val="00995441"/>
    <w:rsid w:val="009E24C3"/>
    <w:rsid w:val="00B43844"/>
    <w:rsid w:val="00BB2231"/>
    <w:rsid w:val="00C54475"/>
    <w:rsid w:val="00CB0DDB"/>
    <w:rsid w:val="00CC467C"/>
    <w:rsid w:val="00D15AF7"/>
    <w:rsid w:val="00DA4065"/>
    <w:rsid w:val="00E14333"/>
    <w:rsid w:val="00E3301E"/>
    <w:rsid w:val="00E65A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8B4BE1"/>
  <w15:chartTrackingRefBased/>
  <w15:docId w15:val="{B1538DFB-0F9E-4FEC-B00B-59EA6E06F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6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26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26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26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26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26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6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6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6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6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26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26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26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26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26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6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6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681"/>
    <w:rPr>
      <w:rFonts w:eastAsiaTheme="majorEastAsia" w:cstheme="majorBidi"/>
      <w:color w:val="272727" w:themeColor="text1" w:themeTint="D8"/>
    </w:rPr>
  </w:style>
  <w:style w:type="paragraph" w:styleId="Title">
    <w:name w:val="Title"/>
    <w:basedOn w:val="Normal"/>
    <w:next w:val="Normal"/>
    <w:link w:val="TitleChar"/>
    <w:uiPriority w:val="10"/>
    <w:qFormat/>
    <w:rsid w:val="002C26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6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6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6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681"/>
    <w:pPr>
      <w:spacing w:before="160"/>
      <w:jc w:val="center"/>
    </w:pPr>
    <w:rPr>
      <w:i/>
      <w:iCs/>
      <w:color w:val="404040" w:themeColor="text1" w:themeTint="BF"/>
    </w:rPr>
  </w:style>
  <w:style w:type="character" w:customStyle="1" w:styleId="QuoteChar">
    <w:name w:val="Quote Char"/>
    <w:basedOn w:val="DefaultParagraphFont"/>
    <w:link w:val="Quote"/>
    <w:uiPriority w:val="29"/>
    <w:rsid w:val="002C2681"/>
    <w:rPr>
      <w:i/>
      <w:iCs/>
      <w:color w:val="404040" w:themeColor="text1" w:themeTint="BF"/>
    </w:rPr>
  </w:style>
  <w:style w:type="paragraph" w:styleId="ListParagraph">
    <w:name w:val="List Paragraph"/>
    <w:basedOn w:val="Normal"/>
    <w:uiPriority w:val="34"/>
    <w:qFormat/>
    <w:rsid w:val="002C2681"/>
    <w:pPr>
      <w:ind w:left="720"/>
      <w:contextualSpacing/>
    </w:pPr>
  </w:style>
  <w:style w:type="character" w:styleId="IntenseEmphasis">
    <w:name w:val="Intense Emphasis"/>
    <w:basedOn w:val="DefaultParagraphFont"/>
    <w:uiPriority w:val="21"/>
    <w:qFormat/>
    <w:rsid w:val="002C2681"/>
    <w:rPr>
      <w:i/>
      <w:iCs/>
      <w:color w:val="0F4761" w:themeColor="accent1" w:themeShade="BF"/>
    </w:rPr>
  </w:style>
  <w:style w:type="paragraph" w:styleId="IntenseQuote">
    <w:name w:val="Intense Quote"/>
    <w:basedOn w:val="Normal"/>
    <w:next w:val="Normal"/>
    <w:link w:val="IntenseQuoteChar"/>
    <w:uiPriority w:val="30"/>
    <w:qFormat/>
    <w:rsid w:val="002C26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2681"/>
    <w:rPr>
      <w:i/>
      <w:iCs/>
      <w:color w:val="0F4761" w:themeColor="accent1" w:themeShade="BF"/>
    </w:rPr>
  </w:style>
  <w:style w:type="character" w:styleId="IntenseReference">
    <w:name w:val="Intense Reference"/>
    <w:basedOn w:val="DefaultParagraphFont"/>
    <w:uiPriority w:val="32"/>
    <w:qFormat/>
    <w:rsid w:val="002C2681"/>
    <w:rPr>
      <w:b/>
      <w:bCs/>
      <w:smallCaps/>
      <w:color w:val="0F4761" w:themeColor="accent1" w:themeShade="BF"/>
      <w:spacing w:val="5"/>
    </w:rPr>
  </w:style>
  <w:style w:type="paragraph" w:styleId="NormalWeb">
    <w:name w:val="Normal (Web)"/>
    <w:basedOn w:val="Normal"/>
    <w:uiPriority w:val="99"/>
    <w:semiHidden/>
    <w:unhideWhenUsed/>
    <w:rsid w:val="00154D8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54D8D"/>
    <w:rPr>
      <w:b/>
      <w:bCs/>
    </w:rPr>
  </w:style>
  <w:style w:type="character" w:styleId="Emphasis">
    <w:name w:val="Emphasis"/>
    <w:basedOn w:val="DefaultParagraphFont"/>
    <w:uiPriority w:val="20"/>
    <w:qFormat/>
    <w:rsid w:val="00154D8D"/>
    <w:rPr>
      <w:i/>
      <w:iCs/>
    </w:rPr>
  </w:style>
  <w:style w:type="paragraph" w:styleId="Header">
    <w:name w:val="header"/>
    <w:basedOn w:val="Normal"/>
    <w:link w:val="HeaderChar"/>
    <w:uiPriority w:val="99"/>
    <w:unhideWhenUsed/>
    <w:rsid w:val="003E6C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6C4A"/>
  </w:style>
  <w:style w:type="paragraph" w:styleId="Footer">
    <w:name w:val="footer"/>
    <w:basedOn w:val="Normal"/>
    <w:link w:val="FooterChar"/>
    <w:uiPriority w:val="99"/>
    <w:unhideWhenUsed/>
    <w:rsid w:val="003E6C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6C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174</TotalTime>
  <Pages>11</Pages>
  <Words>1625</Words>
  <Characters>9269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jitinraju14011995@outlook.com</dc:creator>
  <cp:keywords/>
  <dc:description/>
  <cp:lastModifiedBy>jitinraju14011995@outlook.com</cp:lastModifiedBy>
  <cp:revision>10</cp:revision>
  <cp:lastPrinted>2026-04-11T12:01:00Z</cp:lastPrinted>
  <dcterms:created xsi:type="dcterms:W3CDTF">2026-04-08T10:27:00Z</dcterms:created>
  <dcterms:modified xsi:type="dcterms:W3CDTF">2026-04-11T12:03:00Z</dcterms:modified>
</cp:coreProperties>
</file>