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F8481" w14:textId="77777777" w:rsidR="008403DD" w:rsidRPr="000D4D3F" w:rsidRDefault="008403DD" w:rsidP="00F82949">
      <w:pPr>
        <w:spacing w:line="480" w:lineRule="auto"/>
        <w:jc w:val="center"/>
        <w:rPr>
          <w:rFonts w:ascii="Times New Roman" w:hAnsi="Times New Roman"/>
          <w:b/>
          <w:bCs/>
          <w:sz w:val="24"/>
          <w:szCs w:val="24"/>
          <w:cs/>
        </w:rPr>
      </w:pPr>
    </w:p>
    <w:p w14:paraId="678A2C85" w14:textId="77777777" w:rsidR="008403DD" w:rsidRPr="00864FE6" w:rsidRDefault="008403DD" w:rsidP="00F82949">
      <w:pPr>
        <w:spacing w:line="480" w:lineRule="auto"/>
        <w:jc w:val="center"/>
        <w:rPr>
          <w:rFonts w:ascii="Times New Roman" w:hAnsi="Times New Roman" w:cs="Times New Roman"/>
          <w:b/>
          <w:bCs/>
          <w:sz w:val="24"/>
          <w:szCs w:val="24"/>
        </w:rPr>
      </w:pPr>
    </w:p>
    <w:p w14:paraId="1296BD5D" w14:textId="518E9F82" w:rsidR="00FA7746" w:rsidRPr="00FA7746" w:rsidRDefault="00FA7746" w:rsidP="00F82949">
      <w:pPr>
        <w:spacing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Machine Learning Prediction of Antimicrobial Susceptibility Categories (S/I/R) from Quality-Controlled Hospital Microbiology Data</w:t>
      </w:r>
    </w:p>
    <w:p w14:paraId="3BEB47FE" w14:textId="76672A6F" w:rsidR="00FA7746" w:rsidRPr="00864FE6" w:rsidRDefault="00FA7746" w:rsidP="00F82949">
      <w:pPr>
        <w:spacing w:line="480" w:lineRule="auto"/>
        <w:jc w:val="center"/>
        <w:rPr>
          <w:rFonts w:ascii="Times New Roman" w:hAnsi="Times New Roman" w:cs="Times New Roman"/>
          <w:sz w:val="24"/>
          <w:szCs w:val="24"/>
        </w:rPr>
      </w:pPr>
      <w:r w:rsidRPr="00FA7746">
        <w:rPr>
          <w:rFonts w:ascii="Times New Roman" w:hAnsi="Times New Roman" w:cs="Times New Roman"/>
          <w:b/>
          <w:bCs/>
          <w:sz w:val="24"/>
          <w:szCs w:val="24"/>
        </w:rPr>
        <w:t>Jittiphat Sanom</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Chanchanok Aramrat</w:t>
      </w:r>
      <w:commentRangeStart w:id="0"/>
      <w:r w:rsidRPr="00FA7746">
        <w:rPr>
          <w:rFonts w:ascii="Times New Roman" w:hAnsi="Times New Roman" w:cs="Times New Roman"/>
          <w:b/>
          <w:bCs/>
          <w:sz w:val="24"/>
          <w:szCs w:val="24"/>
          <w:vertAlign w:val="superscript"/>
        </w:rPr>
        <w:t>1</w:t>
      </w:r>
      <w:commentRangeEnd w:id="0"/>
      <w:r w:rsidR="000D4D3F" w:rsidRPr="00FA7746">
        <w:rPr>
          <w:rStyle w:val="af4"/>
          <w:rFonts w:ascii="Times New Roman" w:hAnsi="Times New Roman" w:cs="Times New Roman"/>
          <w:b/>
          <w:bCs/>
          <w:sz w:val="24"/>
          <w:szCs w:val="24"/>
        </w:rPr>
        <w:commentReference w:id="0"/>
      </w:r>
      <w:r w:rsidRPr="00FA7746">
        <w:rPr>
          <w:rFonts w:ascii="Times New Roman" w:hAnsi="Times New Roman" w:cs="Times New Roman"/>
          <w:b/>
          <w:bCs/>
          <w:sz w:val="24"/>
          <w:szCs w:val="24"/>
        </w:rPr>
        <w:t>, Kittikorn Hantrakul</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Part Pramokchon</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Alongkot Gongmanee</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and Somnuk Sinthupuan</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br/>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Department of Computer Science, Faculty of Science, Maejo University, Chiang Mai 50290, Thailand</w:t>
      </w:r>
      <w:r w:rsidRPr="00FA7746">
        <w:rPr>
          <w:rFonts w:ascii="Times New Roman" w:hAnsi="Times New Roman" w:cs="Times New Roman"/>
          <w:b/>
          <w:bCs/>
          <w:sz w:val="24"/>
          <w:szCs w:val="24"/>
        </w:rPr>
        <w:br/>
        <w:t>*Corresponding author</w:t>
      </w:r>
      <w:r w:rsidR="004F294B" w:rsidRPr="00864FE6">
        <w:rPr>
          <w:rFonts w:ascii="Times New Roman" w:hAnsi="Times New Roman" w:cs="Times New Roman"/>
          <w:b/>
          <w:bCs/>
          <w:sz w:val="24"/>
          <w:szCs w:val="24"/>
        </w:rPr>
        <w:t>, Email address</w:t>
      </w:r>
      <w:r w:rsidR="004F294B" w:rsidRPr="00864FE6">
        <w:rPr>
          <w:rFonts w:ascii="Times New Roman" w:hAnsi="Times New Roman" w:cs="Times New Roman"/>
          <w:b/>
          <w:bCs/>
          <w:sz w:val="24"/>
          <w:szCs w:val="24"/>
          <w:cs/>
        </w:rPr>
        <w:t>:</w:t>
      </w:r>
      <w:r w:rsidRPr="00FA7746">
        <w:rPr>
          <w:rFonts w:ascii="Times New Roman" w:hAnsi="Times New Roman" w:cs="Times New Roman"/>
          <w:b/>
          <w:bCs/>
          <w:sz w:val="24"/>
          <w:szCs w:val="24"/>
        </w:rPr>
        <w:t xml:space="preserve"> </w:t>
      </w:r>
      <w:r w:rsidR="0049295B" w:rsidRPr="00FA7746">
        <w:rPr>
          <w:rFonts w:ascii="Times New Roman" w:hAnsi="Times New Roman" w:cs="Times New Roman"/>
          <w:b/>
          <w:bCs/>
          <w:sz w:val="24"/>
          <w:szCs w:val="24"/>
        </w:rPr>
        <w:t>somnuk@mju.ac.th</w:t>
      </w:r>
    </w:p>
    <w:p w14:paraId="702A4152" w14:textId="77777777" w:rsidR="0049295B" w:rsidRPr="000F254F" w:rsidRDefault="0049295B" w:rsidP="00F82949">
      <w:pPr>
        <w:spacing w:line="480" w:lineRule="auto"/>
        <w:jc w:val="center"/>
        <w:rPr>
          <w:rFonts w:ascii="Times New Roman" w:hAnsi="Times New Roman" w:cs="Times New Roman"/>
          <w:sz w:val="24"/>
          <w:szCs w:val="24"/>
        </w:rPr>
      </w:pPr>
    </w:p>
    <w:p w14:paraId="4C359F62" w14:textId="77777777" w:rsidR="00FA7746" w:rsidRPr="00933E5F" w:rsidRDefault="00FA7746" w:rsidP="000A57F2">
      <w:pPr>
        <w:spacing w:line="480" w:lineRule="auto"/>
        <w:rPr>
          <w:rFonts w:ascii="Times New Roman" w:hAnsi="Times New Roman"/>
          <w:b/>
          <w:bCs/>
          <w:sz w:val="24"/>
          <w:szCs w:val="24"/>
          <w:cs/>
        </w:rPr>
      </w:pPr>
      <w:r w:rsidRPr="00FA7746">
        <w:rPr>
          <w:rFonts w:ascii="Times New Roman" w:hAnsi="Times New Roman" w:cs="Times New Roman"/>
          <w:b/>
          <w:bCs/>
          <w:sz w:val="24"/>
          <w:szCs w:val="24"/>
        </w:rPr>
        <w:t>Abstract</w:t>
      </w:r>
    </w:p>
    <w:p w14:paraId="403050B6" w14:textId="374FDF1B" w:rsidR="00FA7746" w:rsidRPr="00FA7746" w:rsidRDefault="00FA7746" w:rsidP="002B0DFC">
      <w:pPr>
        <w:spacing w:line="480" w:lineRule="auto"/>
        <w:ind w:firstLine="720"/>
        <w:jc w:val="thaiDistribute"/>
        <w:rPr>
          <w:rFonts w:ascii="Times New Roman" w:hAnsi="Times New Roman" w:cs="Times New Roman"/>
          <w:sz w:val="24"/>
          <w:szCs w:val="24"/>
        </w:rPr>
      </w:pPr>
      <w:r w:rsidRPr="00306295">
        <w:rPr>
          <w:rFonts w:ascii="Times New Roman" w:hAnsi="Times New Roman" w:cs="Times New Roman"/>
          <w:sz w:val="24"/>
          <w:szCs w:val="24"/>
        </w:rPr>
        <w:t>Hospital microbiology data are frequently affected by missing values, duplicate records, inconsistent naming, and heterogeneous coding across information systems, all of which limit their suitability for machine-learning analysis.</w:t>
      </w:r>
      <w:r w:rsidRPr="00FA7746">
        <w:rPr>
          <w:rFonts w:ascii="Times New Roman" w:hAnsi="Times New Roman" w:cs="Times New Roman"/>
          <w:sz w:val="24"/>
          <w:szCs w:val="24"/>
        </w:rPr>
        <w:t xml:space="preserve"> This study developed a machine-learning framework to </w:t>
      </w:r>
      <w:r w:rsidR="000F254F" w:rsidRPr="000F254F">
        <w:rPr>
          <w:rFonts w:ascii="Times New Roman" w:hAnsi="Times New Roman" w:cs="Times New Roman"/>
          <w:sz w:val="24"/>
          <w:szCs w:val="24"/>
        </w:rPr>
        <w:t xml:space="preserve">predict antibiotic sensitivity of microorganisms, classified as sensitive (S) versus non-sensitive (intermediate and resistant), using patient-context features after systematic data quality assessment. </w:t>
      </w:r>
      <w:r w:rsidRPr="00FA7746">
        <w:rPr>
          <w:rFonts w:ascii="Times New Roman" w:hAnsi="Times New Roman" w:cs="Times New Roman"/>
          <w:sz w:val="24"/>
          <w:szCs w:val="24"/>
        </w:rPr>
        <w:t xml:space="preserve"> An end-to-end pipeline was designed to evaluate data quality in two dimensions, completeness and consistency, followed by preprocessing to standardize organism names, specimen types, antibiotic names, and susceptibility-result fields using dictionary mapping, regular expressions, and fuzzy matching. Intrinsic-resistance rules were incorporated, records that could not be interpreted reliably were flagged as REVIEW and excluded from supervised learning, and repeated isolates were handled using a study-defined 30-day first-isolate rule to </w:t>
      </w:r>
      <w:r w:rsidRPr="00FA7746">
        <w:rPr>
          <w:rFonts w:ascii="Times New Roman" w:hAnsi="Times New Roman" w:cs="Times New Roman"/>
          <w:sz w:val="24"/>
          <w:szCs w:val="24"/>
        </w:rPr>
        <w:lastRenderedPageBreak/>
        <w:t xml:space="preserve">reduce bias from duplicate results. After all preprocessing and eligibility criteria were applied, </w:t>
      </w:r>
      <w:r w:rsidR="00AF110E" w:rsidRPr="00AF110E">
        <w:rPr>
          <w:rFonts w:ascii="Times New Roman" w:hAnsi="Times New Roman" w:cs="Times New Roman"/>
          <w:sz w:val="24"/>
          <w:szCs w:val="24"/>
        </w:rPr>
        <w:t>628,099</w:t>
      </w:r>
      <w:r w:rsidR="00AF110E">
        <w:rPr>
          <w:rFonts w:ascii="Times New Roman" w:hAnsi="Times New Roman" w:hint="cs"/>
          <w:sz w:val="24"/>
          <w:szCs w:val="24"/>
          <w:cs/>
        </w:rPr>
        <w:t xml:space="preserve"> </w:t>
      </w:r>
      <w:r w:rsidRPr="00FA7746">
        <w:rPr>
          <w:rFonts w:ascii="Times New Roman" w:hAnsi="Times New Roman" w:cs="Times New Roman"/>
          <w:sz w:val="24"/>
          <w:szCs w:val="24"/>
        </w:rPr>
        <w:t xml:space="preserve">records remained for model development. Four tree-based machine-learning models—Decision Tree, Random Forest, XGBoost, and CatBoost—were trained to predict </w:t>
      </w:r>
      <w:r w:rsidR="00933E5F" w:rsidRPr="00933E5F">
        <w:rPr>
          <w:rFonts w:ascii="Times New Roman" w:hAnsi="Times New Roman" w:cs="Times New Roman"/>
          <w:sz w:val="24"/>
          <w:szCs w:val="24"/>
        </w:rPr>
        <w:t>sensitive (S) versus non-sensitive (intermediate and resistant)</w:t>
      </w:r>
      <w:r w:rsidR="00933E5F">
        <w:rPr>
          <w:rFonts w:ascii="Times New Roman" w:hAnsi="Times New Roman" w:cs="Times New Roman"/>
          <w:sz w:val="24"/>
          <w:szCs w:val="24"/>
        </w:rPr>
        <w:t xml:space="preserve"> </w:t>
      </w:r>
      <w:r w:rsidRPr="00FA7746">
        <w:rPr>
          <w:rFonts w:ascii="Times New Roman" w:hAnsi="Times New Roman" w:cs="Times New Roman"/>
          <w:sz w:val="24"/>
          <w:szCs w:val="24"/>
        </w:rPr>
        <w:t xml:space="preserve">outcomes from microbiology and patient-context features. To mitigate class imbalance, CTGAN-based augmentation was applied to the training data only. Model performance was evaluated using accuracy, macro precision, macro recall, and macro F1-score under three experimental settings with sequential feature removal. Random Forest achieved the best performance in all settings, with the highest accuracy of 75.05% and macro F1-score of 0.75 when organism, antibiotic, specimen, sex, age, and ward features were included. When organism information was removed, accuracy decreased to 66.33%, and when both organism </w:t>
      </w:r>
      <w:r w:rsidR="000F254F">
        <w:rPr>
          <w:rFonts w:ascii="Times New Roman" w:hAnsi="Times New Roman" w:cs="Times New Roman"/>
          <w:sz w:val="24"/>
          <w:szCs w:val="24"/>
        </w:rPr>
        <w:t xml:space="preserve">and ward </w:t>
      </w:r>
      <w:r w:rsidRPr="00FA7746">
        <w:rPr>
          <w:rFonts w:ascii="Times New Roman" w:hAnsi="Times New Roman" w:cs="Times New Roman"/>
          <w:sz w:val="24"/>
          <w:szCs w:val="24"/>
        </w:rPr>
        <w:t xml:space="preserve">information were removed, accuracy further decreased to </w:t>
      </w:r>
      <w:r w:rsidR="0092057E" w:rsidRPr="0092057E">
        <w:rPr>
          <w:rFonts w:ascii="Times New Roman" w:hAnsi="Times New Roman" w:cs="Times New Roman"/>
          <w:sz w:val="24"/>
          <w:szCs w:val="24"/>
        </w:rPr>
        <w:t>46.88</w:t>
      </w:r>
      <w:r w:rsidRPr="00FA7746">
        <w:rPr>
          <w:rFonts w:ascii="Times New Roman" w:hAnsi="Times New Roman" w:cs="Times New Roman"/>
          <w:sz w:val="24"/>
          <w:szCs w:val="24"/>
        </w:rPr>
        <w:t>%. These findings indicate that systematically quality-controlled hospital microbiology data can support robust machine-learning prediction of antimicrobial susceptibility categories and that organism and antibiotic variables contribute most strongly to predictive performance.</w:t>
      </w:r>
    </w:p>
    <w:p w14:paraId="1895355B" w14:textId="5E087BA9" w:rsidR="00FA7746" w:rsidRPr="00864FE6" w:rsidRDefault="00FA7746" w:rsidP="00F10EE8">
      <w:pPr>
        <w:spacing w:line="480" w:lineRule="auto"/>
        <w:jc w:val="thaiDistribute"/>
        <w:rPr>
          <w:rFonts w:ascii="Times New Roman" w:hAnsi="Times New Roman" w:cs="Times New Roman"/>
          <w:sz w:val="24"/>
          <w:szCs w:val="24"/>
        </w:rPr>
      </w:pPr>
      <w:r w:rsidRPr="00FA7746">
        <w:rPr>
          <w:rFonts w:ascii="Times New Roman" w:hAnsi="Times New Roman" w:cs="Times New Roman"/>
          <w:b/>
          <w:bCs/>
          <w:sz w:val="24"/>
          <w:szCs w:val="24"/>
        </w:rPr>
        <w:t>Keywords:</w:t>
      </w:r>
      <w:r w:rsidRPr="00FA7746">
        <w:rPr>
          <w:rFonts w:ascii="Times New Roman" w:hAnsi="Times New Roman" w:cs="Times New Roman"/>
          <w:sz w:val="24"/>
          <w:szCs w:val="24"/>
        </w:rPr>
        <w:t xml:space="preserve"> data quality assessment; data preprocessing; machine learning; antimicrobial susceptibility testing; S/I/R prediction; antimicrobial resistance; CTGAN; Random Forest</w:t>
      </w:r>
      <w:r w:rsidR="00B95085" w:rsidRPr="00864FE6">
        <w:rPr>
          <w:rFonts w:ascii="Times New Roman" w:hAnsi="Times New Roman" w:cs="Times New Roman"/>
          <w:sz w:val="24"/>
          <w:szCs w:val="24"/>
        </w:rPr>
        <w:t>.</w:t>
      </w:r>
    </w:p>
    <w:p w14:paraId="26448F1D" w14:textId="77777777" w:rsidR="00B95085" w:rsidRPr="00FA7746" w:rsidRDefault="00B95085" w:rsidP="00F10EE8">
      <w:pPr>
        <w:spacing w:line="480" w:lineRule="auto"/>
        <w:jc w:val="thaiDistribute"/>
        <w:rPr>
          <w:rFonts w:ascii="Times New Roman" w:hAnsi="Times New Roman" w:cs="Times New Roman"/>
          <w:sz w:val="24"/>
          <w:szCs w:val="24"/>
        </w:rPr>
      </w:pPr>
    </w:p>
    <w:p w14:paraId="2F2C925E"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1. Introduction</w:t>
      </w:r>
    </w:p>
    <w:p w14:paraId="5BF7DD5D" w14:textId="77777777" w:rsidR="00FA7746" w:rsidRPr="00FA774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Culture and antimicrobial susceptibility testing (AST) data are fundamental for the treatment of infectious diseases, antimicrobial stewardship, and antimicrobial </w:t>
      </w:r>
      <w:r w:rsidRPr="00FA7746">
        <w:rPr>
          <w:rFonts w:ascii="Times New Roman" w:hAnsi="Times New Roman" w:cs="Times New Roman"/>
          <w:sz w:val="24"/>
          <w:szCs w:val="24"/>
        </w:rPr>
        <w:lastRenderedPageBreak/>
        <w:t>resistance (AMR) surveillance in hospitals. Cumulative antimicrobial susceptibility reports, or antibiograms, are widely used to summarize institutional susceptibility patterns and support empiric antimicrobial selection. The CLSI M39 guideline provides an important framework for the analysis and presentation of cumulative antimicrobial susceptibility test data so that such reports are reliable and clinically useful (Clinical and Laboratory Standards Institute [CLSI], 2022a).</w:t>
      </w:r>
    </w:p>
    <w:p w14:paraId="4EF421FC" w14:textId="77777777" w:rsidR="00FA7746" w:rsidRPr="00FA774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In practice, however, hospital microbiology data are often affected by multiple data quality problems, including missing values, duplicate records, non-standard organism and antibiotic names, inconsistent specimen labels, and heterogeneous coding across information systems. These problems reduce not only the reliability of cumulative susceptibility reporting but also the readiness of the data for machine-learning analysis. Systems such as WHONET and BacLink were developed to facilitate microbiology data management and standardization, highlighting the importance of data quality assessment and preprocessing before advanced analysis (Stelling et al., 2007; WHONET, 2026).</w:t>
      </w:r>
    </w:p>
    <w:p w14:paraId="06C89B4A" w14:textId="77777777" w:rsidR="00FA7746" w:rsidRPr="00FA774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In recent years, machine learning has increasingly been applied to antimicrobial resistance and susceptibility prediction. Reviews of the literature have shown that tree-based models, particularly Random Forest and gradient-boosted trees, often perform well with real-world healthcare data because they can capture nonlinear relationships and accommodate complex interactions among variables (Anahtar et al., 2021; Ardila et al., 2025; Sakagianni et al., 2023). Nevertheless, many AMR prediction studies still face common limitations, including poor source-data quality, class imbalance, inconsistent preprocessing pipelines, and limited discussion of how categorical AST labels were derived and standardized (Ardila et al., 2025; Sakagianni et al., 2023).</w:t>
      </w:r>
    </w:p>
    <w:p w14:paraId="58FA1815" w14:textId="77777777" w:rsidR="00FA7746" w:rsidRPr="00864FE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Accordingly, this study aimed to develop a machine-learning framework for predicting antimicrobial susceptibility categories (S/I/R) from hospital microbiology data after systematic data quality assessment and preprocessing. The specific objectives were: (1) to assess and improve the quality of hospital microbiology data in terms of completeness and consistency before model development; (2) to develop a preprocessing workflow that standardizes organism names, antibiotic names, specimen types, and susceptibility results into a machine-learning-ready format; (3) to develop and compare the predictive performance of multiple machine-learning models for S/I/R classification; and (4) to examine the contribution of microbiology variables and patient-context variables to predictive performance.</w:t>
      </w:r>
    </w:p>
    <w:p w14:paraId="1070F515" w14:textId="77777777" w:rsidR="00DB42ED" w:rsidRPr="00FA7746" w:rsidRDefault="00DB42ED" w:rsidP="00046E25">
      <w:pPr>
        <w:spacing w:line="480" w:lineRule="auto"/>
        <w:ind w:firstLine="720"/>
        <w:jc w:val="thaiDistribute"/>
        <w:rPr>
          <w:rFonts w:ascii="Times New Roman" w:hAnsi="Times New Roman" w:cs="Times New Roman"/>
          <w:sz w:val="24"/>
          <w:szCs w:val="24"/>
        </w:rPr>
      </w:pPr>
    </w:p>
    <w:p w14:paraId="0D7AD24C"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2. Related Work</w:t>
      </w:r>
    </w:p>
    <w:p w14:paraId="3BE259F8"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Relevant studies can be grouped into four major areas: (1) surveillance systems and cumulative antimicrobial susceptibility reporting, (2) standardization and integration of microbiology data, (3) machine-learning applications for antimicrobial susceptibility prediction, and (4) methodological gaps related to data quality, class imbalance, and real-world implementation.</w:t>
      </w:r>
    </w:p>
    <w:p w14:paraId="75A246F2"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In the area of surveillance and reporting, CLSI M39 provides an important framework for the analysis and presentation of cumulative antimicrobial susceptibility test data to support clinical decision-making and antimicrobial stewardship (CLSI, 2022a). At the global level, the World Health Organization established the Global Antimicrobial Resistance and Use Surveillance System (GLASS) to standardize the collection, analysis, and sharing of AMR data (World Health Organization, 2022, 2023). </w:t>
      </w:r>
      <w:r w:rsidRPr="00FA7746">
        <w:rPr>
          <w:rFonts w:ascii="Times New Roman" w:hAnsi="Times New Roman" w:cs="Times New Roman"/>
          <w:sz w:val="24"/>
          <w:szCs w:val="24"/>
        </w:rPr>
        <w:lastRenderedPageBreak/>
        <w:t>In Thailand, the National Antimicrobial Resistance Surveillance Center of Thailand publishes annual antibiogram reports and surveillance summaries, underscoring the direct role of AST data in AMR monitoring and antibiotic stewardship (National Antimicrobial Resistance Surveillance Center of Thailand, 2024, 2025).</w:t>
      </w:r>
    </w:p>
    <w:p w14:paraId="6D88B988"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In the area of standardization and microbiology data integration, several studies have shown that the major challenge in hospital microbiology datasets is not simply the absence of data but also inconsistency of formats, nonuniform coding, and fragmentation across information systems. WHONET and BacLink were developed to support the capture, conversion, processing, and analysis of microbiology data from legacy systems, particularly for surveillance use (Stelling et al., 2007; WHONET, 2026). In the Thai context, previous work has demonstrated ETL-based processing and visualization pipelines for bacterial profiles and antibiotic susceptibility profiles from hospital data, emphasizing data cleaning, quality assessment, and bias reduction before further analysis (Aramrat &amp; Boonma, 2023).</w:t>
      </w:r>
    </w:p>
    <w:p w14:paraId="31428DEB"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For machine-learning applications, previous studies have demonstrated that ML can support antimicrobial stewardship, resistance phenotype prediction, and clinical decision support. Personalized antibiogram approaches based on electronic health records have shown the ability to predict antibiotic susceptibility and support narrower-spectrum therapy while maintaining adequate coverage (Corbin et al., 2022). Multitask learning frameworks have also been proposed to predict individualized resistance probabilities across multiple antimicrobial classes (Goto et al., 2026). Collectively, these studies suggest that real-world clinical and microbiology data can be used for clinically meaningful susceptibility prediction (Anahtar et al., 2021; Corbin et al., 2022; Goto et al., 2026).</w:t>
      </w:r>
    </w:p>
    <w:p w14:paraId="614B3F6B" w14:textId="77777777" w:rsidR="00FA7746" w:rsidRPr="00864FE6" w:rsidRDefault="00FA7746" w:rsidP="005249F0">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Despite these advances, major challenges remain. Recent reviews have emphasized that model performance in AMR prediction depends not only on algorithm choice but also on the quality and consistency of the underlying data, the handling of class imbalance, and the rigor of evaluation procedures (Ardila et al., 2025; Sakagianni et al., 2023). These limitations motivate the present study, which directly focuses on the integration of data quality assessment, systematic preprocessing, and multiclass S/I/R prediction using real-world hospital microbiology data.</w:t>
      </w:r>
    </w:p>
    <w:p w14:paraId="737029EC" w14:textId="77777777" w:rsidR="005249F0" w:rsidRPr="00FA7746" w:rsidRDefault="005249F0" w:rsidP="005249F0">
      <w:pPr>
        <w:spacing w:after="0" w:line="480" w:lineRule="auto"/>
        <w:ind w:firstLine="720"/>
        <w:jc w:val="thaiDistribute"/>
        <w:rPr>
          <w:rFonts w:ascii="Times New Roman" w:hAnsi="Times New Roman" w:cs="Times New Roman"/>
          <w:sz w:val="24"/>
          <w:szCs w:val="24"/>
        </w:rPr>
      </w:pPr>
    </w:p>
    <w:p w14:paraId="1ECCDDEA"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 Materials and Methods</w:t>
      </w:r>
    </w:p>
    <w:p w14:paraId="346A1F05"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3.1. Study Design and Data Source</w:t>
      </w:r>
    </w:p>
    <w:p w14:paraId="112ED2D0" w14:textId="77777777" w:rsidR="00182A4D" w:rsidRDefault="00182A4D" w:rsidP="00B860D2">
      <w:pPr>
        <w:spacing w:line="480" w:lineRule="auto"/>
        <w:ind w:firstLine="720"/>
        <w:jc w:val="thaiDistribute"/>
        <w:rPr>
          <w:rFonts w:ascii="Times New Roman" w:hAnsi="Times New Roman"/>
          <w:sz w:val="24"/>
          <w:szCs w:val="24"/>
        </w:rPr>
      </w:pPr>
      <w:r w:rsidRPr="00182A4D">
        <w:rPr>
          <w:rFonts w:ascii="Times New Roman" w:hAnsi="Times New Roman" w:cs="Times New Roman"/>
          <w:sz w:val="24"/>
          <w:szCs w:val="24"/>
        </w:rPr>
        <w:t>This retrospective study used microbiology and anonymized patient-context data from Chiang Mai University hospital, a tertiary hospital in Chiang Mai province, Thailand, collected from 8 September 2011 to 2 January 2020. A total of 1,097,459 inpatient culture records were initially obtained from the IPD Culture database. Data quality assessment was performed for key microbiology and patient-context variables, including organism name, antibiotic name, specimen type, susceptibility result, sex, age, and ward of admission.</w:t>
      </w:r>
    </w:p>
    <w:p w14:paraId="091D34BB" w14:textId="77777777" w:rsidR="00182A4D" w:rsidRDefault="00182A4D" w:rsidP="00182A4D">
      <w:pPr>
        <w:spacing w:line="480" w:lineRule="auto"/>
        <w:ind w:firstLine="720"/>
        <w:jc w:val="thaiDistribute"/>
        <w:rPr>
          <w:rFonts w:ascii="Times New Roman" w:hAnsi="Times New Roman"/>
          <w:sz w:val="24"/>
          <w:szCs w:val="24"/>
        </w:rPr>
      </w:pPr>
      <w:r w:rsidRPr="00182A4D">
        <w:rPr>
          <w:rFonts w:ascii="Times New Roman" w:hAnsi="Times New Roman" w:cs="Times New Roman"/>
          <w:sz w:val="24"/>
          <w:szCs w:val="24"/>
        </w:rPr>
        <w:t xml:space="preserve">The records then underwent sequential preprocessing to clean, standardize, and transform the data. To ensure data quality and clinical relevance, the </w:t>
      </w:r>
      <w:r w:rsidRPr="00182A4D">
        <w:rPr>
          <w:rFonts w:ascii="Times New Roman" w:hAnsi="Times New Roman" w:cs="Times New Roman"/>
          <w:b/>
          <w:bCs/>
          <w:sz w:val="24"/>
          <w:szCs w:val="24"/>
        </w:rPr>
        <w:t>eligibility criteria</w:t>
      </w:r>
      <w:r w:rsidRPr="00182A4D">
        <w:rPr>
          <w:rFonts w:ascii="Times New Roman" w:hAnsi="Times New Roman" w:cs="Times New Roman"/>
          <w:sz w:val="24"/>
          <w:szCs w:val="24"/>
        </w:rPr>
        <w:t xml:space="preserve"> for retaining records were defined as follows: (1) records must originate from inpatient (IPD) cultures and successfully merge with the patient-context database via admission numbers; (2) susceptibility outcomes must be definitively categorized as Sensitive (S), Intermediate (I), or Resistant (R); (3) records must pass the data quality assessment, </w:t>
      </w:r>
      <w:r w:rsidRPr="00182A4D">
        <w:rPr>
          <w:rFonts w:ascii="Times New Roman" w:hAnsi="Times New Roman" w:cs="Times New Roman"/>
          <w:sz w:val="24"/>
          <w:szCs w:val="24"/>
        </w:rPr>
        <w:lastRenderedPageBreak/>
        <w:t xml:space="preserve">excluding any entries flagged as 'REVIEW' due to unresolvable non-standard entries or missing values; and (4) inclusion was restricted to the first isolate per patient, per organism, per antibiotic within a 30-day period (the 30-day first-isolate rule) to mitigate bias from repeated sampling. After all preprocessing steps and eligibility criteria were applied, a final cohort of </w:t>
      </w:r>
      <w:r w:rsidRPr="00182A4D">
        <w:rPr>
          <w:rFonts w:ascii="Times New Roman" w:hAnsi="Times New Roman" w:cs="Times New Roman"/>
          <w:b/>
          <w:bCs/>
          <w:sz w:val="24"/>
          <w:szCs w:val="24"/>
        </w:rPr>
        <w:t>528,134 records</w:t>
      </w:r>
      <w:r w:rsidRPr="00182A4D">
        <w:rPr>
          <w:rFonts w:ascii="Times New Roman" w:hAnsi="Times New Roman" w:cs="Times New Roman"/>
          <w:sz w:val="24"/>
          <w:szCs w:val="24"/>
        </w:rPr>
        <w:t xml:space="preserve"> remained for model development.</w:t>
      </w:r>
    </w:p>
    <w:p w14:paraId="32DB1147" w14:textId="1879862D" w:rsidR="00FA7746" w:rsidRPr="00FA7746" w:rsidRDefault="00FA7746" w:rsidP="00182A4D">
      <w:pPr>
        <w:spacing w:line="480" w:lineRule="auto"/>
        <w:jc w:val="thaiDistribute"/>
        <w:rPr>
          <w:rFonts w:ascii="Times New Roman" w:hAnsi="Times New Roman" w:cs="Times New Roman"/>
          <w:b/>
          <w:bCs/>
          <w:sz w:val="24"/>
          <w:szCs w:val="24"/>
        </w:rPr>
      </w:pPr>
      <w:r w:rsidRPr="00FA7746">
        <w:rPr>
          <w:rFonts w:ascii="Times New Roman" w:hAnsi="Times New Roman" w:cs="Times New Roman"/>
          <w:b/>
          <w:bCs/>
          <w:sz w:val="24"/>
          <w:szCs w:val="24"/>
        </w:rPr>
        <w:t>3.2. Research Ethics</w:t>
      </w:r>
    </w:p>
    <w:p w14:paraId="1932A8E9" w14:textId="14D12A67" w:rsidR="00FA7746" w:rsidRPr="00FA7746" w:rsidRDefault="00FA7746" w:rsidP="00A2012B">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This study was reviewed and approved by the Human Research Ethics Committee, Faculty of Medicine, Chiang Mai University, Committee 5 (Research ID: 8889; Study Code: FAM-2565-08889). The present study is a secondary analysis of data derived from a previously approved research project. It involved retrospective hospital microbiology and clinical record data, with no direct patient contact or intervention. All data were de-identified prior to analysis. The requirement for individual informed consent was waived by the ethics committee because the study posed minimal risk and did not adversely affect the rights or welfare of the patients.</w:t>
      </w:r>
    </w:p>
    <w:p w14:paraId="4786BD7F"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3.3. Data Quality Assessment</w:t>
      </w:r>
    </w:p>
    <w:p w14:paraId="17209C96" w14:textId="1BF8006C" w:rsidR="00FA7746" w:rsidRPr="00FA7746" w:rsidRDefault="00FA7746" w:rsidP="00A76CA7">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This study assessed data quality in two primary dimensions, namely completeness and consistency, because both dimensions directly affect data readiness for machine learning. Let the full dataset be denoted by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FA7746">
        <w:rPr>
          <w:rFonts w:ascii="Times New Roman" w:hAnsi="Times New Roman" w:cs="Times New Roman"/>
          <w:sz w:val="24"/>
          <w:szCs w:val="24"/>
        </w:rPr>
        <w:t xml:space="preserve">, where </w:t>
      </w:r>
      <m:oMath>
        <m:r>
          <w:rPr>
            <w:rFonts w:ascii="Cambria Math" w:hAnsi="Cambria Math" w:cs="Times New Roman"/>
            <w:sz w:val="24"/>
            <w:szCs w:val="24"/>
          </w:rPr>
          <m:t>N</m:t>
        </m:r>
      </m:oMath>
      <w:r w:rsidRPr="00FA7746">
        <w:rPr>
          <w:rFonts w:ascii="Times New Roman" w:hAnsi="Times New Roman" w:cs="Times New Roman"/>
          <w:sz w:val="24"/>
          <w:szCs w:val="24"/>
        </w:rPr>
        <w:t xml:space="preserve">is the total number of records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iv</m:t>
            </m:r>
          </m:sub>
        </m:sSub>
      </m:oMath>
      <w:r w:rsidRPr="00FA7746">
        <w:rPr>
          <w:rFonts w:ascii="Times New Roman" w:hAnsi="Times New Roman" w:cs="Times New Roman"/>
          <w:sz w:val="24"/>
          <w:szCs w:val="24"/>
        </w:rPr>
        <w:t xml:space="preserve">is the value of variable </w:t>
      </w:r>
      <m:oMath>
        <m:r>
          <w:rPr>
            <w:rFonts w:ascii="Cambria Math" w:hAnsi="Cambria Math" w:cs="Times New Roman"/>
            <w:sz w:val="24"/>
            <w:szCs w:val="24"/>
          </w:rPr>
          <m:t>v</m:t>
        </m:r>
      </m:oMath>
      <w:r w:rsidRPr="00FA7746">
        <w:rPr>
          <w:rFonts w:ascii="Times New Roman" w:hAnsi="Times New Roman" w:cs="Times New Roman"/>
          <w:sz w:val="24"/>
          <w:szCs w:val="24"/>
        </w:rPr>
        <w:t xml:space="preserve">in record </w:t>
      </w:r>
      <m:oMath>
        <m:r>
          <w:rPr>
            <w:rFonts w:ascii="Cambria Math" w:hAnsi="Cambria Math" w:cs="Times New Roman"/>
            <w:sz w:val="24"/>
            <w:szCs w:val="24"/>
          </w:rPr>
          <m:t>i</m:t>
        </m:r>
      </m:oMath>
      <w:r w:rsidRPr="00FA7746">
        <w:rPr>
          <w:rFonts w:ascii="Times New Roman" w:hAnsi="Times New Roman" w:cs="Times New Roman"/>
          <w:sz w:val="24"/>
          <w:szCs w:val="24"/>
        </w:rPr>
        <w:t>.</w:t>
      </w:r>
    </w:p>
    <w:p w14:paraId="5923EC19" w14:textId="4BE1922D" w:rsidR="00FA7746" w:rsidRPr="00FA7746" w:rsidRDefault="00FA7746" w:rsidP="004D5A94">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The completeness of variable </w:t>
      </w:r>
      <m:oMath>
        <m:r>
          <w:rPr>
            <w:rFonts w:ascii="Cambria Math" w:hAnsi="Cambria Math" w:cs="Times New Roman"/>
            <w:sz w:val="24"/>
            <w:szCs w:val="24"/>
          </w:rPr>
          <m:t>v</m:t>
        </m:r>
      </m:oMath>
      <w:r w:rsidRPr="00FA7746">
        <w:rPr>
          <w:rFonts w:ascii="Times New Roman" w:hAnsi="Times New Roman" w:cs="Times New Roman"/>
          <w:sz w:val="24"/>
          <w:szCs w:val="24"/>
        </w:rPr>
        <w:t>was defined as:</w:t>
      </w:r>
    </w:p>
    <w:p w14:paraId="52257178" w14:textId="02BAE501" w:rsidR="00FA7746" w:rsidRPr="00FA7746" w:rsidRDefault="00FA7746" w:rsidP="000A57F2">
      <w:pPr>
        <w:spacing w:line="480" w:lineRule="auto"/>
        <w:rPr>
          <w:rFonts w:ascii="Times New Roman" w:hAnsi="Times New Roman" w:cs="Times New Roman"/>
          <w:sz w:val="24"/>
          <w:szCs w:val="24"/>
        </w:rPr>
      </w:pPr>
      <m:oMathPara>
        <m:oMath>
          <m:r>
            <m:rPr>
              <m:sty m:val="p"/>
            </m:rPr>
            <w:rPr>
              <w:rFonts w:ascii="Cambria Math" w:hAnsi="Cambria Math" w:cs="Times New Roman"/>
              <w:sz w:val="24"/>
              <w:szCs w:val="24"/>
            </w:rPr>
            <m:t>Completeness</m:t>
          </m:r>
          <m:r>
            <w:rPr>
              <w:rFonts w:ascii="Cambria Math" w:hAnsi="Cambria Math" w:cs="Times New Roman"/>
              <w:sz w:val="24"/>
              <w:szCs w:val="24"/>
            </w:rPr>
            <m:t>(v)=</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I(</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iv</m:t>
              </m:r>
            </m:sub>
          </m:sSub>
          <m:r>
            <m:rPr>
              <m:nor/>
            </m:rPr>
            <w:rPr>
              <w:rFonts w:ascii="Times New Roman" w:hAnsi="Times New Roman" w:cs="Times New Roman"/>
              <w:sz w:val="24"/>
              <w:szCs w:val="24"/>
            </w:rPr>
            <m:t xml:space="preserve"> is not missing</m:t>
          </m:r>
          <m:r>
            <w:rPr>
              <w:rFonts w:ascii="Cambria Math" w:hAnsi="Cambria Math" w:cs="Times New Roman"/>
              <w:sz w:val="24"/>
              <w:szCs w:val="24"/>
            </w:rPr>
            <m:t>),</m:t>
          </m:r>
        </m:oMath>
      </m:oMathPara>
    </w:p>
    <w:p w14:paraId="017EE223" w14:textId="6FB3C448" w:rsidR="00FA7746" w:rsidRPr="00FA7746" w:rsidRDefault="00FA7746" w:rsidP="000A57F2">
      <w:pPr>
        <w:spacing w:line="480" w:lineRule="auto"/>
        <w:rPr>
          <w:rFonts w:ascii="Times New Roman" w:hAnsi="Times New Roman" w:cs="Times New Roman"/>
          <w:sz w:val="24"/>
          <w:szCs w:val="24"/>
        </w:rPr>
      </w:pPr>
      <w:r w:rsidRPr="00FA7746">
        <w:rPr>
          <w:rFonts w:ascii="Times New Roman" w:hAnsi="Times New Roman" w:cs="Times New Roman"/>
          <w:sz w:val="24"/>
          <w:szCs w:val="24"/>
        </w:rPr>
        <w:lastRenderedPageBreak/>
        <w:t xml:space="preserve">where </w:t>
      </w:r>
      <m:oMath>
        <m:r>
          <w:rPr>
            <w:rFonts w:ascii="Cambria Math" w:hAnsi="Cambria Math" w:cs="Times New Roman"/>
            <w:sz w:val="24"/>
            <w:szCs w:val="24"/>
          </w:rPr>
          <m:t>I(⋅)</m:t>
        </m:r>
      </m:oMath>
      <w:r w:rsidRPr="00FA7746">
        <w:rPr>
          <w:rFonts w:ascii="Times New Roman" w:hAnsi="Times New Roman" w:cs="Times New Roman"/>
          <w:sz w:val="24"/>
          <w:szCs w:val="24"/>
        </w:rPr>
        <w:t>is the indicator function.</w:t>
      </w:r>
    </w:p>
    <w:p w14:paraId="7BB60E83" w14:textId="6CFB98A7" w:rsidR="00FA7746" w:rsidRPr="00FA7746" w:rsidRDefault="00FA7746" w:rsidP="008F6075">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The consistency of variable </w:t>
      </w:r>
      <m:oMath>
        <m:r>
          <w:rPr>
            <w:rFonts w:ascii="Cambria Math" w:hAnsi="Cambria Math" w:cs="Times New Roman"/>
            <w:sz w:val="24"/>
            <w:szCs w:val="24"/>
          </w:rPr>
          <m:t>v</m:t>
        </m:r>
      </m:oMath>
      <w:r w:rsidRPr="00FA7746">
        <w:rPr>
          <w:rFonts w:ascii="Times New Roman" w:hAnsi="Times New Roman" w:cs="Times New Roman"/>
          <w:sz w:val="24"/>
          <w:szCs w:val="24"/>
        </w:rPr>
        <w:t xml:space="preserve">relative to a predefined standard-value set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oMath>
      <w:r w:rsidRPr="00FA7746">
        <w:rPr>
          <w:rFonts w:ascii="Times New Roman" w:hAnsi="Times New Roman" w:cs="Times New Roman"/>
          <w:sz w:val="24"/>
          <w:szCs w:val="24"/>
        </w:rPr>
        <w:t>was defined as:</w:t>
      </w:r>
    </w:p>
    <w:p w14:paraId="1257A178" w14:textId="521EC8CE" w:rsidR="00FA7746" w:rsidRPr="00FA7746" w:rsidRDefault="00FA7746" w:rsidP="008F6075">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Consistency</m:t>
          </m:r>
          <m:r>
            <w:rPr>
              <w:rFonts w:ascii="Cambria Math" w:hAnsi="Cambria Math" w:cs="Times New Roman"/>
              <w:sz w:val="24"/>
              <w:szCs w:val="24"/>
            </w:rPr>
            <m:t>(v)=</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I(</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r>
            <m:rPr>
              <m:sty m:val="p"/>
            </m:rPr>
            <w:rPr>
              <w:rFonts w:ascii="Cambria Math" w:hAnsi="Cambria Math" w:cs="Times New Roman"/>
              <w:sz w:val="24"/>
              <w:szCs w:val="24"/>
            </w:rPr>
            <m:t>.</m:t>
          </m:r>
        </m:oMath>
      </m:oMathPara>
    </w:p>
    <w:p w14:paraId="46DA2A92" w14:textId="77777777" w:rsidR="00FA7746" w:rsidRPr="00FA7746" w:rsidRDefault="00FA7746" w:rsidP="00514E9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These measures were used to identify fields with missing values, non-standard naming, or inconsistent data formats before the preprocessing stage.</w:t>
      </w:r>
    </w:p>
    <w:p w14:paraId="3AA002CC"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 Data Preprocessing</w:t>
      </w:r>
    </w:p>
    <w:p w14:paraId="27982B32" w14:textId="77777777" w:rsidR="00FA7746" w:rsidRPr="00FA7746" w:rsidRDefault="00FA7746" w:rsidP="00E23134">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 preprocessing workflow was designed for microbiology data originating from multiple sources and containing inconsistent naming conventions. It consisted of five main steps.</w:t>
      </w:r>
    </w:p>
    <w:p w14:paraId="13BDE3E6"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3.4.1. Data Standardization</w:t>
      </w:r>
    </w:p>
    <w:p w14:paraId="76DCB403" w14:textId="395521A6" w:rsidR="00FA7746" w:rsidRPr="00FA7746" w:rsidRDefault="00FA7746" w:rsidP="009D435D">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Let </w:t>
      </w:r>
      <m:oMath>
        <m:r>
          <w:rPr>
            <w:rFonts w:ascii="Cambria Math" w:hAnsi="Cambria Math" w:cs="Times New Roman"/>
            <w:sz w:val="24"/>
            <w:szCs w:val="24"/>
          </w:rPr>
          <m:t>r</m:t>
        </m:r>
      </m:oMath>
      <w:r w:rsidRPr="00FA7746">
        <w:rPr>
          <w:rFonts w:ascii="Times New Roman" w:hAnsi="Times New Roman" w:cs="Times New Roman"/>
          <w:sz w:val="24"/>
          <w:szCs w:val="24"/>
        </w:rPr>
        <w:t xml:space="preserve">denote a raw value, such as an organism name, antibiotic name, specimen type, or susceptibility-result string, and let </w:t>
      </w:r>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m</m:t>
            </m:r>
          </m:sub>
        </m:sSub>
        <m:r>
          <w:rPr>
            <w:rFonts w:ascii="Cambria Math" w:hAnsi="Cambria Math" w:cs="Times New Roman"/>
            <w:sz w:val="24"/>
            <w:szCs w:val="24"/>
          </w:rPr>
          <m:t>}</m:t>
        </m:r>
      </m:oMath>
      <w:r w:rsidRPr="00FA7746">
        <w:rPr>
          <w:rFonts w:ascii="Times New Roman" w:hAnsi="Times New Roman" w:cs="Times New Roman"/>
          <w:sz w:val="24"/>
          <w:szCs w:val="24"/>
        </w:rPr>
        <w:t xml:space="preserve">denote the corresponding set of standardized terms. The standardization function </w:t>
      </w:r>
      <m:oMath>
        <m:r>
          <w:rPr>
            <w:rFonts w:ascii="Cambria Math" w:hAnsi="Cambria Math" w:cs="Times New Roman"/>
            <w:sz w:val="24"/>
            <w:szCs w:val="24"/>
          </w:rPr>
          <m:t>f(r)</m:t>
        </m:r>
      </m:oMath>
      <w:r w:rsidRPr="00FA7746">
        <w:rPr>
          <w:rFonts w:ascii="Times New Roman" w:hAnsi="Times New Roman" w:cs="Times New Roman"/>
          <w:sz w:val="24"/>
          <w:szCs w:val="24"/>
        </w:rPr>
        <w:t>was defined as:</w:t>
      </w:r>
    </w:p>
    <w:p w14:paraId="7AAAF310" w14:textId="01484BD1" w:rsidR="00FA7746" w:rsidRPr="00FA7746" w:rsidRDefault="00FA7746" w:rsidP="009D435D">
      <w:pPr>
        <w:spacing w:after="0" w:line="480" w:lineRule="auto"/>
        <w:rPr>
          <w:rFonts w:ascii="Times New Roman" w:hAnsi="Times New Roman" w:cs="Times New Roman"/>
          <w:sz w:val="24"/>
          <w:szCs w:val="24"/>
        </w:rPr>
      </w:pPr>
      <m:oMathPara>
        <m:oMath>
          <m:r>
            <w:rPr>
              <w:rFonts w:ascii="Cambria Math" w:hAnsi="Cambria Math" w:cs="Times New Roman"/>
              <w:sz w:val="24"/>
              <w:szCs w:val="24"/>
            </w:rPr>
            <m:t>f(r)=</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nor/>
                      </m:rPr>
                      <w:rPr>
                        <w:rFonts w:ascii="Times New Roman" w:hAnsi="Times New Roman" w:cs="Times New Roman"/>
                        <w:sz w:val="24"/>
                        <w:szCs w:val="24"/>
                      </w:rPr>
                      <m:t>dictionary match</m:t>
                    </m:r>
                    <m:r>
                      <w:rPr>
                        <w:rFonts w:ascii="Cambria Math" w:hAnsi="Cambria Math" w:cs="Times New Roman"/>
                        <w:sz w:val="24"/>
                        <w:szCs w:val="24"/>
                      </w:rPr>
                      <m:t>,</m:t>
                    </m:r>
                  </m:e>
                  <m:e>
                    <m:r>
                      <m:rPr>
                        <m:nor/>
                      </m:rPr>
                      <w:rPr>
                        <w:rFonts w:ascii="Times New Roman" w:hAnsi="Times New Roman" w:cs="Times New Roman"/>
                        <w:sz w:val="24"/>
                        <w:szCs w:val="24"/>
                      </w:rPr>
                      <m:t xml:space="preserve">if </m:t>
                    </m:r>
                    <m:r>
                      <w:rPr>
                        <w:rFonts w:ascii="Cambria Math" w:hAnsi="Cambria Math" w:cs="Times New Roman"/>
                        <w:sz w:val="24"/>
                        <w:szCs w:val="24"/>
                      </w:rPr>
                      <m:t>r</m:t>
                    </m:r>
                    <m:r>
                      <m:rPr>
                        <m:nor/>
                      </m:rPr>
                      <w:rPr>
                        <w:rFonts w:ascii="Times New Roman" w:hAnsi="Times New Roman" w:cs="Times New Roman"/>
                        <w:sz w:val="24"/>
                        <w:szCs w:val="24"/>
                      </w:rPr>
                      <m:t xml:space="preserve"> matches a predefined mapping</m:t>
                    </m:r>
                  </m:e>
                </m:mr>
                <m:mr>
                  <m:e>
                    <m:r>
                      <m:rPr>
                        <m:nor/>
                      </m:rPr>
                      <w:rPr>
                        <w:rFonts w:ascii="Times New Roman" w:hAnsi="Times New Roman" w:cs="Times New Roman"/>
                        <w:sz w:val="24"/>
                        <w:szCs w:val="24"/>
                      </w:rPr>
                      <m:t>regex-normalized match</m:t>
                    </m:r>
                    <m:r>
                      <w:rPr>
                        <w:rFonts w:ascii="Cambria Math" w:hAnsi="Cambria Math" w:cs="Times New Roman"/>
                        <w:sz w:val="24"/>
                        <w:szCs w:val="24"/>
                      </w:rPr>
                      <m:t>,</m:t>
                    </m:r>
                  </m:e>
                  <m:e>
                    <m:r>
                      <m:rPr>
                        <m:nor/>
                      </m:rPr>
                      <w:rPr>
                        <w:rFonts w:ascii="Times New Roman" w:hAnsi="Times New Roman" w:cs="Times New Roman"/>
                        <w:sz w:val="24"/>
                        <w:szCs w:val="24"/>
                      </w:rPr>
                      <m:t xml:space="preserve">if </m:t>
                    </m:r>
                    <m:r>
                      <w:rPr>
                        <w:rFonts w:ascii="Cambria Math" w:hAnsi="Cambria Math" w:cs="Times New Roman"/>
                        <w:sz w:val="24"/>
                        <w:szCs w:val="24"/>
                      </w:rPr>
                      <m:t>r</m:t>
                    </m:r>
                    <m:r>
                      <m:rPr>
                        <m:nor/>
                      </m:rPr>
                      <w:rPr>
                        <w:rFonts w:ascii="Times New Roman" w:hAnsi="Times New Roman" w:cs="Times New Roman"/>
                        <w:sz w:val="24"/>
                        <w:szCs w:val="24"/>
                      </w:rPr>
                      <m:t xml:space="preserve"> matches a standard pattern</m:t>
                    </m:r>
                  </m:e>
                </m:mr>
                <m:mr>
                  <m:e>
                    <m:r>
                      <m:rPr>
                        <m:sty m:val="p"/>
                      </m:rPr>
                      <w:rPr>
                        <w:rFonts w:ascii="Cambria Math" w:hAnsi="Cambria Math" w:cs="Times New Roman"/>
                        <w:sz w:val="24"/>
                        <w:szCs w:val="24"/>
                      </w:rPr>
                      <m:t>arg</m:t>
                    </m:r>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max</m:t>
                        </m:r>
                        <m:r>
                          <w:rPr>
                            <w:rFonts w:ascii="Cambria Math" w:hAnsi="Cambria Math" w:cs="Times New Roman"/>
                            <w:sz w:val="24"/>
                            <w:szCs w:val="24"/>
                          </w:rPr>
                          <m:t>⁡</m:t>
                        </m:r>
                      </m:e>
                      <m:sub>
                        <m:r>
                          <w:rPr>
                            <w:rFonts w:ascii="Cambria Math" w:hAnsi="Cambria Math" w:cs="Times New Roman"/>
                            <w:sz w:val="24"/>
                            <w:szCs w:val="24"/>
                          </w:rPr>
                          <m:t>t∈T</m:t>
                        </m:r>
                      </m:sub>
                    </m:sSub>
                    <m:r>
                      <m:rPr>
                        <m:sty m:val="p"/>
                      </m:rPr>
                      <w:rPr>
                        <w:rFonts w:ascii="Cambria Math" w:hAnsi="Cambria Math" w:cs="Times New Roman"/>
                        <w:sz w:val="24"/>
                        <w:szCs w:val="24"/>
                      </w:rPr>
                      <m:t>sim</m:t>
                    </m:r>
                    <m:r>
                      <w:rPr>
                        <w:rFonts w:ascii="Cambria Math" w:hAnsi="Cambria Math" w:cs="Times New Roman"/>
                        <w:sz w:val="24"/>
                        <w:szCs w:val="24"/>
                      </w:rPr>
                      <m:t>(r,t),</m:t>
                    </m:r>
                  </m:e>
                  <m:e>
                    <m:r>
                      <m:rPr>
                        <m:nor/>
                      </m:rPr>
                      <w:rPr>
                        <w:rFonts w:ascii="Times New Roman" w:hAnsi="Times New Roman" w:cs="Times New Roman"/>
                        <w:sz w:val="24"/>
                        <w:szCs w:val="24"/>
                      </w:rPr>
                      <m:t xml:space="preserve">if </m:t>
                    </m:r>
                    <m:sSub>
                      <m:sSubPr>
                        <m:ctrlPr>
                          <w:rPr>
                            <w:rFonts w:ascii="Cambria Math" w:hAnsi="Cambria Math" w:cs="Times New Roman"/>
                            <w:sz w:val="24"/>
                            <w:szCs w:val="24"/>
                          </w:rPr>
                        </m:ctrlPr>
                      </m:sSubPr>
                      <m:e>
                        <m:r>
                          <m:rPr>
                            <m:sty m:val="p"/>
                          </m:rPr>
                          <w:rPr>
                            <w:rFonts w:ascii="Cambria Math" w:hAnsi="Cambria Math" w:cs="Times New Roman"/>
                            <w:sz w:val="24"/>
                            <w:szCs w:val="24"/>
                          </w:rPr>
                          <m:t>max</m:t>
                        </m:r>
                        <m:r>
                          <w:rPr>
                            <w:rFonts w:ascii="Cambria Math" w:hAnsi="Cambria Math" w:cs="Times New Roman"/>
                            <w:sz w:val="24"/>
                            <w:szCs w:val="24"/>
                          </w:rPr>
                          <m:t>⁡</m:t>
                        </m:r>
                      </m:e>
                      <m:sub>
                        <m:r>
                          <w:rPr>
                            <w:rFonts w:ascii="Cambria Math" w:hAnsi="Cambria Math" w:cs="Times New Roman"/>
                            <w:sz w:val="24"/>
                            <w:szCs w:val="24"/>
                          </w:rPr>
                          <m:t>t∈T</m:t>
                        </m:r>
                      </m:sub>
                    </m:sSub>
                    <m:r>
                      <m:rPr>
                        <m:sty m:val="p"/>
                      </m:rPr>
                      <w:rPr>
                        <w:rFonts w:ascii="Cambria Math" w:hAnsi="Cambria Math" w:cs="Times New Roman"/>
                        <w:sz w:val="24"/>
                        <w:szCs w:val="24"/>
                      </w:rPr>
                      <m:t>sim</m:t>
                    </m:r>
                    <m:r>
                      <w:rPr>
                        <w:rFonts w:ascii="Cambria Math" w:hAnsi="Cambria Math" w:cs="Times New Roman"/>
                        <w:sz w:val="24"/>
                        <w:szCs w:val="24"/>
                      </w:rPr>
                      <m:t>(r,t)≥τ</m:t>
                    </m:r>
                  </m:e>
                </m:mr>
                <m:mr>
                  <m:e>
                    <m:r>
                      <m:rPr>
                        <m:nor/>
                      </m:rPr>
                      <w:rPr>
                        <w:rFonts w:ascii="Times New Roman" w:hAnsi="Times New Roman" w:cs="Times New Roman"/>
                        <w:sz w:val="24"/>
                        <w:szCs w:val="24"/>
                      </w:rPr>
                      <m:t>REVIEW</m:t>
                    </m:r>
                    <m:r>
                      <w:rPr>
                        <w:rFonts w:ascii="Cambria Math" w:hAnsi="Cambria Math" w:cs="Times New Roman"/>
                        <w:sz w:val="24"/>
                        <w:szCs w:val="24"/>
                      </w:rPr>
                      <m:t>,</m:t>
                    </m:r>
                  </m:e>
                  <m:e>
                    <m:r>
                      <m:rPr>
                        <m:nor/>
                      </m:rPr>
                      <w:rPr>
                        <w:rFonts w:ascii="Times New Roman" w:hAnsi="Times New Roman" w:cs="Times New Roman"/>
                        <w:sz w:val="24"/>
                        <w:szCs w:val="24"/>
                      </w:rPr>
                      <m:t>otherwise</m:t>
                    </m:r>
                    <m:r>
                      <w:rPr>
                        <w:rFonts w:ascii="Cambria Math" w:hAnsi="Cambria Math" w:cs="Times New Roman"/>
                        <w:sz w:val="24"/>
                        <w:szCs w:val="24"/>
                      </w:rPr>
                      <m:t>,</m:t>
                    </m:r>
                  </m:e>
                </m:mr>
              </m:m>
            </m:e>
          </m:d>
          <m:r>
            <m:rPr>
              <m:sty m:val="p"/>
            </m:rPr>
            <w:rPr>
              <w:rFonts w:ascii="Times New Roman" w:hAnsi="Times New Roman" w:cs="Times New Roman"/>
              <w:sz w:val="24"/>
              <w:szCs w:val="24"/>
            </w:rPr>
            <w:br/>
          </m:r>
        </m:oMath>
      </m:oMathPara>
      <w:r w:rsidRPr="00FA7746">
        <w:rPr>
          <w:rFonts w:ascii="Times New Roman" w:hAnsi="Times New Roman" w:cs="Times New Roman"/>
          <w:sz w:val="24"/>
          <w:szCs w:val="24"/>
        </w:rPr>
        <w:t xml:space="preserve">where </w:t>
      </w:r>
      <m:oMath>
        <m:r>
          <m:rPr>
            <m:sty m:val="p"/>
          </m:rPr>
          <w:rPr>
            <w:rFonts w:ascii="Cambria Math" w:hAnsi="Cambria Math" w:cs="Times New Roman"/>
            <w:sz w:val="24"/>
            <w:szCs w:val="24"/>
          </w:rPr>
          <m:t>sim</m:t>
        </m:r>
        <m:r>
          <w:rPr>
            <w:rFonts w:ascii="Cambria Math" w:hAnsi="Cambria Math" w:cs="Times New Roman"/>
            <w:sz w:val="24"/>
            <w:szCs w:val="24"/>
          </w:rPr>
          <m:t>(r,t)</m:t>
        </m:r>
      </m:oMath>
      <w:r w:rsidRPr="00FA7746">
        <w:rPr>
          <w:rFonts w:ascii="Times New Roman" w:hAnsi="Times New Roman" w:cs="Times New Roman"/>
          <w:sz w:val="24"/>
          <w:szCs w:val="24"/>
        </w:rPr>
        <w:t xml:space="preserve">is the similarity score between raw value </w:t>
      </w:r>
      <m:oMath>
        <m:r>
          <w:rPr>
            <w:rFonts w:ascii="Cambria Math" w:hAnsi="Cambria Math" w:cs="Times New Roman"/>
            <w:sz w:val="24"/>
            <w:szCs w:val="24"/>
          </w:rPr>
          <m:t>r</m:t>
        </m:r>
      </m:oMath>
      <w:r w:rsidRPr="00FA7746">
        <w:rPr>
          <w:rFonts w:ascii="Times New Roman" w:hAnsi="Times New Roman" w:cs="Times New Roman"/>
          <w:sz w:val="24"/>
          <w:szCs w:val="24"/>
        </w:rPr>
        <w:t xml:space="preserve">and standardized term </w:t>
      </w:r>
      <m:oMath>
        <m:r>
          <w:rPr>
            <w:rFonts w:ascii="Cambria Math" w:hAnsi="Cambria Math" w:cs="Times New Roman"/>
            <w:sz w:val="24"/>
            <w:szCs w:val="24"/>
          </w:rPr>
          <m:t>t</m:t>
        </m:r>
      </m:oMath>
      <w:r w:rsidRPr="00FA7746">
        <w:rPr>
          <w:rFonts w:ascii="Times New Roman" w:hAnsi="Times New Roman" w:cs="Times New Roman"/>
          <w:sz w:val="24"/>
          <w:szCs w:val="24"/>
        </w:rPr>
        <w:t xml:space="preserve">, and </w:t>
      </w:r>
      <m:oMath>
        <m:r>
          <w:rPr>
            <w:rFonts w:ascii="Cambria Math" w:hAnsi="Cambria Math" w:cs="Times New Roman"/>
            <w:sz w:val="24"/>
            <w:szCs w:val="24"/>
          </w:rPr>
          <m:t>τ</m:t>
        </m:r>
      </m:oMath>
      <w:r w:rsidRPr="00FA7746">
        <w:rPr>
          <w:rFonts w:ascii="Times New Roman" w:hAnsi="Times New Roman" w:cs="Times New Roman"/>
          <w:sz w:val="24"/>
          <w:szCs w:val="24"/>
        </w:rPr>
        <w:t>is the fuzzy-matching threshold. This procedure was applied to organism names, antibiotic names, specimen types, and susceptibility-result fields.</w:t>
      </w:r>
    </w:p>
    <w:p w14:paraId="0B3B962A"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3.4.2. Intrinsic-Resistance Checking</w:t>
      </w:r>
    </w:p>
    <w:p w14:paraId="07FC8BB9" w14:textId="142EC656" w:rsidR="00FA7746" w:rsidRPr="00FA7746" w:rsidRDefault="00FA7746" w:rsidP="002F4987">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denote the standardized organism for record </w:t>
      </w:r>
      <m:oMath>
        <m:r>
          <w:rPr>
            <w:rFonts w:ascii="Cambria Math" w:hAnsi="Cambria Math" w:cs="Times New Roman"/>
            <w:sz w:val="24"/>
            <w:szCs w:val="24"/>
          </w:rPr>
          <m:t>i</m:t>
        </m:r>
      </m:oMath>
      <w:r w:rsidRPr="00FA774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the standardized antibiotic,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the recorded susceptibility category, and </w:t>
      </w:r>
      <m:oMath>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int</m:t>
            </m:r>
          </m:sub>
        </m:sSub>
      </m:oMath>
      <w:r w:rsidRPr="00FA7746">
        <w:rPr>
          <w:rFonts w:ascii="Times New Roman" w:hAnsi="Times New Roman" w:cs="Times New Roman"/>
          <w:sz w:val="24"/>
          <w:szCs w:val="24"/>
        </w:rPr>
        <w:t>the rule base of organism-antibiotic pairs with known intrinsic resistance. The intrinsic-resistance inconsistency flag was defined as:</w:t>
      </w:r>
    </w:p>
    <w:p w14:paraId="7E88F01A" w14:textId="48E70ED3" w:rsidR="00FA7746" w:rsidRPr="00FA7746" w:rsidRDefault="00000000" w:rsidP="002F4987">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IRFlag</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e>
                  <m:e>
                    <m:r>
                      <m:rPr>
                        <m:nor/>
                      </m:rPr>
                      <w:rPr>
                        <w:rFonts w:ascii="Times New Roman" w:hAnsi="Times New Roman" w:cs="Times New Roman"/>
                        <w:sz w:val="24"/>
                        <w:szCs w:val="24"/>
                      </w:rPr>
                      <m:t xml:space="preserve">if </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int</m:t>
                        </m:r>
                      </m:sub>
                    </m:sSub>
                    <m:r>
                      <m:rPr>
                        <m:nor/>
                      </m:rPr>
                      <w:rPr>
                        <w:rFonts w:ascii="Times New Roman" w:hAnsi="Times New Roman" w:cs="Times New Roman"/>
                        <w:sz w:val="24"/>
                        <w:szCs w:val="24"/>
                      </w:rPr>
                      <m:t xml:space="preserve"> and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=S</m:t>
                    </m:r>
                  </m:e>
                </m:mr>
                <m:mr>
                  <m:e>
                    <m:r>
                      <w:rPr>
                        <w:rFonts w:ascii="Cambria Math" w:hAnsi="Cambria Math" w:cs="Times New Roman"/>
                        <w:sz w:val="24"/>
                        <w:szCs w:val="24"/>
                      </w:rPr>
                      <m:t>0,</m:t>
                    </m:r>
                  </m:e>
                  <m:e>
                    <m:r>
                      <m:rPr>
                        <m:nor/>
                      </m:rPr>
                      <w:rPr>
                        <w:rFonts w:ascii="Times New Roman" w:hAnsi="Times New Roman" w:cs="Times New Roman"/>
                        <w:sz w:val="24"/>
                        <w:szCs w:val="24"/>
                      </w:rPr>
                      <m:t>otherwise</m:t>
                    </m:r>
                    <m:r>
                      <m:rPr>
                        <m:sty m:val="p"/>
                      </m:rPr>
                      <w:rPr>
                        <w:rFonts w:ascii="Cambria Math" w:hAnsi="Cambria Math" w:cs="Times New Roman"/>
                        <w:sz w:val="24"/>
                        <w:szCs w:val="24"/>
                      </w:rPr>
                      <m:t>.</m:t>
                    </m:r>
                  </m:e>
                </m:mr>
              </m:m>
            </m:e>
          </m:d>
        </m:oMath>
      </m:oMathPara>
    </w:p>
    <w:p w14:paraId="6670029D" w14:textId="02BC9B09" w:rsidR="00FA7746" w:rsidRPr="00FA7746" w:rsidRDefault="00FA7746" w:rsidP="00590EA3">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m:rPr>
                <m:sty m:val="p"/>
              </m:rPr>
              <w:rPr>
                <w:rFonts w:ascii="Cambria Math" w:hAnsi="Cambria Math" w:cs="Times New Roman"/>
                <w:sz w:val="24"/>
                <w:szCs w:val="24"/>
              </w:rPr>
              <m:t>IRFlag</m:t>
            </m:r>
          </m:e>
          <m:sub>
            <m:r>
              <w:rPr>
                <w:rFonts w:ascii="Cambria Math" w:hAnsi="Cambria Math" w:cs="Times New Roman"/>
                <w:sz w:val="24"/>
                <w:szCs w:val="24"/>
              </w:rPr>
              <m:t>i</m:t>
            </m:r>
          </m:sub>
        </m:sSub>
        <m:r>
          <w:rPr>
            <w:rFonts w:ascii="Cambria Math" w:hAnsi="Cambria Math" w:cs="Times New Roman"/>
            <w:sz w:val="24"/>
            <w:szCs w:val="24"/>
          </w:rPr>
          <m:t>=1</m:t>
        </m:r>
      </m:oMath>
      <w:r w:rsidRPr="00FA7746">
        <w:rPr>
          <w:rFonts w:ascii="Times New Roman" w:hAnsi="Times New Roman" w:cs="Times New Roman"/>
          <w:sz w:val="24"/>
          <w:szCs w:val="24"/>
        </w:rPr>
        <w:t>, the record was flagged for review.</w:t>
      </w:r>
    </w:p>
    <w:p w14:paraId="722133E6"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3.4.3. REVIEW Flag Assignment</w:t>
      </w:r>
    </w:p>
    <w:p w14:paraId="7ED0E9D9" w14:textId="3D2A836F" w:rsidR="00FA7746" w:rsidRPr="00FA7746" w:rsidRDefault="00FA7746" w:rsidP="008F3B5C">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status</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denote the final preprocessing status of record </w:t>
      </w:r>
      <m:oMath>
        <m:r>
          <w:rPr>
            <w:rFonts w:ascii="Cambria Math" w:hAnsi="Cambria Math" w:cs="Times New Roman"/>
            <w:sz w:val="24"/>
            <w:szCs w:val="24"/>
          </w:rPr>
          <m:t>i</m:t>
        </m:r>
      </m:oMath>
      <w:r w:rsidRPr="00FA7746">
        <w:rPr>
          <w:rFonts w:ascii="Times New Roman" w:hAnsi="Times New Roman" w:cs="Times New Roman"/>
          <w:sz w:val="24"/>
          <w:szCs w:val="24"/>
        </w:rPr>
        <w:t>. A record was assigned REVIEW status if it met at least one of the following conditions: unresolved organism mapping, unresolved antibiotic mapping, unresolved specimen mapping, invalid or ambiguous susceptibility-result coding, or intrinsic-resistance inconsistency.</w:t>
      </w:r>
    </w:p>
    <w:p w14:paraId="2FA82E3B" w14:textId="59E0B7A3" w:rsidR="00FA7746" w:rsidRPr="00FA7746" w:rsidRDefault="00000000" w:rsidP="000A57F2">
      <w:pPr>
        <w:spacing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status</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REVIEW</m:t>
                    </m:r>
                    <m:r>
                      <w:rPr>
                        <w:rFonts w:ascii="Cambria Math" w:hAnsi="Cambria Math" w:cs="Times New Roman"/>
                        <w:sz w:val="24"/>
                        <w:szCs w:val="24"/>
                      </w:rPr>
                      <m:t>,</m:t>
                    </m:r>
                  </m:e>
                  <m:e>
                    <m:r>
                      <m:rPr>
                        <m:nor/>
                      </m:rPr>
                      <w:rPr>
                        <w:rFonts w:ascii="Times New Roman" w:hAnsi="Times New Roman" w:cs="Times New Roman"/>
                        <w:sz w:val="24"/>
                        <w:szCs w:val="24"/>
                      </w:rPr>
                      <m:t>if the record cannot be reliably interpreted</m:t>
                    </m:r>
                  </m:e>
                </m:mr>
                <m:mr>
                  <m:e>
                    <m:r>
                      <m:rPr>
                        <m:sty m:val="p"/>
                      </m:rPr>
                      <w:rPr>
                        <w:rFonts w:ascii="Cambria Math" w:hAnsi="Cambria Math" w:cs="Times New Roman"/>
                        <w:sz w:val="24"/>
                        <w:szCs w:val="24"/>
                      </w:rPr>
                      <m:t>KEEP</m:t>
                    </m:r>
                    <m:r>
                      <w:rPr>
                        <w:rFonts w:ascii="Cambria Math" w:hAnsi="Cambria Math" w:cs="Times New Roman"/>
                        <w:sz w:val="24"/>
                        <w:szCs w:val="24"/>
                      </w:rPr>
                      <m:t>,</m:t>
                    </m:r>
                  </m:e>
                  <m:e>
                    <m:r>
                      <m:rPr>
                        <m:nor/>
                      </m:rPr>
                      <w:rPr>
                        <w:rFonts w:ascii="Times New Roman" w:hAnsi="Times New Roman" w:cs="Times New Roman"/>
                        <w:sz w:val="24"/>
                        <w:szCs w:val="24"/>
                      </w:rPr>
                      <m:t>otherwise</m:t>
                    </m:r>
                    <m:r>
                      <m:rPr>
                        <m:sty m:val="p"/>
                      </m:rPr>
                      <w:rPr>
                        <w:rFonts w:ascii="Cambria Math" w:hAnsi="Cambria Math" w:cs="Times New Roman"/>
                        <w:sz w:val="24"/>
                        <w:szCs w:val="24"/>
                      </w:rPr>
                      <m:t>.</m:t>
                    </m:r>
                  </m:e>
                </m:mr>
              </m:m>
            </m:e>
          </m:d>
        </m:oMath>
      </m:oMathPara>
    </w:p>
    <w:p w14:paraId="620265C6" w14:textId="77777777" w:rsidR="00FA7746" w:rsidRPr="00FA7746" w:rsidRDefault="00FA7746" w:rsidP="0075367E">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supervised-learning dataset before duplicate reduction was therefore defined as:</w:t>
      </w:r>
    </w:p>
    <w:p w14:paraId="11073CB1" w14:textId="71962771" w:rsidR="00FA7746" w:rsidRPr="00FA7746" w:rsidRDefault="00000000" w:rsidP="000A57F2">
      <w:pPr>
        <w:spacing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sup</m:t>
              </m:r>
            </m:sub>
          </m:sSub>
          <m:r>
            <w:rPr>
              <w:rFonts w:ascii="Cambria Math" w:hAnsi="Cambria Math" w:cs="Times New Roman"/>
              <w:sz w:val="24"/>
              <w:szCs w:val="24"/>
            </w:rPr>
            <m:t>={i:</m:t>
          </m:r>
          <m:sSub>
            <m:sSubPr>
              <m:ctrlPr>
                <w:rPr>
                  <w:rFonts w:ascii="Cambria Math" w:hAnsi="Cambria Math" w:cs="Times New Roman"/>
                  <w:sz w:val="24"/>
                  <w:szCs w:val="24"/>
                </w:rPr>
              </m:ctrlPr>
            </m:sSubPr>
            <m:e>
              <m:r>
                <m:rPr>
                  <m:sty m:val="p"/>
                </m:rPr>
                <w:rPr>
                  <w:rFonts w:ascii="Cambria Math" w:hAnsi="Cambria Math" w:cs="Times New Roman"/>
                  <w:sz w:val="24"/>
                  <w:szCs w:val="24"/>
                </w:rPr>
                <m:t>status</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KEEP</m:t>
          </m:r>
          <m:r>
            <m:rPr>
              <m:nor/>
            </m:rPr>
            <w:rPr>
              <w:rFonts w:ascii="Times New Roman" w:hAnsi="Times New Roman" w:cs="Times New Roman"/>
              <w:sz w:val="24"/>
              <w:szCs w:val="24"/>
            </w:rPr>
            <m:t xml:space="preserve"> and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∈{S,I,R}}</m:t>
          </m:r>
          <m:r>
            <m:rPr>
              <m:sty m:val="p"/>
            </m:rPr>
            <w:rPr>
              <w:rFonts w:ascii="Cambria Math" w:hAnsi="Cambria Math" w:cs="Times New Roman"/>
              <w:sz w:val="24"/>
              <w:szCs w:val="24"/>
            </w:rPr>
            <m:t>.</m:t>
          </m:r>
        </m:oMath>
      </m:oMathPara>
    </w:p>
    <w:p w14:paraId="5DB00B05"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3.4.4. First-Isolate Rule for Duplicate Reduction</w:t>
      </w:r>
    </w:p>
    <w:p w14:paraId="45A3ABE9" w14:textId="7598A991" w:rsidR="00FA7746" w:rsidRPr="00FA7746" w:rsidRDefault="00FA7746" w:rsidP="00A61010">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Let record </w:t>
      </w:r>
      <m:oMath>
        <m:r>
          <w:rPr>
            <w:rFonts w:ascii="Cambria Math" w:hAnsi="Cambria Math" w:cs="Times New Roman"/>
            <w:sz w:val="24"/>
            <w:szCs w:val="24"/>
          </w:rPr>
          <m:t>i</m:t>
        </m:r>
      </m:oMath>
      <w:r w:rsidRPr="00FA7746">
        <w:rPr>
          <w:rFonts w:ascii="Times New Roman" w:hAnsi="Times New Roman" w:cs="Times New Roman"/>
          <w:sz w:val="24"/>
          <w:szCs w:val="24"/>
        </w:rPr>
        <w:t xml:space="preserve">contain patient identifier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 organism </w:t>
      </w: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 specimen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 and test date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w:r w:rsidRPr="00FA7746">
        <w:rPr>
          <w:rFonts w:ascii="Times New Roman" w:hAnsi="Times New Roman" w:cs="Times New Roman"/>
          <w:sz w:val="24"/>
          <w:szCs w:val="24"/>
        </w:rPr>
        <w:t>. The first-isolate indicator was defined as:</w:t>
      </w:r>
    </w:p>
    <w:p w14:paraId="3306F578" w14:textId="51093EA9" w:rsidR="00FA7746" w:rsidRPr="00FA7746" w:rsidRDefault="00000000" w:rsidP="00A61010">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e>
                  <m:e>
                    <m:r>
                      <m:rPr>
                        <m:nor/>
                      </m:rPr>
                      <w:rPr>
                        <w:rFonts w:ascii="Times New Roman" w:hAnsi="Times New Roman" w:cs="Times New Roman"/>
                        <w:sz w:val="24"/>
                        <w:szCs w:val="24"/>
                      </w:rPr>
                      <m:t xml:space="preserve">if there is no earlier retained record </m:t>
                    </m:r>
                    <m:r>
                      <w:rPr>
                        <w:rFonts w:ascii="Cambria Math" w:hAnsi="Cambria Math" w:cs="Times New Roman"/>
                        <w:sz w:val="24"/>
                        <w:szCs w:val="24"/>
                      </w:rPr>
                      <m:t>j</m:t>
                    </m:r>
                    <m:r>
                      <m:rPr>
                        <m:nor/>
                      </m:rPr>
                      <w:rPr>
                        <w:rFonts w:ascii="Times New Roman" w:hAnsi="Times New Roman" w:cs="Times New Roman"/>
                        <w:sz w:val="24"/>
                        <w:szCs w:val="24"/>
                      </w:rPr>
                      <m:t xml:space="preserve"> such that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w:rPr>
                        <w:rFonts w:ascii="Cambria Math" w:hAnsi="Cambria Math" w:cs="Times New Roman"/>
                        <w:sz w:val="24"/>
                        <w:szCs w:val="24"/>
                      </w:rPr>
                      <m:t>,</m:t>
                    </m:r>
                  </m:e>
                </m:mr>
                <m:mr>
                  <m:e/>
                  <m:e>
                    <m:r>
                      <m:rPr>
                        <m:nor/>
                      </m:rPr>
                      <w:rPr>
                        <w:rFonts w:ascii="Times New Roman" w:hAnsi="Times New Roman" w:cs="Times New Roman"/>
                        <w:sz w:val="24"/>
                        <w:szCs w:val="24"/>
                      </w:rPr>
                      <m:t xml:space="preserve">and </m:t>
                    </m:r>
                    <m:r>
                      <w:rPr>
                        <w:rFonts w:ascii="Cambria Math" w:hAnsi="Cambria Math" w:cs="Times New Roman"/>
                        <w:sz w:val="24"/>
                        <w:szCs w:val="24"/>
                      </w:rPr>
                      <m:t>0&lt;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r>
                      <w:rPr>
                        <w:rFonts w:ascii="Cambria Math" w:hAnsi="Cambria Math" w:cs="Times New Roman"/>
                        <w:sz w:val="24"/>
                        <w:szCs w:val="24"/>
                      </w:rPr>
                      <m:t>≤30</m:t>
                    </m:r>
                    <m:r>
                      <m:rPr>
                        <m:nor/>
                      </m:rPr>
                      <w:rPr>
                        <w:rFonts w:ascii="Times New Roman" w:hAnsi="Times New Roman" w:cs="Times New Roman"/>
                        <w:sz w:val="24"/>
                        <w:szCs w:val="24"/>
                      </w:rPr>
                      <m:t xml:space="preserve"> days</m:t>
                    </m:r>
                  </m:e>
                </m:mr>
                <m:mr>
                  <m:e>
                    <m:r>
                      <w:rPr>
                        <w:rFonts w:ascii="Cambria Math" w:hAnsi="Cambria Math" w:cs="Times New Roman"/>
                        <w:sz w:val="24"/>
                        <w:szCs w:val="24"/>
                      </w:rPr>
                      <m:t>0,</m:t>
                    </m:r>
                  </m:e>
                  <m:e>
                    <m:r>
                      <m:rPr>
                        <m:nor/>
                      </m:rPr>
                      <w:rPr>
                        <w:rFonts w:ascii="Times New Roman" w:hAnsi="Times New Roman" w:cs="Times New Roman"/>
                        <w:sz w:val="24"/>
                        <w:szCs w:val="24"/>
                      </w:rPr>
                      <m:t>otherwise</m:t>
                    </m:r>
                    <m:r>
                      <m:rPr>
                        <m:sty m:val="p"/>
                      </m:rPr>
                      <w:rPr>
                        <w:rFonts w:ascii="Cambria Math" w:hAnsi="Cambria Math" w:cs="Times New Roman"/>
                        <w:sz w:val="24"/>
                        <w:szCs w:val="24"/>
                      </w:rPr>
                      <m:t>.</m:t>
                    </m:r>
                  </m:e>
                </m:mr>
              </m:m>
            </m:e>
          </m:d>
        </m:oMath>
      </m:oMathPara>
    </w:p>
    <w:p w14:paraId="2D03BEAF" w14:textId="77777777" w:rsidR="00FA7746" w:rsidRPr="00FA7746" w:rsidRDefault="00FA7746" w:rsidP="004906E1">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 deduplicated dataset was then defined as:</w:t>
      </w:r>
    </w:p>
    <w:p w14:paraId="03B6FAFF" w14:textId="7A097DD3" w:rsidR="00FA7746" w:rsidRPr="00FA7746" w:rsidRDefault="00000000" w:rsidP="004906E1">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dedup</m:t>
              </m:r>
            </m:sub>
          </m:s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sup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=1}</m:t>
          </m:r>
          <m:r>
            <m:rPr>
              <m:sty m:val="p"/>
            </m:rPr>
            <w:rPr>
              <w:rFonts w:ascii="Cambria Math" w:hAnsi="Cambria Math" w:cs="Times New Roman"/>
              <w:sz w:val="24"/>
              <w:szCs w:val="24"/>
            </w:rPr>
            <m:t>.</m:t>
          </m:r>
        </m:oMath>
      </m:oMathPara>
    </w:p>
    <w:p w14:paraId="1DC7BDB0" w14:textId="77777777" w:rsidR="00FA7746" w:rsidRPr="00FA7746" w:rsidRDefault="00FA7746" w:rsidP="008E6543">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In this study, the first-isolate rule was operationally defined as retaining only the first record within 30 days for the same patient-organism-specimen combination to reduce bias from repeated cultures from the same patient.</w:t>
      </w:r>
    </w:p>
    <w:p w14:paraId="12C4D37F"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3.4.5. Final Dataset for Modeling</w:t>
      </w:r>
    </w:p>
    <w:p w14:paraId="23F25859" w14:textId="77777777" w:rsidR="00FA7746" w:rsidRPr="00FA7746" w:rsidRDefault="00FA7746" w:rsidP="00457357">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final analysis dataset was defined as:</w:t>
      </w:r>
    </w:p>
    <w:p w14:paraId="2334246D" w14:textId="631B67F1" w:rsidR="00FA7746" w:rsidRPr="00FA7746" w:rsidRDefault="00000000" w:rsidP="00457357">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final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dedup</m:t>
              </m:r>
            </m:sub>
          </m:sSub>
          <m:r>
            <m:rPr>
              <m:sty m:val="p"/>
            </m:rPr>
            <w:rPr>
              <w:rFonts w:ascii="Cambria Math" w:hAnsi="Cambria Math" w:cs="Times New Roman"/>
              <w:sz w:val="24"/>
              <w:szCs w:val="24"/>
            </w:rPr>
            <m:t>.</m:t>
          </m:r>
        </m:oMath>
      </m:oMathPara>
    </w:p>
    <w:p w14:paraId="22663820" w14:textId="77777777" w:rsidR="00FA7746" w:rsidRPr="00FA7746" w:rsidRDefault="00FA7746" w:rsidP="00457357">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explanatory feature vector for each record was:</w:t>
      </w:r>
    </w:p>
    <w:p w14:paraId="4683E4E3" w14:textId="26159CE1" w:rsidR="00FA7746" w:rsidRPr="00FA7746" w:rsidRDefault="00FA7746" w:rsidP="00457357">
      <w:pPr>
        <w:spacing w:after="0" w:line="480" w:lineRule="auto"/>
        <w:rPr>
          <w:rFonts w:ascii="Times New Roman" w:hAnsi="Times New Roman" w:cs="Times New Roman"/>
          <w:sz w:val="24"/>
          <w:szCs w:val="24"/>
        </w:rPr>
      </w:pPr>
      <m:oMathPara>
        <m:oMath>
          <m:r>
            <w:rPr>
              <w:rFonts w:ascii="Cambria Math" w:hAnsi="Cambria Math" w:cs="Times New Roman"/>
              <w:sz w:val="24"/>
              <w:szCs w:val="24"/>
            </w:rPr>
            <m:t>X=[</m:t>
          </m:r>
          <m:r>
            <m:rPr>
              <m:nor/>
            </m:rPr>
            <w:rPr>
              <w:rFonts w:ascii="Times New Roman" w:hAnsi="Times New Roman" w:cs="Times New Roman"/>
              <w:sz w:val="24"/>
              <w:szCs w:val="24"/>
            </w:rPr>
            <m:t>organism</m:t>
          </m:r>
          <m:r>
            <w:rPr>
              <w:rFonts w:ascii="Cambria Math" w:hAnsi="Cambria Math" w:cs="Times New Roman"/>
              <w:sz w:val="24"/>
              <w:szCs w:val="24"/>
            </w:rPr>
            <m:t>,</m:t>
          </m:r>
          <m:r>
            <m:rPr>
              <m:nor/>
            </m:rPr>
            <w:rPr>
              <w:rFonts w:ascii="Times New Roman" w:hAnsi="Times New Roman" w:cs="Times New Roman"/>
              <w:sz w:val="24"/>
              <w:szCs w:val="24"/>
            </w:rPr>
            <m:t>antibiotic</m:t>
          </m:r>
          <m:r>
            <w:rPr>
              <w:rFonts w:ascii="Cambria Math" w:hAnsi="Cambria Math" w:cs="Times New Roman"/>
              <w:sz w:val="24"/>
              <w:szCs w:val="24"/>
            </w:rPr>
            <m:t>,</m:t>
          </m:r>
          <m:r>
            <m:rPr>
              <m:nor/>
            </m:rPr>
            <w:rPr>
              <w:rFonts w:ascii="Times New Roman" w:hAnsi="Times New Roman" w:cs="Times New Roman"/>
              <w:sz w:val="24"/>
              <w:szCs w:val="24"/>
            </w:rPr>
            <m:t>specimen</m:t>
          </m:r>
          <m:r>
            <w:rPr>
              <w:rFonts w:ascii="Cambria Math" w:hAnsi="Cambria Math" w:cs="Times New Roman"/>
              <w:sz w:val="24"/>
              <w:szCs w:val="24"/>
            </w:rPr>
            <m:t>,</m:t>
          </m:r>
          <m:r>
            <m:rPr>
              <m:nor/>
            </m:rPr>
            <w:rPr>
              <w:rFonts w:ascii="Times New Roman" w:hAnsi="Times New Roman" w:cs="Times New Roman"/>
              <w:sz w:val="24"/>
              <w:szCs w:val="24"/>
            </w:rPr>
            <m:t>sex</m:t>
          </m:r>
          <m:r>
            <w:rPr>
              <w:rFonts w:ascii="Cambria Math" w:hAnsi="Cambria Math" w:cs="Times New Roman"/>
              <w:sz w:val="24"/>
              <w:szCs w:val="24"/>
            </w:rPr>
            <m:t>,</m:t>
          </m:r>
          <m:r>
            <m:rPr>
              <m:nor/>
            </m:rPr>
            <w:rPr>
              <w:rFonts w:ascii="Times New Roman" w:hAnsi="Times New Roman" w:cs="Times New Roman"/>
              <w:sz w:val="24"/>
              <w:szCs w:val="24"/>
            </w:rPr>
            <m:t>age</m:t>
          </m:r>
          <m:r>
            <w:rPr>
              <w:rFonts w:ascii="Cambria Math" w:hAnsi="Cambria Math" w:cs="Times New Roman"/>
              <w:sz w:val="24"/>
              <w:szCs w:val="24"/>
            </w:rPr>
            <m:t>,</m:t>
          </m:r>
          <m:r>
            <m:rPr>
              <m:nor/>
            </m:rPr>
            <w:rPr>
              <w:rFonts w:ascii="Times New Roman" w:hAnsi="Times New Roman" w:cs="Times New Roman"/>
              <w:sz w:val="24"/>
              <w:szCs w:val="24"/>
            </w:rPr>
            <m:t>ward</m:t>
          </m:r>
          <m:r>
            <w:rPr>
              <w:rFonts w:ascii="Cambria Math" w:hAnsi="Cambria Math" w:cs="Times New Roman"/>
              <w:sz w:val="24"/>
              <w:szCs w:val="24"/>
            </w:rPr>
            <m:t>],</m:t>
          </m:r>
        </m:oMath>
      </m:oMathPara>
    </w:p>
    <w:p w14:paraId="4CF0BA52" w14:textId="77777777" w:rsidR="00FA7746" w:rsidRPr="00FA7746" w:rsidRDefault="00FA7746" w:rsidP="00457357">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and the target variable was:</w:t>
      </w:r>
    </w:p>
    <w:p w14:paraId="4A28BE2B" w14:textId="224738FE" w:rsidR="00FA7746" w:rsidRPr="00FA7746" w:rsidRDefault="00FA7746" w:rsidP="00457357">
      <w:pPr>
        <w:spacing w:after="0" w:line="480" w:lineRule="auto"/>
        <w:rPr>
          <w:rFonts w:ascii="Times New Roman" w:hAnsi="Times New Roman" w:cs="Times New Roman"/>
          <w:sz w:val="24"/>
          <w:szCs w:val="24"/>
        </w:rPr>
      </w:pPr>
      <m:oMathPara>
        <m:oMath>
          <m:r>
            <w:rPr>
              <w:rFonts w:ascii="Cambria Math" w:hAnsi="Cambria Math" w:cs="Times New Roman"/>
              <w:sz w:val="24"/>
              <w:szCs w:val="24"/>
            </w:rPr>
            <m:t>y∈{S,I,R}</m:t>
          </m:r>
          <m:r>
            <m:rPr>
              <m:sty m:val="p"/>
            </m:rPr>
            <w:rPr>
              <w:rFonts w:ascii="Cambria Math" w:hAnsi="Cambria Math" w:cs="Times New Roman"/>
              <w:sz w:val="24"/>
              <w:szCs w:val="24"/>
            </w:rPr>
            <m:t>.</m:t>
          </m:r>
        </m:oMath>
      </m:oMathPara>
    </w:p>
    <w:p w14:paraId="1814646B" w14:textId="77777777" w:rsidR="00FA7746" w:rsidRPr="00FA7746" w:rsidRDefault="00FA7746" w:rsidP="00F5401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 study used the final categorical AST interpretations (S/I/R) recorded by the hospital laboratory as the prediction target. Because the study period spanned 2011 to 2020, breakpoint criteria may have varied over time. The study did not retrospectively recalculate AST categories using a single breakpoint version across the full study period; instead, it used the categorical interpretations recorded in the hospital dataset at the time of testing. For contextual reference, the study period broadly spans the CLSI M100 editions from M100-S21 (2011) to the 30th edition (2020) (CLSI, 2011, 2020). In this study, category I denotes Intermediate.</w:t>
      </w:r>
    </w:p>
    <w:p w14:paraId="615D2CD1"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3.5. Handling Class Imbalance</w:t>
      </w:r>
    </w:p>
    <w:p w14:paraId="4E8D46DC" w14:textId="72946C50" w:rsidR="00FA7746" w:rsidRPr="00FA7746" w:rsidRDefault="00FA7746" w:rsidP="0054412E">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Because class </w:t>
      </w:r>
      <m:oMath>
        <m:r>
          <w:rPr>
            <w:rFonts w:ascii="Cambria Math" w:hAnsi="Cambria Math" w:cs="Times New Roman"/>
            <w:sz w:val="24"/>
            <w:szCs w:val="24"/>
          </w:rPr>
          <m:t>I</m:t>
        </m:r>
      </m:oMath>
      <w:r w:rsidRPr="00FA7746">
        <w:rPr>
          <w:rFonts w:ascii="Times New Roman" w:hAnsi="Times New Roman" w:cs="Times New Roman"/>
          <w:sz w:val="24"/>
          <w:szCs w:val="24"/>
        </w:rPr>
        <w:t xml:space="preserve">was substantially underrepresented relative to classes </w:t>
      </w:r>
      <m:oMath>
        <m:r>
          <w:rPr>
            <w:rFonts w:ascii="Cambria Math" w:hAnsi="Cambria Math" w:cs="Times New Roman"/>
            <w:sz w:val="24"/>
            <w:szCs w:val="24"/>
          </w:rPr>
          <m:t>S</m:t>
        </m:r>
      </m:oMath>
      <w:r w:rsidRPr="00FA7746">
        <w:rPr>
          <w:rFonts w:ascii="Times New Roman" w:hAnsi="Times New Roman" w:cs="Times New Roman"/>
          <w:sz w:val="24"/>
          <w:szCs w:val="24"/>
        </w:rPr>
        <w:t xml:space="preserve">and </w:t>
      </w:r>
      <m:oMath>
        <m:r>
          <w:rPr>
            <w:rFonts w:ascii="Cambria Math" w:hAnsi="Cambria Math" w:cs="Times New Roman"/>
            <w:sz w:val="24"/>
            <w:szCs w:val="24"/>
          </w:rPr>
          <m:t>R</m:t>
        </m:r>
      </m:oMath>
      <w:r w:rsidRPr="00FA7746">
        <w:rPr>
          <w:rFonts w:ascii="Times New Roman" w:hAnsi="Times New Roman" w:cs="Times New Roman"/>
          <w:sz w:val="24"/>
          <w:szCs w:val="24"/>
        </w:rPr>
        <w:t xml:space="preserve">, CTGAN (Conditional Tabular Generative Adversarial Network) was used to generate synthetic training data to mitigate class imbalance. CTGAN was trained only on the </w:t>
      </w:r>
      <w:r w:rsidRPr="00FA7746">
        <w:rPr>
          <w:rFonts w:ascii="Times New Roman" w:hAnsi="Times New Roman" w:cs="Times New Roman"/>
          <w:sz w:val="24"/>
          <w:szCs w:val="24"/>
        </w:rPr>
        <w:lastRenderedPageBreak/>
        <w:t>training partition and was not applied to the validation or test sets. To ensure fair comparison across feature-ablation settings, CTGAN was trained once on the full-feature training data before feature removal, and the resulting synthetic records were then subsetted to the relevant feature sets for each experimental setting.</w:t>
      </w:r>
    </w:p>
    <w:p w14:paraId="1CE44635"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3.6. Experimental Design</w:t>
      </w:r>
    </w:p>
    <w:p w14:paraId="7C662263" w14:textId="77777777" w:rsidR="00FA7746" w:rsidRPr="00FA7746" w:rsidRDefault="00FA7746" w:rsidP="006E0376">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After preprocessing and eligibility filtering, 643,230 records remained for analysis. To prevent data leakage, data partitioning was not performed by random row-wise splitting. Instead, a group-based split using patient ID was applied so that all records belonging to the same patient were assigned to only one subset and were not distributed across the training, validation, and test sets.</w:t>
      </w:r>
    </w:p>
    <w:p w14:paraId="75422693" w14:textId="77777777" w:rsidR="00FA7746" w:rsidRPr="00FA7746" w:rsidRDefault="00FA7746" w:rsidP="006E0376">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 dataset was divided into training, validation, and test sets in a 70%, 10%, and 20% ratio, respectively, resulting in 450,261 training records, 64,323 validation records, and 128,646 test records. CTGAN-based augmentation was applied only to the training set, whereas the validation and test sets were retained as real-world data.</w:t>
      </w:r>
    </w:p>
    <w:p w14:paraId="05CEC3ED" w14:textId="77777777" w:rsidR="00FA7746" w:rsidRPr="00FA7746" w:rsidRDefault="00FA7746" w:rsidP="007C0B5A">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To examine the contribution of feature groups, three experimental settings were defined as follows:</w:t>
      </w:r>
    </w:p>
    <w:p w14:paraId="683F0B93" w14:textId="77777777" w:rsidR="00FA7746" w:rsidRPr="00FA7746" w:rsidRDefault="00FA7746" w:rsidP="000A57F2">
      <w:pPr>
        <w:numPr>
          <w:ilvl w:val="0"/>
          <w:numId w:val="1"/>
        </w:numPr>
        <w:spacing w:line="480" w:lineRule="auto"/>
        <w:rPr>
          <w:rFonts w:ascii="Times New Roman" w:hAnsi="Times New Roman" w:cs="Times New Roman"/>
          <w:sz w:val="24"/>
          <w:szCs w:val="24"/>
        </w:rPr>
      </w:pPr>
      <w:r w:rsidRPr="00FA7746">
        <w:rPr>
          <w:rFonts w:ascii="Times New Roman" w:hAnsi="Times New Roman" w:cs="Times New Roman"/>
          <w:b/>
          <w:bCs/>
          <w:sz w:val="24"/>
          <w:szCs w:val="24"/>
        </w:rPr>
        <w:t>Setting 1:</w:t>
      </w:r>
      <w:r w:rsidRPr="00FA7746">
        <w:rPr>
          <w:rFonts w:ascii="Times New Roman" w:hAnsi="Times New Roman" w:cs="Times New Roman"/>
          <w:sz w:val="24"/>
          <w:szCs w:val="24"/>
        </w:rPr>
        <w:t xml:space="preserve"> organism + antibiotic + specimen + sex + age + ward</w:t>
      </w:r>
    </w:p>
    <w:p w14:paraId="6F96C387" w14:textId="77777777" w:rsidR="00946AF9" w:rsidRPr="00946AF9" w:rsidRDefault="00FA7746" w:rsidP="00946AF9">
      <w:pPr>
        <w:numPr>
          <w:ilvl w:val="0"/>
          <w:numId w:val="1"/>
        </w:numPr>
        <w:spacing w:line="480" w:lineRule="auto"/>
        <w:rPr>
          <w:rFonts w:ascii="Times New Roman" w:hAnsi="Times New Roman" w:cs="Times New Roman"/>
          <w:sz w:val="24"/>
          <w:szCs w:val="24"/>
        </w:rPr>
      </w:pPr>
      <w:r w:rsidRPr="00FA7746">
        <w:rPr>
          <w:rFonts w:ascii="Times New Roman" w:hAnsi="Times New Roman" w:cs="Times New Roman"/>
          <w:b/>
          <w:bCs/>
          <w:sz w:val="24"/>
          <w:szCs w:val="24"/>
        </w:rPr>
        <w:t>Setting 2:</w:t>
      </w:r>
      <w:r w:rsidRPr="00FA7746">
        <w:rPr>
          <w:rFonts w:ascii="Times New Roman" w:hAnsi="Times New Roman" w:cs="Times New Roman"/>
          <w:sz w:val="24"/>
          <w:szCs w:val="24"/>
        </w:rPr>
        <w:t xml:space="preserve"> antibiotic + specimen + sex + age + ward</w:t>
      </w:r>
    </w:p>
    <w:p w14:paraId="40C5F9AA" w14:textId="1B09377F" w:rsidR="00FA7746" w:rsidRPr="00946AF9" w:rsidRDefault="00FA7746" w:rsidP="00946AF9">
      <w:pPr>
        <w:numPr>
          <w:ilvl w:val="0"/>
          <w:numId w:val="1"/>
        </w:numPr>
        <w:spacing w:line="480" w:lineRule="auto"/>
        <w:rPr>
          <w:rFonts w:ascii="Times New Roman" w:hAnsi="Times New Roman" w:cs="Times New Roman"/>
          <w:sz w:val="24"/>
          <w:szCs w:val="24"/>
        </w:rPr>
      </w:pPr>
      <w:r w:rsidRPr="00946AF9">
        <w:rPr>
          <w:rFonts w:ascii="Times New Roman" w:hAnsi="Times New Roman" w:cs="Times New Roman"/>
          <w:b/>
          <w:bCs/>
          <w:sz w:val="24"/>
          <w:szCs w:val="24"/>
        </w:rPr>
        <w:t>Setting 3:</w:t>
      </w:r>
      <w:r w:rsidRPr="00946AF9">
        <w:rPr>
          <w:rFonts w:ascii="Times New Roman" w:hAnsi="Times New Roman" w:cs="Times New Roman"/>
          <w:sz w:val="24"/>
          <w:szCs w:val="24"/>
        </w:rPr>
        <w:t xml:space="preserve"> </w:t>
      </w:r>
      <w:r w:rsidR="001A6209" w:rsidRPr="00FA7746">
        <w:rPr>
          <w:rFonts w:ascii="Times New Roman" w:hAnsi="Times New Roman" w:cs="Times New Roman"/>
          <w:sz w:val="24"/>
          <w:szCs w:val="24"/>
        </w:rPr>
        <w:t>antibiotic +</w:t>
      </w:r>
      <w:r w:rsidRPr="00E4633D">
        <w:rPr>
          <w:rFonts w:ascii="Times New Roman" w:hAnsi="Times New Roman" w:cs="Times New Roman"/>
          <w:sz w:val="24"/>
          <w:szCs w:val="24"/>
        </w:rPr>
        <w:t>specimen + sex + age</w:t>
      </w:r>
    </w:p>
    <w:p w14:paraId="0607D45D" w14:textId="77777777" w:rsidR="00FA7746" w:rsidRPr="00864FE6" w:rsidRDefault="00FA7746" w:rsidP="000F22C4">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This sequential feature-removal design made it possible to assess the contribution of microbiology variables to model performance.</w:t>
      </w:r>
    </w:p>
    <w:p w14:paraId="174FFFD4" w14:textId="77777777" w:rsidR="00B81443" w:rsidRPr="00FA7746" w:rsidRDefault="00B81443" w:rsidP="000F22C4">
      <w:pPr>
        <w:spacing w:line="480" w:lineRule="auto"/>
        <w:ind w:firstLine="720"/>
        <w:jc w:val="thaiDistribute"/>
        <w:rPr>
          <w:rFonts w:ascii="Times New Roman" w:hAnsi="Times New Roman" w:cs="Times New Roman"/>
          <w:sz w:val="24"/>
          <w:szCs w:val="24"/>
        </w:rPr>
      </w:pPr>
    </w:p>
    <w:p w14:paraId="756AB2F2"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lastRenderedPageBreak/>
        <w:t>3.7. Machine-Learning Models</w:t>
      </w:r>
    </w:p>
    <w:p w14:paraId="195FF2D7" w14:textId="12275737" w:rsidR="00FA7746" w:rsidRPr="00FA7746" w:rsidRDefault="00FA7746" w:rsidP="0095128F">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This study compared four tree-based machine-learning models: Decision Tree, Random Forest, XGBoost, and CatBoost. Let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denote the feature vector of sample </w:t>
      </w:r>
      <m:oMath>
        <m:r>
          <w:rPr>
            <w:rFonts w:ascii="Cambria Math" w:hAnsi="Cambria Math" w:cs="Times New Roman"/>
            <w:sz w:val="24"/>
            <w:szCs w:val="24"/>
          </w:rPr>
          <m:t>i</m:t>
        </m:r>
      </m:oMath>
      <w:r w:rsidRPr="00FA7746">
        <w:rPr>
          <w:rFonts w:ascii="Times New Roman" w:hAnsi="Times New Roman" w:cs="Times New Roman"/>
          <w:sz w:val="24"/>
          <w:szCs w:val="24"/>
        </w:rPr>
        <w:t>. The final class prediction of each model can be expressed in general form as:</w:t>
      </w:r>
    </w:p>
    <w:p w14:paraId="10F3DE93" w14:textId="21C885A6" w:rsidR="00FA7746" w:rsidRPr="00FA7746" w:rsidRDefault="00000000" w:rsidP="0095128F">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c∈{S,I,R}</m:t>
              </m:r>
            </m:lim>
          </m:limLow>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t>
          </m:r>
        </m:oMath>
      </m:oMathPara>
    </w:p>
    <w:p w14:paraId="76AE7747"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3.7.1. Decision Tree</w:t>
      </w:r>
    </w:p>
    <w:p w14:paraId="1E22E2BE" w14:textId="77777777" w:rsidR="00FA7746" w:rsidRPr="00FA7746" w:rsidRDefault="00FA7746" w:rsidP="00B27C07">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Decision Tree selects splits by maximizing impurity reduction. In this study, Gini impurity was used:</w:t>
      </w:r>
    </w:p>
    <w:p w14:paraId="3B6167EB" w14:textId="320F4709" w:rsidR="00FA7746" w:rsidRPr="00FA7746" w:rsidRDefault="00FA7746" w:rsidP="00B27C07">
      <w:pPr>
        <w:spacing w:after="0" w:line="480" w:lineRule="auto"/>
        <w:rPr>
          <w:rFonts w:ascii="Times New Roman" w:hAnsi="Times New Roman" w:cs="Times New Roman"/>
          <w:sz w:val="24"/>
          <w:szCs w:val="24"/>
        </w:rPr>
      </w:pPr>
      <m:oMathPara>
        <m:oMath>
          <m:r>
            <w:rPr>
              <w:rFonts w:ascii="Cambria Math" w:hAnsi="Cambria Math" w:cs="Times New Roman"/>
              <w:sz w:val="24"/>
              <w:szCs w:val="24"/>
            </w:rPr>
            <m:t>G(t)=1-</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c∈{S,I,R}</m:t>
              </m:r>
            </m:sub>
            <m:sup/>
            <m:e>
              <m:r>
                <w:rPr>
                  <w:rFonts w:ascii="Cambria Math" w:hAnsi="Cambria Math" w:cs="Times New Roman"/>
                  <w:sz w:val="24"/>
                  <w:szCs w:val="24"/>
                </w:rPr>
                <m:t>p(c∣t</m:t>
              </m:r>
            </m:e>
          </m:nary>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oMath>
      </m:oMathPara>
    </w:p>
    <w:p w14:paraId="22DC747F" w14:textId="00272E63" w:rsidR="00FA7746" w:rsidRPr="00FA7746" w:rsidRDefault="00FA7746" w:rsidP="00F35085">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where </w:t>
      </w:r>
      <m:oMath>
        <m:r>
          <w:rPr>
            <w:rFonts w:ascii="Cambria Math" w:hAnsi="Cambria Math" w:cs="Times New Roman"/>
            <w:sz w:val="24"/>
            <w:szCs w:val="24"/>
          </w:rPr>
          <m:t>p(c∣t)</m:t>
        </m:r>
      </m:oMath>
      <w:r w:rsidRPr="00FA7746">
        <w:rPr>
          <w:rFonts w:ascii="Times New Roman" w:hAnsi="Times New Roman" w:cs="Times New Roman"/>
          <w:sz w:val="24"/>
          <w:szCs w:val="24"/>
        </w:rPr>
        <w:t xml:space="preserve">is the proportion of class </w:t>
      </w:r>
      <m:oMath>
        <m:r>
          <w:rPr>
            <w:rFonts w:ascii="Cambria Math" w:hAnsi="Cambria Math" w:cs="Times New Roman"/>
            <w:sz w:val="24"/>
            <w:szCs w:val="24"/>
          </w:rPr>
          <m:t>c</m:t>
        </m:r>
      </m:oMath>
      <w:r w:rsidRPr="00FA7746">
        <w:rPr>
          <w:rFonts w:ascii="Times New Roman" w:hAnsi="Times New Roman" w:cs="Times New Roman"/>
          <w:sz w:val="24"/>
          <w:szCs w:val="24"/>
        </w:rPr>
        <w:t xml:space="preserve">at node </w:t>
      </w:r>
      <m:oMath>
        <m:r>
          <w:rPr>
            <w:rFonts w:ascii="Cambria Math" w:hAnsi="Cambria Math" w:cs="Times New Roman"/>
            <w:sz w:val="24"/>
            <w:szCs w:val="24"/>
          </w:rPr>
          <m:t>t</m:t>
        </m:r>
      </m:oMath>
      <w:r w:rsidRPr="00FA7746">
        <w:rPr>
          <w:rFonts w:ascii="Times New Roman" w:hAnsi="Times New Roman" w:cs="Times New Roman"/>
          <w:sz w:val="24"/>
          <w:szCs w:val="24"/>
        </w:rPr>
        <w:t xml:space="preserve">. The impurity reduction obtained by split </w:t>
      </w:r>
      <m:oMath>
        <m:r>
          <w:rPr>
            <w:rFonts w:ascii="Cambria Math" w:hAnsi="Cambria Math" w:cs="Times New Roman"/>
            <w:sz w:val="24"/>
            <w:szCs w:val="24"/>
          </w:rPr>
          <m:t>s</m:t>
        </m:r>
      </m:oMath>
      <w:r w:rsidRPr="00FA7746">
        <w:rPr>
          <w:rFonts w:ascii="Times New Roman" w:hAnsi="Times New Roman" w:cs="Times New Roman"/>
          <w:sz w:val="24"/>
          <w:szCs w:val="24"/>
        </w:rPr>
        <w:t xml:space="preserve">at node </w:t>
      </w:r>
      <m:oMath>
        <m:r>
          <w:rPr>
            <w:rFonts w:ascii="Cambria Math" w:hAnsi="Cambria Math" w:cs="Times New Roman"/>
            <w:sz w:val="24"/>
            <w:szCs w:val="24"/>
          </w:rPr>
          <m:t>t</m:t>
        </m:r>
      </m:oMath>
      <w:r w:rsidRPr="00FA7746">
        <w:rPr>
          <w:rFonts w:ascii="Times New Roman" w:hAnsi="Times New Roman" w:cs="Times New Roman"/>
          <w:sz w:val="24"/>
          <w:szCs w:val="24"/>
        </w:rPr>
        <w:t>was defined as:</w:t>
      </w:r>
    </w:p>
    <w:p w14:paraId="7E6DE29B" w14:textId="03A61D45" w:rsidR="00FA7746" w:rsidRPr="00FA7746" w:rsidRDefault="00FA7746" w:rsidP="00F35085">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G(s,t)=G(t)-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den>
          </m:f>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den>
          </m:f>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m:t>
          </m:r>
        </m:oMath>
      </m:oMathPara>
    </w:p>
    <w:p w14:paraId="589B5688" w14:textId="5ACE6024" w:rsidR="00FA7746" w:rsidRPr="00FA7746" w:rsidRDefault="00FA7746" w:rsidP="00815176">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oMath>
      <w:r w:rsidRPr="00FA7746">
        <w:rPr>
          <w:rFonts w:ascii="Times New Roman" w:hAnsi="Times New Roman" w:cs="Times New Roman"/>
          <w:sz w:val="24"/>
          <w:szCs w:val="24"/>
        </w:rPr>
        <w:t xml:space="preserve">is the number of samples at node </w:t>
      </w:r>
      <m:oMath>
        <m:r>
          <w:rPr>
            <w:rFonts w:ascii="Cambria Math" w:hAnsi="Cambria Math" w:cs="Times New Roman"/>
            <w:sz w:val="24"/>
            <w:szCs w:val="24"/>
          </w:rPr>
          <m:t>t</m:t>
        </m:r>
      </m:oMath>
      <w:r w:rsidRPr="00FA7746">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oMath>
      <w:r w:rsidRPr="00FA7746">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oMath>
      <w:r w:rsidRPr="00FA7746">
        <w:rPr>
          <w:rFonts w:ascii="Times New Roman" w:hAnsi="Times New Roman" w:cs="Times New Roman"/>
          <w:sz w:val="24"/>
          <w:szCs w:val="24"/>
        </w:rPr>
        <w:t>are the sample counts in the left and right child nodes, respectively.</w:t>
      </w:r>
    </w:p>
    <w:p w14:paraId="5A5393EB"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3.7.2. Random Forest</w:t>
      </w:r>
    </w:p>
    <w:p w14:paraId="535E8985" w14:textId="77777777" w:rsidR="00FA7746" w:rsidRPr="00FA7746" w:rsidRDefault="00FA7746" w:rsidP="00B00321">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Random Forest is an ensemble of multiple decision trees. The final prediction is obtained by majority vote:</w:t>
      </w:r>
    </w:p>
    <w:p w14:paraId="6CCE836A" w14:textId="04932158" w:rsidR="00FA7746" w:rsidRPr="00FA7746" w:rsidRDefault="00000000" w:rsidP="00B00321">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mode</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m:oMathPara>
    </w:p>
    <w:p w14:paraId="49945A04" w14:textId="5063556F" w:rsidR="00FA7746" w:rsidRPr="00FA7746" w:rsidRDefault="00FA7746" w:rsidP="007E12DE">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w:r w:rsidRPr="00FA7746">
        <w:rPr>
          <w:rFonts w:ascii="Times New Roman" w:hAnsi="Times New Roman" w:cs="Times New Roman"/>
          <w:sz w:val="24"/>
          <w:szCs w:val="24"/>
        </w:rPr>
        <w:t xml:space="preserve">is the class predicted by tree </w:t>
      </w:r>
      <m:oMath>
        <m:r>
          <w:rPr>
            <w:rFonts w:ascii="Cambria Math" w:hAnsi="Cambria Math" w:cs="Times New Roman"/>
            <w:sz w:val="24"/>
            <w:szCs w:val="24"/>
          </w:rPr>
          <m:t>b</m:t>
        </m:r>
      </m:oMath>
      <w:r w:rsidRPr="00FA7746">
        <w:rPr>
          <w:rFonts w:ascii="Times New Roman" w:hAnsi="Times New Roman" w:cs="Times New Roman"/>
          <w:sz w:val="24"/>
          <w:szCs w:val="24"/>
        </w:rPr>
        <w:t xml:space="preserve">, and </w:t>
      </w:r>
      <m:oMath>
        <m:r>
          <w:rPr>
            <w:rFonts w:ascii="Cambria Math" w:hAnsi="Cambria Math" w:cs="Times New Roman"/>
            <w:sz w:val="24"/>
            <w:szCs w:val="24"/>
          </w:rPr>
          <m:t>B</m:t>
        </m:r>
      </m:oMath>
      <w:r w:rsidRPr="00FA7746">
        <w:rPr>
          <w:rFonts w:ascii="Times New Roman" w:hAnsi="Times New Roman" w:cs="Times New Roman"/>
          <w:sz w:val="24"/>
          <w:szCs w:val="24"/>
        </w:rPr>
        <w:t>is the number of trees. The class probability can be written as:</w:t>
      </w:r>
    </w:p>
    <w:p w14:paraId="5B4E237E" w14:textId="342DFD03" w:rsidR="00FA7746" w:rsidRPr="00FA7746" w:rsidRDefault="00FA7746" w:rsidP="007E12DE">
      <w:pPr>
        <w:spacing w:after="0" w:line="480" w:lineRule="auto"/>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B</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b=1</m:t>
              </m:r>
            </m:sub>
            <m:sup>
              <m:r>
                <w:rPr>
                  <w:rFonts w:ascii="Cambria Math" w:hAnsi="Cambria Math" w:cs="Times New Roman"/>
                  <w:sz w:val="24"/>
                  <w:szCs w:val="24"/>
                </w:rPr>
                <m:t>B</m:t>
              </m:r>
            </m:sup>
            <m:e>
              <m:r>
                <w:rPr>
                  <w:rFonts w:ascii="Cambria Math" w:hAnsi="Cambria Math" w:cs="Times New Roman"/>
                  <w:sz w:val="24"/>
                  <w:szCs w:val="24"/>
                </w:rPr>
                <m:t>I(</m:t>
              </m:r>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)=c)</m:t>
          </m:r>
          <m:r>
            <m:rPr>
              <m:sty m:val="p"/>
            </m:rPr>
            <w:rPr>
              <w:rFonts w:ascii="Cambria Math" w:hAnsi="Cambria Math" w:cs="Times New Roman"/>
              <w:sz w:val="24"/>
              <w:szCs w:val="24"/>
            </w:rPr>
            <m:t>.</m:t>
          </m:r>
        </m:oMath>
      </m:oMathPara>
    </w:p>
    <w:p w14:paraId="5FB48305"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lastRenderedPageBreak/>
        <w:t>3.7.3. XGBoost</w:t>
      </w:r>
    </w:p>
    <w:p w14:paraId="2B134663" w14:textId="77777777" w:rsidR="00FA7746" w:rsidRPr="00FA7746" w:rsidRDefault="00FA7746" w:rsidP="009C6E5A">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XGBoost is based on gradient boosting, in which trees are added sequentially to reduce residual error:</w:t>
      </w:r>
    </w:p>
    <w:p w14:paraId="1D800933" w14:textId="129511C1" w:rsidR="00FA7746" w:rsidRPr="00FA7746" w:rsidRDefault="00000000" w:rsidP="009C6E5A">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m:rPr>
              <m:scr m:val="script"/>
            </m:rPr>
            <w:rPr>
              <w:rFonts w:ascii="Cambria Math" w:hAnsi="Cambria Math" w:cs="Times New Roman"/>
              <w:sz w:val="24"/>
              <w:szCs w:val="24"/>
            </w:rPr>
            <m:t>∈F,</m:t>
          </m:r>
        </m:oMath>
      </m:oMathPara>
    </w:p>
    <w:p w14:paraId="53EDBD12" w14:textId="56D52E47" w:rsidR="00FA7746" w:rsidRPr="00FA7746" w:rsidRDefault="00FA7746" w:rsidP="009C6E5A">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r>
          <m:rPr>
            <m:scr m:val="script"/>
          </m:rPr>
          <w:rPr>
            <w:rFonts w:ascii="Cambria Math" w:hAnsi="Cambria Math" w:cs="Times New Roman"/>
            <w:sz w:val="24"/>
            <w:szCs w:val="24"/>
          </w:rPr>
          <m:t>F</m:t>
        </m:r>
      </m:oMath>
      <w:r w:rsidRPr="00FA7746">
        <w:rPr>
          <w:rFonts w:ascii="Times New Roman" w:hAnsi="Times New Roman" w:cs="Times New Roman"/>
          <w:sz w:val="24"/>
          <w:szCs w:val="24"/>
        </w:rPr>
        <w:t>is the space of regression trees. The objective function is:</w:t>
      </w:r>
    </w:p>
    <w:p w14:paraId="627B49AF" w14:textId="7DEBC690" w:rsidR="00FA7746" w:rsidRPr="00FA7746" w:rsidRDefault="00FA7746" w:rsidP="009C6E5A">
      <w:pPr>
        <w:spacing w:after="0" w:line="480" w:lineRule="auto"/>
        <w:rPr>
          <w:rFonts w:ascii="Times New Roman" w:hAnsi="Times New Roman" w:cs="Times New Roman"/>
          <w:sz w:val="24"/>
          <w:szCs w:val="24"/>
        </w:rPr>
      </w:pPr>
      <m:oMathPara>
        <m:oMath>
          <m:r>
            <m:rPr>
              <m:scr m:val="script"/>
            </m:rPr>
            <w:rPr>
              <w:rFonts w:ascii="Cambria Math" w:hAnsi="Cambria Math" w:cs="Times New Roman"/>
              <w:sz w:val="24"/>
              <w:szCs w:val="24"/>
            </w:rPr>
            <m:t>L=</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l(</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r>
                <m:rPr>
                  <m:sty m:val="p"/>
                </m:rPr>
                <w:rPr>
                  <w:rFonts w:ascii="Cambria Math" w:hAnsi="Cambria Math" w:cs="Times New Roman"/>
                  <w:sz w:val="24"/>
                  <w:szCs w:val="24"/>
                </w:rPr>
                <m:t>Ω</m:t>
              </m:r>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m:t>
          </m:r>
        </m:oMath>
      </m:oMathPara>
    </w:p>
    <w:p w14:paraId="2EC698DD" w14:textId="38C12B4E" w:rsidR="00FA7746" w:rsidRPr="00FA7746" w:rsidRDefault="00FA7746" w:rsidP="000E04AD">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r>
          <w:rPr>
            <w:rFonts w:ascii="Cambria Math" w:hAnsi="Cambria Math" w:cs="Times New Roman"/>
            <w:sz w:val="24"/>
            <w:szCs w:val="24"/>
          </w:rPr>
          <m:t>l(⋅)</m:t>
        </m:r>
      </m:oMath>
      <w:r w:rsidRPr="00FA7746">
        <w:rPr>
          <w:rFonts w:ascii="Times New Roman" w:hAnsi="Times New Roman" w:cs="Times New Roman"/>
          <w:sz w:val="24"/>
          <w:szCs w:val="24"/>
        </w:rPr>
        <w:t xml:space="preserve">is the training loss and </w:t>
      </w:r>
      <m:oMath>
        <m:r>
          <m:rPr>
            <m:sty m:val="p"/>
          </m:rPr>
          <w:rPr>
            <w:rFonts w:ascii="Cambria Math" w:hAnsi="Cambria Math" w:cs="Times New Roman"/>
            <w:sz w:val="24"/>
            <w:szCs w:val="24"/>
          </w:rPr>
          <m:t>Ω</m:t>
        </m:r>
        <m:r>
          <w:rPr>
            <w:rFonts w:ascii="Cambria Math" w:hAnsi="Cambria Math" w:cs="Times New Roman"/>
            <w:sz w:val="24"/>
            <w:szCs w:val="24"/>
          </w:rPr>
          <m:t>(⋅)</m:t>
        </m:r>
      </m:oMath>
      <w:r w:rsidRPr="00FA7746">
        <w:rPr>
          <w:rFonts w:ascii="Times New Roman" w:hAnsi="Times New Roman" w:cs="Times New Roman"/>
          <w:sz w:val="24"/>
          <w:szCs w:val="24"/>
        </w:rPr>
        <w:t>is the regularization term.</w:t>
      </w:r>
    </w:p>
    <w:p w14:paraId="13E32B68"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3.7.4. CatBoost</w:t>
      </w:r>
    </w:p>
    <w:p w14:paraId="0D04F573" w14:textId="77777777" w:rsidR="00FA7746" w:rsidRPr="00FA7746" w:rsidRDefault="00FA7746" w:rsidP="00630B68">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CatBoost is a gradient-boosting algorithm designed specifically for categorical features and based on ordered boosting:</w:t>
      </w:r>
    </w:p>
    <w:p w14:paraId="1248E6E4" w14:textId="1587874A" w:rsidR="00FA7746" w:rsidRPr="00FA7746" w:rsidRDefault="00000000" w:rsidP="00630B68">
      <w:pPr>
        <w:spacing w:after="0" w:line="480" w:lineRule="auto"/>
        <w:rPr>
          <w:rFonts w:ascii="Times New Roman" w:hAnsi="Times New Roman" w:cs="Times New Roman"/>
          <w:sz w:val="24"/>
          <w:szCs w:val="24"/>
        </w:rPr>
      </w:pPr>
      <m:oMathPara>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d>
                <m:dPr>
                  <m:ctrlPr>
                    <w:rPr>
                      <w:rFonts w:ascii="Cambria Math" w:hAnsi="Cambria Math" w:cs="Times New Roman"/>
                      <w:sz w:val="24"/>
                      <w:szCs w:val="24"/>
                    </w:rPr>
                  </m:ctrlPr>
                </m:dPr>
                <m:e>
                  <m:r>
                    <w:rPr>
                      <w:rFonts w:ascii="Cambria Math" w:hAnsi="Cambria Math" w:cs="Times New Roman"/>
                      <w:sz w:val="24"/>
                      <w:szCs w:val="24"/>
                    </w:rPr>
                    <m:t>m</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d>
                <m:dPr>
                  <m:sepChr m:val="−"/>
                  <m:ctrlPr>
                    <w:rPr>
                      <w:rFonts w:ascii="Cambria Math" w:hAnsi="Cambria Math" w:cs="Times New Roman"/>
                      <w:sz w:val="24"/>
                      <w:szCs w:val="24"/>
                    </w:rPr>
                  </m:ctrlPr>
                </m:dPr>
                <m:e>
                  <m:r>
                    <w:rPr>
                      <w:rFonts w:ascii="Cambria Math" w:hAnsi="Cambria Math" w:cs="Times New Roman"/>
                      <w:sz w:val="24"/>
                      <w:szCs w:val="24"/>
                    </w:rPr>
                    <m:t>m</m:t>
                  </m:r>
                </m:e>
                <m:e>
                  <m:r>
                    <w:rPr>
                      <w:rFonts w:ascii="Cambria Math" w:hAnsi="Cambria Math" w:cs="Times New Roman"/>
                      <w:sz w:val="24"/>
                      <w:szCs w:val="24"/>
                    </w:rPr>
                    <m:t>1</m:t>
                  </m:r>
                </m:e>
              </m:d>
            </m:sup>
          </m:sSubSup>
          <m:r>
            <w:rPr>
              <w:rFonts w:ascii="Cambria Math" w:hAnsi="Cambria Math" w:cs="Times New Roman"/>
              <w:sz w:val="24"/>
              <w:szCs w:val="24"/>
            </w:rPr>
            <m:t>+η</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m:oMathPara>
    </w:p>
    <w:p w14:paraId="11CE6F74" w14:textId="6A513FAF" w:rsidR="00FA7746" w:rsidRPr="00FA7746" w:rsidRDefault="00FA7746" w:rsidP="00CF7F8B">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oMath>
      <w:r w:rsidRPr="00FA7746">
        <w:rPr>
          <w:rFonts w:ascii="Times New Roman" w:hAnsi="Times New Roman" w:cs="Times New Roman"/>
          <w:sz w:val="24"/>
          <w:szCs w:val="24"/>
        </w:rPr>
        <w:t xml:space="preserve">is the base learner at iteration </w:t>
      </w:r>
      <m:oMath>
        <m:r>
          <w:rPr>
            <w:rFonts w:ascii="Cambria Math" w:hAnsi="Cambria Math" w:cs="Times New Roman"/>
            <w:sz w:val="24"/>
            <w:szCs w:val="24"/>
          </w:rPr>
          <m:t>m</m:t>
        </m:r>
      </m:oMath>
      <w:r w:rsidRPr="00FA7746">
        <w:rPr>
          <w:rFonts w:ascii="Times New Roman" w:hAnsi="Times New Roman" w:cs="Times New Roman"/>
          <w:sz w:val="24"/>
          <w:szCs w:val="24"/>
        </w:rPr>
        <w:t xml:space="preserve">and </w:t>
      </w:r>
      <m:oMath>
        <m:r>
          <w:rPr>
            <w:rFonts w:ascii="Cambria Math" w:hAnsi="Cambria Math" w:cs="Times New Roman"/>
            <w:sz w:val="24"/>
            <w:szCs w:val="24"/>
          </w:rPr>
          <m:t>η</m:t>
        </m:r>
      </m:oMath>
      <w:r w:rsidRPr="00FA7746">
        <w:rPr>
          <w:rFonts w:ascii="Times New Roman" w:hAnsi="Times New Roman" w:cs="Times New Roman"/>
          <w:sz w:val="24"/>
          <w:szCs w:val="24"/>
        </w:rPr>
        <w:t>is the learning rate.</w:t>
      </w:r>
    </w:p>
    <w:p w14:paraId="37967894"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3.7.5. Model Configuration and Experimental Environment</w:t>
      </w:r>
    </w:p>
    <w:p w14:paraId="229C8B87" w14:textId="77777777"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Categorical variables, including standardized organism name, standardized antibiotic name, standardized specimen type, sex, and ward, were encoded using Label Encoding before being used in the Decision Tree, Random Forest, and XGBoost models. CatBoost handled categorical features directly without explicit numeric encoding.</w:t>
      </w:r>
    </w:p>
    <w:p w14:paraId="6AA171A3" w14:textId="77777777"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Hyperparameters were not optimized using Grid Search or Random Search. Instead, manual tuning was applied. The Decision Tree model used max_depth = 10. Random Forest used n_estimators = 100. XGBoost used n_estimators = 100, </w:t>
      </w:r>
      <w:r w:rsidRPr="00FA7746">
        <w:rPr>
          <w:rFonts w:ascii="Times New Roman" w:hAnsi="Times New Roman" w:cs="Times New Roman"/>
          <w:sz w:val="24"/>
          <w:szCs w:val="24"/>
        </w:rPr>
        <w:lastRenderedPageBreak/>
        <w:t>learning_rate = 0.1, and max_depth = 6. CatBoost used iterations = 100, learning_rate = 0.1, and depth = 6. Macro F1-score was used as the primary model-selection criterion.</w:t>
      </w:r>
    </w:p>
    <w:p w14:paraId="4E9171E0" w14:textId="77777777"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To ensure reproducibility, a random seed of 42 was used in all steps involving randomness, including data splitting, shuffling after CTGAN-based augmentation, and model training for Decision Tree, Random Forest, XGBoost, and CatBoost.</w:t>
      </w:r>
    </w:p>
    <w:p w14:paraId="3CCA7B49" w14:textId="77777777"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All analyses were conducted using Python 3.12 with the following libraries: pandas 3.0.2, scikit-learn 1.8.0, xgboost 3.2.0, catboost 1.2.10, and ctgan 0.12.1.</w:t>
      </w:r>
    </w:p>
    <w:p w14:paraId="3EE8825A"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3.8. Evaluation Metrics</w:t>
      </w:r>
    </w:p>
    <w:p w14:paraId="78DD8092" w14:textId="77777777" w:rsidR="00FA7746" w:rsidRPr="00FA7746" w:rsidRDefault="00FA7746" w:rsidP="00126537">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Model performance was evaluated using accuracy, macro precision, macro recall, and macro F1-score. Particular emphasis was placed on macro F1-score because the class distribution was imbalanced.</w:t>
      </w:r>
    </w:p>
    <w:p w14:paraId="649A64FC" w14:textId="77777777" w:rsidR="00FA7746" w:rsidRPr="00FA7746" w:rsidRDefault="00FA7746" w:rsidP="009623DC">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Accuracy was defined as:</w:t>
      </w:r>
    </w:p>
    <w:p w14:paraId="122112CF" w14:textId="6885BDE5" w:rsidR="00FA7746" w:rsidRPr="00FA7746" w:rsidRDefault="00FA7746" w:rsidP="009623DC">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I(</m:t>
              </m:r>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t>
          </m:r>
        </m:oMath>
      </m:oMathPara>
    </w:p>
    <w:p w14:paraId="19DB3AF6" w14:textId="7F7BD7EC" w:rsidR="00FA7746" w:rsidRPr="00FA7746" w:rsidRDefault="00FA7746" w:rsidP="009623DC">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For each class </w:t>
      </w:r>
      <m:oMath>
        <m:r>
          <w:rPr>
            <w:rFonts w:ascii="Cambria Math" w:hAnsi="Cambria Math" w:cs="Times New Roman"/>
            <w:sz w:val="24"/>
            <w:szCs w:val="24"/>
          </w:rPr>
          <m:t>c</m:t>
        </m:r>
      </m:oMath>
      <w:r w:rsidRPr="00FA7746">
        <w:rPr>
          <w:rFonts w:ascii="Times New Roman" w:hAnsi="Times New Roman" w:cs="Times New Roman"/>
          <w:sz w:val="24"/>
          <w:szCs w:val="24"/>
        </w:rPr>
        <w:t>, precision and recall were defined as:</w:t>
      </w:r>
    </w:p>
    <w:p w14:paraId="44F404F8" w14:textId="6BB7E832" w:rsidR="00FA7746" w:rsidRPr="00FA7746" w:rsidRDefault="00000000" w:rsidP="009623DC">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Precision</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num>
            <m:den>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den>
          </m:f>
          <m:r>
            <w:rPr>
              <w:rFonts w:ascii="Cambria Math" w:hAnsi="Cambria Math" w:cs="Times New Roman"/>
              <w:sz w:val="24"/>
              <w:szCs w:val="24"/>
            </w:rPr>
            <m:t>,</m:t>
          </m:r>
          <m:r>
            <m:rPr>
              <m:sty m:val="p"/>
            </m:rPr>
            <w:rPr>
              <w:rFonts w:ascii="Times New Roman" w:hAnsi="Times New Roman" w:cs="Times New Roman"/>
              <w:sz w:val="24"/>
              <w:szCs w:val="24"/>
            </w:rPr>
            <w:br/>
          </m:r>
        </m:oMath>
        <m:oMath>
          <m:sSub>
            <m:sSubPr>
              <m:ctrlPr>
                <w:rPr>
                  <w:rFonts w:ascii="Cambria Math" w:hAnsi="Cambria Math" w:cs="Times New Roman"/>
                  <w:sz w:val="24"/>
                  <w:szCs w:val="24"/>
                </w:rPr>
              </m:ctrlPr>
            </m:sSubPr>
            <m:e>
              <m:r>
                <m:rPr>
                  <m:sty m:val="p"/>
                </m:rPr>
                <w:rPr>
                  <w:rFonts w:ascii="Cambria Math" w:hAnsi="Cambria Math" w:cs="Times New Roman"/>
                  <w:sz w:val="24"/>
                  <w:szCs w:val="24"/>
                </w:rPr>
                <m:t>Recall</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num>
            <m:den>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den>
          </m:f>
          <m:r>
            <m:rPr>
              <m:sty m:val="p"/>
            </m:rPr>
            <w:rPr>
              <w:rFonts w:ascii="Cambria Math" w:hAnsi="Cambria Math" w:cs="Times New Roman"/>
              <w:sz w:val="24"/>
              <w:szCs w:val="24"/>
            </w:rPr>
            <m:t>.</m:t>
          </m:r>
        </m:oMath>
      </m:oMathPara>
    </w:p>
    <w:p w14:paraId="606F6C18" w14:textId="7CF08850" w:rsidR="00FA7746" w:rsidRPr="00FA7746" w:rsidRDefault="00FA7746" w:rsidP="009623DC">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The F1-score for class </w:t>
      </w:r>
      <m:oMath>
        <m:r>
          <w:rPr>
            <w:rFonts w:ascii="Cambria Math" w:hAnsi="Cambria Math" w:cs="Times New Roman"/>
            <w:sz w:val="24"/>
            <w:szCs w:val="24"/>
          </w:rPr>
          <m:t>c</m:t>
        </m:r>
      </m:oMath>
      <w:r w:rsidRPr="00FA7746">
        <w:rPr>
          <w:rFonts w:ascii="Times New Roman" w:hAnsi="Times New Roman" w:cs="Times New Roman"/>
          <w:sz w:val="24"/>
          <w:szCs w:val="24"/>
        </w:rPr>
        <w:t>was defined as:</w:t>
      </w:r>
    </w:p>
    <w:p w14:paraId="2D92B1EE" w14:textId="6D6F5B95" w:rsidR="00FA7746" w:rsidRPr="00FA7746" w:rsidRDefault="00FA7746" w:rsidP="009623DC">
      <w:pPr>
        <w:spacing w:after="0" w:line="480" w:lineRule="auto"/>
        <w:rPr>
          <w:rFonts w:ascii="Times New Roman" w:hAnsi="Times New Roman" w:cs="Times New Roman"/>
          <w:sz w:val="24"/>
          <w:szCs w:val="24"/>
        </w:rPr>
      </w:pPr>
      <m:oMathPara>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Precision</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Recall</m:t>
                  </m:r>
                </m:e>
                <m:sub>
                  <m:r>
                    <w:rPr>
                      <w:rFonts w:ascii="Cambria Math" w:hAnsi="Cambria Math" w:cs="Times New Roman"/>
                      <w:sz w:val="24"/>
                      <w:szCs w:val="24"/>
                    </w:rPr>
                    <m:t>c</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Precision</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Recall</m:t>
                  </m:r>
                </m:e>
                <m:sub>
                  <m:r>
                    <w:rPr>
                      <w:rFonts w:ascii="Cambria Math" w:hAnsi="Cambria Math" w:cs="Times New Roman"/>
                      <w:sz w:val="24"/>
                      <w:szCs w:val="24"/>
                    </w:rPr>
                    <m:t>c</m:t>
                  </m:r>
                </m:sub>
              </m:sSub>
            </m:den>
          </m:f>
          <m:r>
            <m:rPr>
              <m:sty m:val="p"/>
            </m:rPr>
            <w:rPr>
              <w:rFonts w:ascii="Cambria Math" w:hAnsi="Cambria Math" w:cs="Times New Roman"/>
              <w:sz w:val="24"/>
              <w:szCs w:val="24"/>
            </w:rPr>
            <m:t>.</m:t>
          </m:r>
        </m:oMath>
      </m:oMathPara>
    </w:p>
    <w:p w14:paraId="6FC0CFCC" w14:textId="77777777" w:rsidR="00FA7746" w:rsidRPr="00FA7746" w:rsidRDefault="00FA7746" w:rsidP="009623DC">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macro F1-score was computed as:</w:t>
      </w:r>
    </w:p>
    <w:p w14:paraId="52F0CB3B" w14:textId="525AE6DD" w:rsidR="00FA7746" w:rsidRPr="00FA7746" w:rsidRDefault="00FA7746" w:rsidP="009623DC">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Macro</m:t>
          </m:r>
          <m:r>
            <m:rPr>
              <m:nor/>
            </m:rPr>
            <w:rPr>
              <w:rFonts w:ascii="Times New Roman" w:hAnsi="Times New Roman" w:cs="Times New Roman"/>
              <w:sz w:val="24"/>
              <w:szCs w:val="24"/>
            </w:rPr>
            <m:t xml:space="preserve"> F1=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c∈{S,I,R}</m:t>
              </m:r>
            </m:sub>
            <m:sup/>
            <m:e>
              <m:sSub>
                <m:sSubPr>
                  <m:ctrlPr>
                    <w:rPr>
                      <w:rFonts w:ascii="Cambria Math" w:hAnsi="Cambria Math" w:cs="Times New Roman"/>
                      <w:i/>
                      <w:sz w:val="24"/>
                      <w:szCs w:val="24"/>
                    </w:rPr>
                  </m:ctrlPr>
                </m:sSubPr>
                <m:e>
                  <m:r>
                    <w:rPr>
                      <w:rFonts w:ascii="Cambria Math" w:hAnsi="Cambria Math" w:cs="Times New Roman"/>
                      <w:sz w:val="24"/>
                      <w:szCs w:val="24"/>
                    </w:rPr>
                    <m:t>F1</m:t>
                  </m:r>
                </m:e>
                <m:sub>
                  <m:r>
                    <w:rPr>
                      <w:rFonts w:ascii="Cambria Math" w:hAnsi="Cambria Math" w:cs="Times New Roman"/>
                      <w:sz w:val="24"/>
                      <w:szCs w:val="24"/>
                    </w:rPr>
                    <m:t>c</m:t>
                  </m:r>
                </m:sub>
              </m:sSub>
            </m:e>
          </m:nary>
          <m:r>
            <m:rPr>
              <m:sty m:val="p"/>
            </m:rPr>
            <w:rPr>
              <w:rFonts w:ascii="Cambria Math" w:hAnsi="Cambria Math" w:cs="Times New Roman"/>
              <w:sz w:val="24"/>
              <w:szCs w:val="24"/>
            </w:rPr>
            <m:t>.</m:t>
          </m:r>
        </m:oMath>
      </m:oMathPara>
    </w:p>
    <w:p w14:paraId="356E96B3" w14:textId="77777777" w:rsidR="004348FC"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lastRenderedPageBreak/>
        <w:t>4. Results</w:t>
      </w:r>
    </w:p>
    <w:p w14:paraId="04FBF5CB" w14:textId="32EC7C70"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4.1. Data Quality Assessment and Preprocessing Results</w:t>
      </w:r>
    </w:p>
    <w:p w14:paraId="57A16003" w14:textId="77777777" w:rsidR="00BD3581" w:rsidRDefault="00BD3581" w:rsidP="0034357E">
      <w:pPr>
        <w:spacing w:line="480" w:lineRule="auto"/>
        <w:ind w:firstLine="720"/>
        <w:jc w:val="thaiDistribute"/>
        <w:rPr>
          <w:rFonts w:ascii="Times New Roman" w:hAnsi="Times New Roman" w:cs="Times New Roman"/>
          <w:sz w:val="24"/>
          <w:szCs w:val="24"/>
        </w:rPr>
      </w:pPr>
      <w:r w:rsidRPr="00BD3581">
        <w:rPr>
          <w:rFonts w:ascii="Times New Roman" w:hAnsi="Times New Roman" w:cs="Times New Roman"/>
          <w:sz w:val="24"/>
          <w:szCs w:val="24"/>
        </w:rPr>
        <w:t>Before model development, an initial set of 1,097,459 inpatient culture records was retrieved from the IPD Culture database. Data quality was assessed in terms of completeness and consistency for key microbiology and patient-context variables. The overall completeness of the key variables was exceptionally high; antibiotic names, specimen types, and susceptibility outcomes demonstrated 100.00% completeness, while organism names showed 96.22% completeness.</w:t>
      </w:r>
    </w:p>
    <w:p w14:paraId="25CDFBE3" w14:textId="77777777" w:rsidR="00BD3581" w:rsidRDefault="00BD3581" w:rsidP="00BD3581">
      <w:pPr>
        <w:spacing w:line="480" w:lineRule="auto"/>
        <w:ind w:firstLine="720"/>
        <w:rPr>
          <w:rFonts w:ascii="Times New Roman" w:hAnsi="Times New Roman" w:cs="Times New Roman"/>
          <w:sz w:val="24"/>
          <w:szCs w:val="24"/>
        </w:rPr>
      </w:pPr>
      <w:r w:rsidRPr="00BD3581">
        <w:rPr>
          <w:rFonts w:ascii="Times New Roman" w:hAnsi="Times New Roman" w:cs="Times New Roman"/>
          <w:sz w:val="24"/>
          <w:szCs w:val="24"/>
        </w:rPr>
        <w:t xml:space="preserve">Following the quality assessment, the data underwent sequential preprocessing using dictionary mapping, regular expressions, and fuzzy matching to clean, standardize, and transform the data into a machine-learning-ready format. During this phase, records with ambiguous or unresolvable entries were flagged as 'REVIEW'. Specifically, </w:t>
      </w:r>
      <w:r w:rsidRPr="00BD3581">
        <w:rPr>
          <w:rFonts w:ascii="Times New Roman" w:hAnsi="Times New Roman" w:cs="Times New Roman"/>
          <w:b/>
          <w:bCs/>
          <w:sz w:val="24"/>
          <w:szCs w:val="24"/>
        </w:rPr>
        <w:t>30,562 records</w:t>
      </w:r>
      <w:r w:rsidRPr="00BD3581">
        <w:rPr>
          <w:rFonts w:ascii="Times New Roman" w:hAnsi="Times New Roman" w:cs="Times New Roman"/>
          <w:sz w:val="24"/>
          <w:szCs w:val="24"/>
        </w:rPr>
        <w:t xml:space="preserve"> (approximately 4.75% of the filtered dataset) were flagged primarily due to unresolvable organism nomenclature or intrinsic resistance conflicts. These records were excluded to maintain high label integrity for supervised learning.</w:t>
      </w:r>
    </w:p>
    <w:p w14:paraId="4DCAB678" w14:textId="093C3D42" w:rsidR="00BD3581" w:rsidRDefault="00BD3581" w:rsidP="00BD3581">
      <w:pPr>
        <w:spacing w:line="480" w:lineRule="auto"/>
        <w:ind w:firstLine="720"/>
        <w:rPr>
          <w:rFonts w:ascii="Times New Roman" w:hAnsi="Times New Roman" w:cs="Times New Roman"/>
          <w:sz w:val="24"/>
          <w:szCs w:val="24"/>
        </w:rPr>
      </w:pPr>
      <w:r w:rsidRPr="00BD3581">
        <w:rPr>
          <w:rFonts w:ascii="Times New Roman" w:hAnsi="Times New Roman" w:cs="Times New Roman"/>
          <w:sz w:val="24"/>
          <w:szCs w:val="24"/>
        </w:rPr>
        <w:t xml:space="preserve">In summary, the eligibility criteria for inclusion in this study required that the data: (1) originated from inpatient (IPD) cultures and successfully merged with the clinical IPD database via admission numbers; (2) possessed definitive Sensitive (S), Intermediate (I), or Resistant (R) susceptibility outcomes; (3) passed the quality assessment by excluding any entries flagged as 'REVIEW' or containing missing standard nomenclature; and (4) adhered to a 30-day first-isolate rule per patient, per organism, per antibiotic to mitigate bias from repeated samplings. After applying all </w:t>
      </w:r>
      <w:r w:rsidRPr="00BD3581">
        <w:rPr>
          <w:rFonts w:ascii="Times New Roman" w:hAnsi="Times New Roman" w:cs="Times New Roman"/>
          <w:sz w:val="24"/>
          <w:szCs w:val="24"/>
        </w:rPr>
        <w:lastRenderedPageBreak/>
        <w:t xml:space="preserve">preprocessing workflows and eligibility criteria, a final cohort of </w:t>
      </w:r>
      <w:r w:rsidRPr="00BD3581">
        <w:rPr>
          <w:rFonts w:ascii="Times New Roman" w:hAnsi="Times New Roman" w:cs="Times New Roman"/>
          <w:b/>
          <w:bCs/>
          <w:sz w:val="24"/>
          <w:szCs w:val="24"/>
        </w:rPr>
        <w:t>528,134 records</w:t>
      </w:r>
      <w:r w:rsidRPr="00BD3581">
        <w:rPr>
          <w:rFonts w:ascii="Times New Roman" w:hAnsi="Times New Roman" w:cs="Times New Roman"/>
          <w:sz w:val="24"/>
          <w:szCs w:val="24"/>
        </w:rPr>
        <w:t xml:space="preserve"> remained for model development.</w:t>
      </w:r>
    </w:p>
    <w:p w14:paraId="24E68832" w14:textId="3014B76F"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4.2. Model Comparison Results</w:t>
      </w:r>
    </w:p>
    <w:p w14:paraId="3B03BF7B" w14:textId="77777777" w:rsidR="00FA7746" w:rsidRPr="00864FE6" w:rsidRDefault="00FA7746" w:rsidP="00231A92">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 comparison results of the four models across the three experimental settings are presented in Table 1. The evaluation metrics reported include accuracy, macro precision, macro recall, and macro F1-score to reflect performance across all classes in a balanced manner.</w:t>
      </w:r>
    </w:p>
    <w:p w14:paraId="313A55FD" w14:textId="4F12002F" w:rsidR="003A7E06" w:rsidRPr="00864FE6" w:rsidRDefault="00A2048E" w:rsidP="00231A92">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As shown in Table 1, Random Forest achieved the best performance in all settings across all evaluation metrics, including accuracy, macro precision, macro recall, and macro F1-score. Setting 1, which used the full feature set, produced the best overall results, with an accuracy of 75.05%, macro precision of 0.75, macro recall of 0.75, and macro F1-score of 0.75. XGBoost ranked second and showed consistently competitive performance, whereas CatBoost performed slightly below XGBoost across the three settings. Decision Tree showed the lowest performance in every setting.</w:t>
      </w:r>
    </w:p>
    <w:tbl>
      <w:tblPr>
        <w:tblW w:w="0" w:type="auto"/>
        <w:jc w:val="center"/>
        <w:tblCellMar>
          <w:top w:w="15" w:type="dxa"/>
          <w:left w:w="15" w:type="dxa"/>
          <w:bottom w:w="15" w:type="dxa"/>
          <w:right w:w="15" w:type="dxa"/>
        </w:tblCellMar>
        <w:tblLook w:val="04A0" w:firstRow="1" w:lastRow="0" w:firstColumn="1" w:lastColumn="0" w:noHBand="0" w:noVBand="1"/>
      </w:tblPr>
      <w:tblGrid>
        <w:gridCol w:w="867"/>
        <w:gridCol w:w="2540"/>
        <w:gridCol w:w="1560"/>
        <w:gridCol w:w="1134"/>
        <w:gridCol w:w="992"/>
        <w:gridCol w:w="709"/>
        <w:gridCol w:w="702"/>
      </w:tblGrid>
      <w:tr w:rsidR="00864FE6" w:rsidRPr="00864FE6" w14:paraId="6A361477" w14:textId="77777777" w:rsidTr="00E12D1D">
        <w:trPr>
          <w:trHeight w:val="121"/>
          <w:jc w:val="center"/>
        </w:trPr>
        <w:tc>
          <w:tcPr>
            <w:tcW w:w="0" w:type="auto"/>
            <w:vMerge w:val="restart"/>
            <w:tcBorders>
              <w:top w:val="single" w:sz="4" w:space="0" w:color="auto"/>
            </w:tcBorders>
            <w:vAlign w:val="center"/>
          </w:tcPr>
          <w:p w14:paraId="19D598F1" w14:textId="0B69190C"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Setting</w:t>
            </w:r>
          </w:p>
        </w:tc>
        <w:tc>
          <w:tcPr>
            <w:tcW w:w="2540" w:type="dxa"/>
            <w:vMerge w:val="restart"/>
            <w:tcBorders>
              <w:top w:val="single" w:sz="4" w:space="0" w:color="auto"/>
            </w:tcBorders>
            <w:vAlign w:val="center"/>
          </w:tcPr>
          <w:p w14:paraId="3259256D" w14:textId="5C4BF167"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Features</w:t>
            </w:r>
          </w:p>
        </w:tc>
        <w:tc>
          <w:tcPr>
            <w:tcW w:w="1560" w:type="dxa"/>
            <w:vMerge w:val="restart"/>
            <w:tcBorders>
              <w:top w:val="single" w:sz="4" w:space="0" w:color="auto"/>
            </w:tcBorders>
            <w:vAlign w:val="center"/>
          </w:tcPr>
          <w:p w14:paraId="20FD9234" w14:textId="675F99D3"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Model</w:t>
            </w:r>
          </w:p>
        </w:tc>
        <w:tc>
          <w:tcPr>
            <w:tcW w:w="1134" w:type="dxa"/>
            <w:vMerge w:val="restart"/>
            <w:tcBorders>
              <w:top w:val="single" w:sz="4" w:space="0" w:color="auto"/>
            </w:tcBorders>
            <w:vAlign w:val="center"/>
          </w:tcPr>
          <w:p w14:paraId="3ADE92EF" w14:textId="740A8C37"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Accuracy</w:t>
            </w:r>
          </w:p>
        </w:tc>
        <w:tc>
          <w:tcPr>
            <w:tcW w:w="2403" w:type="dxa"/>
            <w:gridSpan w:val="3"/>
            <w:tcBorders>
              <w:top w:val="single" w:sz="4" w:space="0" w:color="auto"/>
            </w:tcBorders>
            <w:vAlign w:val="center"/>
            <w:hideMark/>
          </w:tcPr>
          <w:p w14:paraId="75918206" w14:textId="15600F45"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 xml:space="preserve">Macro </w:t>
            </w:r>
          </w:p>
        </w:tc>
      </w:tr>
      <w:tr w:rsidR="00864FE6" w:rsidRPr="00864FE6" w14:paraId="2B6F061E" w14:textId="77777777" w:rsidTr="00A15843">
        <w:trPr>
          <w:trHeight w:val="247"/>
          <w:jc w:val="center"/>
        </w:trPr>
        <w:tc>
          <w:tcPr>
            <w:tcW w:w="0" w:type="auto"/>
            <w:vMerge/>
            <w:tcBorders>
              <w:bottom w:val="single" w:sz="4" w:space="0" w:color="auto"/>
            </w:tcBorders>
            <w:vAlign w:val="center"/>
          </w:tcPr>
          <w:p w14:paraId="57CABFCE" w14:textId="63BAAC19" w:rsidR="00F05B47" w:rsidRPr="00864FE6" w:rsidRDefault="00F05B47" w:rsidP="00A2048E">
            <w:pPr>
              <w:spacing w:after="0" w:line="480" w:lineRule="auto"/>
              <w:jc w:val="center"/>
              <w:rPr>
                <w:rFonts w:ascii="Times New Roman" w:hAnsi="Times New Roman" w:cs="Times New Roman"/>
                <w:b/>
                <w:bCs/>
                <w:sz w:val="24"/>
                <w:szCs w:val="24"/>
              </w:rPr>
            </w:pPr>
          </w:p>
        </w:tc>
        <w:tc>
          <w:tcPr>
            <w:tcW w:w="2540" w:type="dxa"/>
            <w:vMerge/>
            <w:tcBorders>
              <w:bottom w:val="single" w:sz="4" w:space="0" w:color="auto"/>
            </w:tcBorders>
            <w:vAlign w:val="center"/>
          </w:tcPr>
          <w:p w14:paraId="182D18C1" w14:textId="1752BDE6" w:rsidR="00F05B47" w:rsidRPr="00864FE6" w:rsidRDefault="00F05B47" w:rsidP="00A2048E">
            <w:pPr>
              <w:spacing w:after="0" w:line="480" w:lineRule="auto"/>
              <w:jc w:val="center"/>
              <w:rPr>
                <w:rFonts w:ascii="Times New Roman" w:hAnsi="Times New Roman" w:cs="Times New Roman"/>
                <w:b/>
                <w:bCs/>
                <w:sz w:val="24"/>
                <w:szCs w:val="24"/>
              </w:rPr>
            </w:pPr>
          </w:p>
        </w:tc>
        <w:tc>
          <w:tcPr>
            <w:tcW w:w="1560" w:type="dxa"/>
            <w:vMerge/>
            <w:tcBorders>
              <w:bottom w:val="single" w:sz="4" w:space="0" w:color="auto"/>
            </w:tcBorders>
            <w:vAlign w:val="center"/>
          </w:tcPr>
          <w:p w14:paraId="151B7291" w14:textId="73A3A0E0" w:rsidR="00F05B47" w:rsidRPr="00864FE6" w:rsidRDefault="00F05B47" w:rsidP="00A2048E">
            <w:pPr>
              <w:spacing w:after="0" w:line="480" w:lineRule="auto"/>
              <w:jc w:val="center"/>
              <w:rPr>
                <w:rFonts w:ascii="Times New Roman" w:hAnsi="Times New Roman" w:cs="Times New Roman"/>
                <w:b/>
                <w:bCs/>
                <w:sz w:val="24"/>
                <w:szCs w:val="24"/>
              </w:rPr>
            </w:pPr>
          </w:p>
        </w:tc>
        <w:tc>
          <w:tcPr>
            <w:tcW w:w="1134" w:type="dxa"/>
            <w:vMerge/>
            <w:tcBorders>
              <w:bottom w:val="single" w:sz="4" w:space="0" w:color="auto"/>
            </w:tcBorders>
            <w:vAlign w:val="center"/>
          </w:tcPr>
          <w:p w14:paraId="5906DEF8" w14:textId="736E9301" w:rsidR="00F05B47" w:rsidRPr="00864FE6" w:rsidRDefault="00F05B47" w:rsidP="00A2048E">
            <w:pPr>
              <w:spacing w:after="0" w:line="480" w:lineRule="auto"/>
              <w:jc w:val="center"/>
              <w:rPr>
                <w:rFonts w:ascii="Times New Roman" w:hAnsi="Times New Roman" w:cs="Times New Roman"/>
                <w:b/>
                <w:bCs/>
                <w:sz w:val="24"/>
                <w:szCs w:val="24"/>
              </w:rPr>
            </w:pPr>
          </w:p>
        </w:tc>
        <w:tc>
          <w:tcPr>
            <w:tcW w:w="992" w:type="dxa"/>
            <w:tcBorders>
              <w:bottom w:val="single" w:sz="4" w:space="0" w:color="auto"/>
            </w:tcBorders>
            <w:vAlign w:val="center"/>
          </w:tcPr>
          <w:p w14:paraId="77A4B611" w14:textId="76D8F648" w:rsidR="00F05B47" w:rsidRPr="00864FE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Precision</w:t>
            </w:r>
          </w:p>
        </w:tc>
        <w:tc>
          <w:tcPr>
            <w:tcW w:w="709" w:type="dxa"/>
            <w:tcBorders>
              <w:bottom w:val="single" w:sz="4" w:space="0" w:color="auto"/>
            </w:tcBorders>
            <w:vAlign w:val="center"/>
          </w:tcPr>
          <w:p w14:paraId="04E9B28D" w14:textId="4A910DCA" w:rsidR="00F05B47" w:rsidRPr="00864FE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Recall</w:t>
            </w:r>
          </w:p>
        </w:tc>
        <w:tc>
          <w:tcPr>
            <w:tcW w:w="702" w:type="dxa"/>
            <w:tcBorders>
              <w:bottom w:val="single" w:sz="4" w:space="0" w:color="auto"/>
            </w:tcBorders>
            <w:vAlign w:val="center"/>
          </w:tcPr>
          <w:p w14:paraId="14736ED1" w14:textId="38AA33CA" w:rsidR="00F05B47" w:rsidRPr="00864FE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F1</w:t>
            </w:r>
          </w:p>
        </w:tc>
      </w:tr>
      <w:tr w:rsidR="00864FE6" w:rsidRPr="00864FE6" w14:paraId="520D823E" w14:textId="77777777" w:rsidTr="00A15843">
        <w:trPr>
          <w:trHeight w:val="227"/>
          <w:jc w:val="center"/>
        </w:trPr>
        <w:tc>
          <w:tcPr>
            <w:tcW w:w="0" w:type="auto"/>
            <w:vMerge w:val="restart"/>
            <w:tcBorders>
              <w:top w:val="single" w:sz="4" w:space="0" w:color="auto"/>
              <w:bottom w:val="single" w:sz="4" w:space="0" w:color="auto"/>
            </w:tcBorders>
            <w:vAlign w:val="center"/>
            <w:hideMark/>
          </w:tcPr>
          <w:p w14:paraId="37BC15D6"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Setting 1</w:t>
            </w:r>
          </w:p>
        </w:tc>
        <w:tc>
          <w:tcPr>
            <w:tcW w:w="2540" w:type="dxa"/>
            <w:vMerge w:val="restart"/>
            <w:tcBorders>
              <w:top w:val="single" w:sz="4" w:space="0" w:color="auto"/>
              <w:bottom w:val="single" w:sz="4" w:space="0" w:color="auto"/>
            </w:tcBorders>
            <w:vAlign w:val="center"/>
            <w:hideMark/>
          </w:tcPr>
          <w:p w14:paraId="459E8F34"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Org, Anti, Specimen, Sex, Age, Ward</w:t>
            </w:r>
          </w:p>
        </w:tc>
        <w:tc>
          <w:tcPr>
            <w:tcW w:w="1560" w:type="dxa"/>
            <w:tcBorders>
              <w:top w:val="single" w:sz="4" w:space="0" w:color="auto"/>
            </w:tcBorders>
            <w:vAlign w:val="center"/>
            <w:hideMark/>
          </w:tcPr>
          <w:p w14:paraId="6EE89D46"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Decision Tree</w:t>
            </w:r>
          </w:p>
        </w:tc>
        <w:tc>
          <w:tcPr>
            <w:tcW w:w="1134" w:type="dxa"/>
            <w:tcBorders>
              <w:top w:val="single" w:sz="4" w:space="0" w:color="auto"/>
            </w:tcBorders>
            <w:vAlign w:val="center"/>
            <w:hideMark/>
          </w:tcPr>
          <w:p w14:paraId="6CE66908"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62.78%</w:t>
            </w:r>
          </w:p>
        </w:tc>
        <w:tc>
          <w:tcPr>
            <w:tcW w:w="992" w:type="dxa"/>
            <w:tcBorders>
              <w:top w:val="single" w:sz="4" w:space="0" w:color="auto"/>
            </w:tcBorders>
            <w:vAlign w:val="center"/>
            <w:hideMark/>
          </w:tcPr>
          <w:p w14:paraId="5E58599B"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0.630</w:t>
            </w:r>
          </w:p>
        </w:tc>
        <w:tc>
          <w:tcPr>
            <w:tcW w:w="709" w:type="dxa"/>
            <w:tcBorders>
              <w:top w:val="single" w:sz="4" w:space="0" w:color="auto"/>
            </w:tcBorders>
            <w:vAlign w:val="center"/>
            <w:hideMark/>
          </w:tcPr>
          <w:p w14:paraId="7E727954"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0.627</w:t>
            </w:r>
          </w:p>
        </w:tc>
        <w:tc>
          <w:tcPr>
            <w:tcW w:w="702" w:type="dxa"/>
            <w:tcBorders>
              <w:top w:val="single" w:sz="4" w:space="0" w:color="auto"/>
            </w:tcBorders>
            <w:vAlign w:val="center"/>
            <w:hideMark/>
          </w:tcPr>
          <w:p w14:paraId="08A58C8C"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0.630</w:t>
            </w:r>
          </w:p>
        </w:tc>
      </w:tr>
      <w:tr w:rsidR="00864FE6" w:rsidRPr="00864FE6" w14:paraId="7862A540" w14:textId="77777777" w:rsidTr="00A15843">
        <w:trPr>
          <w:trHeight w:val="51"/>
          <w:jc w:val="center"/>
        </w:trPr>
        <w:tc>
          <w:tcPr>
            <w:tcW w:w="0" w:type="auto"/>
            <w:vMerge/>
            <w:tcBorders>
              <w:bottom w:val="single" w:sz="4" w:space="0" w:color="auto"/>
            </w:tcBorders>
            <w:vAlign w:val="center"/>
            <w:hideMark/>
          </w:tcPr>
          <w:p w14:paraId="6B4A64E1"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2540" w:type="dxa"/>
            <w:vMerge/>
            <w:tcBorders>
              <w:bottom w:val="single" w:sz="4" w:space="0" w:color="auto"/>
            </w:tcBorders>
            <w:vAlign w:val="center"/>
            <w:hideMark/>
          </w:tcPr>
          <w:p w14:paraId="200CFC35"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1560" w:type="dxa"/>
            <w:vAlign w:val="center"/>
            <w:hideMark/>
          </w:tcPr>
          <w:p w14:paraId="2D344975"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Random Forest</w:t>
            </w:r>
          </w:p>
        </w:tc>
        <w:tc>
          <w:tcPr>
            <w:tcW w:w="1134" w:type="dxa"/>
            <w:vAlign w:val="center"/>
            <w:hideMark/>
          </w:tcPr>
          <w:p w14:paraId="49F2DCED"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75.05%</w:t>
            </w:r>
          </w:p>
        </w:tc>
        <w:tc>
          <w:tcPr>
            <w:tcW w:w="992" w:type="dxa"/>
            <w:vAlign w:val="center"/>
            <w:hideMark/>
          </w:tcPr>
          <w:p w14:paraId="05125E9F"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0.750</w:t>
            </w:r>
          </w:p>
        </w:tc>
        <w:tc>
          <w:tcPr>
            <w:tcW w:w="709" w:type="dxa"/>
            <w:vAlign w:val="center"/>
            <w:hideMark/>
          </w:tcPr>
          <w:p w14:paraId="2CC4AA2B"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0.750</w:t>
            </w:r>
          </w:p>
        </w:tc>
        <w:tc>
          <w:tcPr>
            <w:tcW w:w="702" w:type="dxa"/>
            <w:vAlign w:val="center"/>
            <w:hideMark/>
          </w:tcPr>
          <w:p w14:paraId="0FC0F423"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0.750</w:t>
            </w:r>
          </w:p>
        </w:tc>
      </w:tr>
      <w:tr w:rsidR="00864FE6" w:rsidRPr="00864FE6" w14:paraId="5D3901AA" w14:textId="77777777" w:rsidTr="00A15843">
        <w:trPr>
          <w:jc w:val="center"/>
        </w:trPr>
        <w:tc>
          <w:tcPr>
            <w:tcW w:w="0" w:type="auto"/>
            <w:vMerge/>
            <w:tcBorders>
              <w:bottom w:val="single" w:sz="4" w:space="0" w:color="auto"/>
            </w:tcBorders>
            <w:vAlign w:val="center"/>
            <w:hideMark/>
          </w:tcPr>
          <w:p w14:paraId="7B6A6D7A"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2540" w:type="dxa"/>
            <w:vMerge/>
            <w:tcBorders>
              <w:bottom w:val="single" w:sz="4" w:space="0" w:color="auto"/>
            </w:tcBorders>
            <w:vAlign w:val="center"/>
            <w:hideMark/>
          </w:tcPr>
          <w:p w14:paraId="3CF6CA72"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1560" w:type="dxa"/>
            <w:vAlign w:val="center"/>
            <w:hideMark/>
          </w:tcPr>
          <w:p w14:paraId="62C14B42"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XGBoost</w:t>
            </w:r>
          </w:p>
        </w:tc>
        <w:tc>
          <w:tcPr>
            <w:tcW w:w="1134" w:type="dxa"/>
            <w:vAlign w:val="center"/>
            <w:hideMark/>
          </w:tcPr>
          <w:p w14:paraId="2C7106A2"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69.38%</w:t>
            </w:r>
          </w:p>
        </w:tc>
        <w:tc>
          <w:tcPr>
            <w:tcW w:w="992" w:type="dxa"/>
            <w:vAlign w:val="center"/>
            <w:hideMark/>
          </w:tcPr>
          <w:p w14:paraId="07183EA9"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0.693</w:t>
            </w:r>
          </w:p>
        </w:tc>
        <w:tc>
          <w:tcPr>
            <w:tcW w:w="709" w:type="dxa"/>
            <w:vAlign w:val="center"/>
            <w:hideMark/>
          </w:tcPr>
          <w:p w14:paraId="482889A6"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0.693</w:t>
            </w:r>
          </w:p>
        </w:tc>
        <w:tc>
          <w:tcPr>
            <w:tcW w:w="702" w:type="dxa"/>
            <w:vAlign w:val="center"/>
            <w:hideMark/>
          </w:tcPr>
          <w:p w14:paraId="56357E3E"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0.693</w:t>
            </w:r>
          </w:p>
        </w:tc>
      </w:tr>
      <w:tr w:rsidR="00864FE6" w:rsidRPr="00864FE6" w14:paraId="6AC4CC09" w14:textId="77777777" w:rsidTr="00A64436">
        <w:trPr>
          <w:trHeight w:val="153"/>
          <w:jc w:val="center"/>
        </w:trPr>
        <w:tc>
          <w:tcPr>
            <w:tcW w:w="0" w:type="auto"/>
            <w:vMerge/>
            <w:tcBorders>
              <w:bottom w:val="single" w:sz="4" w:space="0" w:color="auto"/>
            </w:tcBorders>
            <w:vAlign w:val="center"/>
            <w:hideMark/>
          </w:tcPr>
          <w:p w14:paraId="6F01BB3C"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2540" w:type="dxa"/>
            <w:vMerge/>
            <w:tcBorders>
              <w:bottom w:val="single" w:sz="4" w:space="0" w:color="auto"/>
            </w:tcBorders>
            <w:vAlign w:val="center"/>
            <w:hideMark/>
          </w:tcPr>
          <w:p w14:paraId="3078DCE4"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1560" w:type="dxa"/>
            <w:tcBorders>
              <w:bottom w:val="single" w:sz="4" w:space="0" w:color="auto"/>
            </w:tcBorders>
            <w:vAlign w:val="center"/>
            <w:hideMark/>
          </w:tcPr>
          <w:p w14:paraId="27BEE67B"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CatBoost</w:t>
            </w:r>
          </w:p>
        </w:tc>
        <w:tc>
          <w:tcPr>
            <w:tcW w:w="1134" w:type="dxa"/>
            <w:tcBorders>
              <w:bottom w:val="single" w:sz="4" w:space="0" w:color="auto"/>
            </w:tcBorders>
            <w:vAlign w:val="center"/>
            <w:hideMark/>
          </w:tcPr>
          <w:p w14:paraId="619CB361"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66.86%</w:t>
            </w:r>
          </w:p>
        </w:tc>
        <w:tc>
          <w:tcPr>
            <w:tcW w:w="992" w:type="dxa"/>
            <w:tcBorders>
              <w:bottom w:val="single" w:sz="4" w:space="0" w:color="auto"/>
            </w:tcBorders>
            <w:vAlign w:val="center"/>
            <w:hideMark/>
          </w:tcPr>
          <w:p w14:paraId="539A8101"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0.667</w:t>
            </w:r>
          </w:p>
        </w:tc>
        <w:tc>
          <w:tcPr>
            <w:tcW w:w="709" w:type="dxa"/>
            <w:tcBorders>
              <w:bottom w:val="single" w:sz="4" w:space="0" w:color="auto"/>
            </w:tcBorders>
            <w:vAlign w:val="center"/>
            <w:hideMark/>
          </w:tcPr>
          <w:p w14:paraId="6953EB5D"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0.667</w:t>
            </w:r>
          </w:p>
        </w:tc>
        <w:tc>
          <w:tcPr>
            <w:tcW w:w="702" w:type="dxa"/>
            <w:tcBorders>
              <w:bottom w:val="single" w:sz="4" w:space="0" w:color="auto"/>
            </w:tcBorders>
            <w:vAlign w:val="center"/>
            <w:hideMark/>
          </w:tcPr>
          <w:p w14:paraId="53792D1E"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0.667</w:t>
            </w:r>
          </w:p>
        </w:tc>
      </w:tr>
      <w:tr w:rsidR="00864FE6" w:rsidRPr="00864FE6" w14:paraId="1D2B27AF" w14:textId="77777777" w:rsidTr="00A64436">
        <w:trPr>
          <w:jc w:val="center"/>
        </w:trPr>
        <w:tc>
          <w:tcPr>
            <w:tcW w:w="0" w:type="auto"/>
            <w:vMerge w:val="restart"/>
            <w:tcBorders>
              <w:top w:val="single" w:sz="4" w:space="0" w:color="auto"/>
              <w:bottom w:val="single" w:sz="4" w:space="0" w:color="auto"/>
            </w:tcBorders>
            <w:vAlign w:val="center"/>
            <w:hideMark/>
          </w:tcPr>
          <w:p w14:paraId="1AD463F1"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Setting 2</w:t>
            </w:r>
          </w:p>
        </w:tc>
        <w:tc>
          <w:tcPr>
            <w:tcW w:w="2540" w:type="dxa"/>
            <w:vMerge w:val="restart"/>
            <w:tcBorders>
              <w:top w:val="single" w:sz="4" w:space="0" w:color="auto"/>
              <w:bottom w:val="single" w:sz="4" w:space="0" w:color="auto"/>
            </w:tcBorders>
            <w:vAlign w:val="center"/>
            <w:hideMark/>
          </w:tcPr>
          <w:p w14:paraId="610AD2F7"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Anti, Specimen, Sex, Age, Ward</w:t>
            </w:r>
          </w:p>
        </w:tc>
        <w:tc>
          <w:tcPr>
            <w:tcW w:w="1560" w:type="dxa"/>
            <w:tcBorders>
              <w:top w:val="single" w:sz="4" w:space="0" w:color="auto"/>
            </w:tcBorders>
            <w:vAlign w:val="center"/>
            <w:hideMark/>
          </w:tcPr>
          <w:p w14:paraId="774C3355"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Decision Tree</w:t>
            </w:r>
          </w:p>
        </w:tc>
        <w:tc>
          <w:tcPr>
            <w:tcW w:w="1134" w:type="dxa"/>
            <w:tcBorders>
              <w:top w:val="single" w:sz="4" w:space="0" w:color="auto"/>
            </w:tcBorders>
            <w:vAlign w:val="center"/>
            <w:hideMark/>
          </w:tcPr>
          <w:p w14:paraId="415A2968"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55.02%</w:t>
            </w:r>
          </w:p>
        </w:tc>
        <w:tc>
          <w:tcPr>
            <w:tcW w:w="992" w:type="dxa"/>
            <w:tcBorders>
              <w:top w:val="single" w:sz="4" w:space="0" w:color="auto"/>
            </w:tcBorders>
            <w:vAlign w:val="center"/>
            <w:hideMark/>
          </w:tcPr>
          <w:p w14:paraId="3AF3596B"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0.550</w:t>
            </w:r>
          </w:p>
        </w:tc>
        <w:tc>
          <w:tcPr>
            <w:tcW w:w="709" w:type="dxa"/>
            <w:tcBorders>
              <w:top w:val="single" w:sz="4" w:space="0" w:color="auto"/>
            </w:tcBorders>
            <w:vAlign w:val="center"/>
            <w:hideMark/>
          </w:tcPr>
          <w:p w14:paraId="24BA2129"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0.550</w:t>
            </w:r>
          </w:p>
        </w:tc>
        <w:tc>
          <w:tcPr>
            <w:tcW w:w="702" w:type="dxa"/>
            <w:tcBorders>
              <w:top w:val="single" w:sz="4" w:space="0" w:color="auto"/>
            </w:tcBorders>
            <w:vAlign w:val="center"/>
            <w:hideMark/>
          </w:tcPr>
          <w:p w14:paraId="1396D9B8"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0.547</w:t>
            </w:r>
          </w:p>
        </w:tc>
      </w:tr>
      <w:tr w:rsidR="00864FE6" w:rsidRPr="00864FE6" w14:paraId="46963FA3" w14:textId="77777777" w:rsidTr="00A64436">
        <w:trPr>
          <w:jc w:val="center"/>
        </w:trPr>
        <w:tc>
          <w:tcPr>
            <w:tcW w:w="0" w:type="auto"/>
            <w:vMerge/>
            <w:tcBorders>
              <w:bottom w:val="single" w:sz="4" w:space="0" w:color="auto"/>
            </w:tcBorders>
            <w:vAlign w:val="center"/>
            <w:hideMark/>
          </w:tcPr>
          <w:p w14:paraId="1B9E3520"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2540" w:type="dxa"/>
            <w:vMerge/>
            <w:tcBorders>
              <w:bottom w:val="single" w:sz="4" w:space="0" w:color="auto"/>
            </w:tcBorders>
            <w:vAlign w:val="center"/>
            <w:hideMark/>
          </w:tcPr>
          <w:p w14:paraId="1F68CA38"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1560" w:type="dxa"/>
            <w:vAlign w:val="center"/>
            <w:hideMark/>
          </w:tcPr>
          <w:p w14:paraId="122285A9"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Random Forest</w:t>
            </w:r>
          </w:p>
        </w:tc>
        <w:tc>
          <w:tcPr>
            <w:tcW w:w="1134" w:type="dxa"/>
            <w:vAlign w:val="center"/>
            <w:hideMark/>
          </w:tcPr>
          <w:p w14:paraId="516E6A87"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66.33%</w:t>
            </w:r>
          </w:p>
        </w:tc>
        <w:tc>
          <w:tcPr>
            <w:tcW w:w="992" w:type="dxa"/>
            <w:vAlign w:val="center"/>
            <w:hideMark/>
          </w:tcPr>
          <w:p w14:paraId="13F9977C"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0.663</w:t>
            </w:r>
          </w:p>
        </w:tc>
        <w:tc>
          <w:tcPr>
            <w:tcW w:w="709" w:type="dxa"/>
            <w:vAlign w:val="center"/>
            <w:hideMark/>
          </w:tcPr>
          <w:p w14:paraId="69352CBD"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0.663</w:t>
            </w:r>
          </w:p>
        </w:tc>
        <w:tc>
          <w:tcPr>
            <w:tcW w:w="702" w:type="dxa"/>
            <w:vAlign w:val="center"/>
            <w:hideMark/>
          </w:tcPr>
          <w:p w14:paraId="38022D72"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0.660</w:t>
            </w:r>
          </w:p>
        </w:tc>
      </w:tr>
      <w:tr w:rsidR="00864FE6" w:rsidRPr="00864FE6" w14:paraId="19A93C72" w14:textId="77777777" w:rsidTr="00A64436">
        <w:trPr>
          <w:jc w:val="center"/>
        </w:trPr>
        <w:tc>
          <w:tcPr>
            <w:tcW w:w="0" w:type="auto"/>
            <w:vMerge/>
            <w:tcBorders>
              <w:bottom w:val="single" w:sz="4" w:space="0" w:color="auto"/>
            </w:tcBorders>
            <w:vAlign w:val="center"/>
            <w:hideMark/>
          </w:tcPr>
          <w:p w14:paraId="0D142629"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2540" w:type="dxa"/>
            <w:vMerge/>
            <w:tcBorders>
              <w:bottom w:val="single" w:sz="4" w:space="0" w:color="auto"/>
            </w:tcBorders>
            <w:vAlign w:val="center"/>
            <w:hideMark/>
          </w:tcPr>
          <w:p w14:paraId="5908B37B"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1560" w:type="dxa"/>
            <w:vAlign w:val="center"/>
            <w:hideMark/>
          </w:tcPr>
          <w:p w14:paraId="3DDA658D"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XGBoost</w:t>
            </w:r>
          </w:p>
        </w:tc>
        <w:tc>
          <w:tcPr>
            <w:tcW w:w="1134" w:type="dxa"/>
            <w:vAlign w:val="center"/>
            <w:hideMark/>
          </w:tcPr>
          <w:p w14:paraId="7E76B354"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62.01%</w:t>
            </w:r>
          </w:p>
        </w:tc>
        <w:tc>
          <w:tcPr>
            <w:tcW w:w="992" w:type="dxa"/>
            <w:vAlign w:val="center"/>
            <w:hideMark/>
          </w:tcPr>
          <w:p w14:paraId="2ACA86F1"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0.617</w:t>
            </w:r>
          </w:p>
        </w:tc>
        <w:tc>
          <w:tcPr>
            <w:tcW w:w="709" w:type="dxa"/>
            <w:vAlign w:val="center"/>
            <w:hideMark/>
          </w:tcPr>
          <w:p w14:paraId="36A794E8"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0.620</w:t>
            </w:r>
          </w:p>
        </w:tc>
        <w:tc>
          <w:tcPr>
            <w:tcW w:w="702" w:type="dxa"/>
            <w:vAlign w:val="center"/>
            <w:hideMark/>
          </w:tcPr>
          <w:p w14:paraId="56085B73"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0.617</w:t>
            </w:r>
          </w:p>
        </w:tc>
      </w:tr>
      <w:tr w:rsidR="00864FE6" w:rsidRPr="00864FE6" w14:paraId="68A38FA6" w14:textId="77777777" w:rsidTr="00A64436">
        <w:trPr>
          <w:trHeight w:val="328"/>
          <w:jc w:val="center"/>
        </w:trPr>
        <w:tc>
          <w:tcPr>
            <w:tcW w:w="0" w:type="auto"/>
            <w:vMerge/>
            <w:tcBorders>
              <w:bottom w:val="single" w:sz="4" w:space="0" w:color="auto"/>
            </w:tcBorders>
            <w:vAlign w:val="center"/>
            <w:hideMark/>
          </w:tcPr>
          <w:p w14:paraId="0C80A9F3"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2540" w:type="dxa"/>
            <w:vMerge/>
            <w:tcBorders>
              <w:bottom w:val="single" w:sz="4" w:space="0" w:color="auto"/>
            </w:tcBorders>
            <w:vAlign w:val="center"/>
            <w:hideMark/>
          </w:tcPr>
          <w:p w14:paraId="3F047C29" w14:textId="77777777" w:rsidR="00B22905" w:rsidRPr="00FA7746" w:rsidRDefault="00B22905" w:rsidP="00A2048E">
            <w:pPr>
              <w:spacing w:after="0" w:line="480" w:lineRule="auto"/>
              <w:jc w:val="center"/>
              <w:rPr>
                <w:rFonts w:ascii="Times New Roman" w:hAnsi="Times New Roman" w:cs="Times New Roman"/>
                <w:sz w:val="24"/>
                <w:szCs w:val="24"/>
              </w:rPr>
            </w:pPr>
          </w:p>
        </w:tc>
        <w:tc>
          <w:tcPr>
            <w:tcW w:w="1560" w:type="dxa"/>
            <w:tcBorders>
              <w:bottom w:val="single" w:sz="4" w:space="0" w:color="auto"/>
            </w:tcBorders>
            <w:vAlign w:val="center"/>
            <w:hideMark/>
          </w:tcPr>
          <w:p w14:paraId="2A1C032B"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CatBoost</w:t>
            </w:r>
          </w:p>
        </w:tc>
        <w:tc>
          <w:tcPr>
            <w:tcW w:w="1134" w:type="dxa"/>
            <w:tcBorders>
              <w:bottom w:val="single" w:sz="4" w:space="0" w:color="auto"/>
            </w:tcBorders>
            <w:vAlign w:val="center"/>
            <w:hideMark/>
          </w:tcPr>
          <w:p w14:paraId="0FB24D09"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59.50%</w:t>
            </w:r>
          </w:p>
        </w:tc>
        <w:tc>
          <w:tcPr>
            <w:tcW w:w="992" w:type="dxa"/>
            <w:tcBorders>
              <w:bottom w:val="single" w:sz="4" w:space="0" w:color="auto"/>
            </w:tcBorders>
            <w:vAlign w:val="center"/>
            <w:hideMark/>
          </w:tcPr>
          <w:p w14:paraId="4641FF87"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0.593</w:t>
            </w:r>
          </w:p>
        </w:tc>
        <w:tc>
          <w:tcPr>
            <w:tcW w:w="709" w:type="dxa"/>
            <w:tcBorders>
              <w:bottom w:val="single" w:sz="4" w:space="0" w:color="auto"/>
            </w:tcBorders>
            <w:vAlign w:val="center"/>
            <w:hideMark/>
          </w:tcPr>
          <w:p w14:paraId="6CF4ACCA"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0.593</w:t>
            </w:r>
          </w:p>
        </w:tc>
        <w:tc>
          <w:tcPr>
            <w:tcW w:w="702" w:type="dxa"/>
            <w:tcBorders>
              <w:bottom w:val="single" w:sz="4" w:space="0" w:color="auto"/>
            </w:tcBorders>
            <w:vAlign w:val="center"/>
            <w:hideMark/>
          </w:tcPr>
          <w:p w14:paraId="0195BDEB" w14:textId="77777777" w:rsidR="00B22905" w:rsidRPr="00FA7746" w:rsidRDefault="00B22905" w:rsidP="00A2048E">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0.593</w:t>
            </w:r>
          </w:p>
        </w:tc>
      </w:tr>
      <w:tr w:rsidR="00864FE6" w:rsidRPr="00864FE6" w14:paraId="2A2F6ADA" w14:textId="77777777" w:rsidTr="00A64436">
        <w:trPr>
          <w:jc w:val="center"/>
        </w:trPr>
        <w:tc>
          <w:tcPr>
            <w:tcW w:w="0" w:type="auto"/>
            <w:vMerge w:val="restart"/>
            <w:tcBorders>
              <w:top w:val="single" w:sz="4" w:space="0" w:color="auto"/>
              <w:bottom w:val="single" w:sz="4" w:space="0" w:color="auto"/>
            </w:tcBorders>
            <w:vAlign w:val="center"/>
            <w:hideMark/>
          </w:tcPr>
          <w:p w14:paraId="65CAC4BF" w14:textId="77777777" w:rsidR="00B22905" w:rsidRPr="00FA71C8" w:rsidRDefault="00B22905" w:rsidP="00A2048E">
            <w:pPr>
              <w:spacing w:after="0" w:line="480" w:lineRule="auto"/>
              <w:jc w:val="center"/>
              <w:rPr>
                <w:rFonts w:ascii="Times New Roman" w:hAnsi="Times New Roman" w:cs="Times New Roman"/>
                <w:sz w:val="24"/>
                <w:szCs w:val="24"/>
              </w:rPr>
            </w:pPr>
            <w:r w:rsidRPr="00FA71C8">
              <w:rPr>
                <w:rFonts w:ascii="Times New Roman" w:hAnsi="Times New Roman" w:cs="Times New Roman"/>
                <w:sz w:val="24"/>
                <w:szCs w:val="24"/>
              </w:rPr>
              <w:t>Setting 3</w:t>
            </w:r>
          </w:p>
        </w:tc>
        <w:tc>
          <w:tcPr>
            <w:tcW w:w="2540" w:type="dxa"/>
            <w:vMerge w:val="restart"/>
            <w:tcBorders>
              <w:top w:val="single" w:sz="4" w:space="0" w:color="auto"/>
              <w:bottom w:val="single" w:sz="4" w:space="0" w:color="auto"/>
            </w:tcBorders>
            <w:vAlign w:val="center"/>
            <w:hideMark/>
          </w:tcPr>
          <w:p w14:paraId="2EEAB8D7" w14:textId="4EBF98A4" w:rsidR="00B22905" w:rsidRPr="00221685" w:rsidRDefault="001A6209" w:rsidP="00A2048E">
            <w:pPr>
              <w:spacing w:after="0" w:line="480" w:lineRule="auto"/>
              <w:jc w:val="center"/>
              <w:rPr>
                <w:rFonts w:ascii="Times New Roman" w:hAnsi="Times New Roman"/>
                <w:sz w:val="24"/>
                <w:szCs w:val="24"/>
              </w:rPr>
            </w:pPr>
            <w:r w:rsidRPr="00FA7746">
              <w:rPr>
                <w:rFonts w:ascii="Times New Roman" w:hAnsi="Times New Roman" w:cs="Times New Roman"/>
                <w:sz w:val="24"/>
                <w:szCs w:val="24"/>
              </w:rPr>
              <w:t xml:space="preserve">Anti, </w:t>
            </w:r>
            <w:r w:rsidR="00B22905" w:rsidRPr="00FA71C8">
              <w:rPr>
                <w:rFonts w:ascii="Times New Roman" w:hAnsi="Times New Roman" w:cs="Times New Roman"/>
                <w:sz w:val="24"/>
                <w:szCs w:val="24"/>
              </w:rPr>
              <w:t>Specimen, Sex, Age</w:t>
            </w:r>
          </w:p>
        </w:tc>
        <w:tc>
          <w:tcPr>
            <w:tcW w:w="1560" w:type="dxa"/>
            <w:tcBorders>
              <w:top w:val="single" w:sz="4" w:space="0" w:color="auto"/>
            </w:tcBorders>
            <w:vAlign w:val="center"/>
            <w:hideMark/>
          </w:tcPr>
          <w:p w14:paraId="7DC1E7B1"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Decision Tree</w:t>
            </w:r>
          </w:p>
        </w:tc>
        <w:tc>
          <w:tcPr>
            <w:tcW w:w="1134" w:type="dxa"/>
            <w:tcBorders>
              <w:top w:val="single" w:sz="4" w:space="0" w:color="auto"/>
            </w:tcBorders>
            <w:vAlign w:val="center"/>
            <w:hideMark/>
          </w:tcPr>
          <w:p w14:paraId="12E27E78" w14:textId="3663DDDD" w:rsidR="00B22905" w:rsidRPr="00FA7746" w:rsidRDefault="003F663A" w:rsidP="00A2048E">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46.00%</w:t>
            </w:r>
          </w:p>
        </w:tc>
        <w:tc>
          <w:tcPr>
            <w:tcW w:w="992" w:type="dxa"/>
            <w:tcBorders>
              <w:top w:val="single" w:sz="4" w:space="0" w:color="auto"/>
            </w:tcBorders>
            <w:vAlign w:val="center"/>
            <w:hideMark/>
          </w:tcPr>
          <w:p w14:paraId="161A7D2A" w14:textId="421910DD"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0.458</w:t>
            </w:r>
          </w:p>
        </w:tc>
        <w:tc>
          <w:tcPr>
            <w:tcW w:w="709" w:type="dxa"/>
            <w:tcBorders>
              <w:top w:val="single" w:sz="4" w:space="0" w:color="auto"/>
            </w:tcBorders>
            <w:vAlign w:val="center"/>
            <w:hideMark/>
          </w:tcPr>
          <w:p w14:paraId="1140773F" w14:textId="5CCD112F" w:rsidR="00B22905" w:rsidRPr="00FA7746" w:rsidRDefault="003F663A" w:rsidP="00A2048E">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0.460</w:t>
            </w:r>
          </w:p>
        </w:tc>
        <w:tc>
          <w:tcPr>
            <w:tcW w:w="702" w:type="dxa"/>
            <w:tcBorders>
              <w:top w:val="single" w:sz="4" w:space="0" w:color="auto"/>
            </w:tcBorders>
            <w:vAlign w:val="center"/>
            <w:hideMark/>
          </w:tcPr>
          <w:p w14:paraId="712B6E32" w14:textId="5AA01119"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0.457</w:t>
            </w:r>
          </w:p>
        </w:tc>
      </w:tr>
      <w:tr w:rsidR="00864FE6" w:rsidRPr="00864FE6" w14:paraId="5817A066" w14:textId="77777777" w:rsidTr="00A64436">
        <w:trPr>
          <w:jc w:val="center"/>
        </w:trPr>
        <w:tc>
          <w:tcPr>
            <w:tcW w:w="0" w:type="auto"/>
            <w:vMerge/>
            <w:tcBorders>
              <w:bottom w:val="single" w:sz="4" w:space="0" w:color="auto"/>
            </w:tcBorders>
            <w:vAlign w:val="center"/>
            <w:hideMark/>
          </w:tcPr>
          <w:p w14:paraId="7822FC3E" w14:textId="77777777" w:rsidR="00B22905" w:rsidRPr="00FA7746" w:rsidRDefault="00B22905" w:rsidP="00A2048E">
            <w:pPr>
              <w:spacing w:after="0" w:line="480" w:lineRule="auto"/>
              <w:rPr>
                <w:rFonts w:ascii="Times New Roman" w:hAnsi="Times New Roman" w:cs="Times New Roman"/>
                <w:sz w:val="24"/>
                <w:szCs w:val="24"/>
              </w:rPr>
            </w:pPr>
          </w:p>
        </w:tc>
        <w:tc>
          <w:tcPr>
            <w:tcW w:w="2540" w:type="dxa"/>
            <w:vMerge/>
            <w:tcBorders>
              <w:bottom w:val="single" w:sz="4" w:space="0" w:color="auto"/>
            </w:tcBorders>
            <w:vAlign w:val="center"/>
            <w:hideMark/>
          </w:tcPr>
          <w:p w14:paraId="7133C890" w14:textId="77777777" w:rsidR="00B22905" w:rsidRPr="00FA7746" w:rsidRDefault="00B22905" w:rsidP="00A2048E">
            <w:pPr>
              <w:spacing w:after="0" w:line="480" w:lineRule="auto"/>
              <w:rPr>
                <w:rFonts w:ascii="Times New Roman" w:hAnsi="Times New Roman" w:cs="Times New Roman"/>
                <w:sz w:val="24"/>
                <w:szCs w:val="24"/>
              </w:rPr>
            </w:pPr>
          </w:p>
        </w:tc>
        <w:tc>
          <w:tcPr>
            <w:tcW w:w="1560" w:type="dxa"/>
            <w:vAlign w:val="center"/>
            <w:hideMark/>
          </w:tcPr>
          <w:p w14:paraId="6AA227D5"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Random Forest</w:t>
            </w:r>
          </w:p>
        </w:tc>
        <w:tc>
          <w:tcPr>
            <w:tcW w:w="1134" w:type="dxa"/>
            <w:vAlign w:val="center"/>
            <w:hideMark/>
          </w:tcPr>
          <w:p w14:paraId="69DF0964" w14:textId="6ADDD914" w:rsidR="00B22905" w:rsidRPr="00FA7746" w:rsidRDefault="003F663A" w:rsidP="00A2048E">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46.67%</w:t>
            </w:r>
          </w:p>
        </w:tc>
        <w:tc>
          <w:tcPr>
            <w:tcW w:w="992" w:type="dxa"/>
            <w:vAlign w:val="center"/>
            <w:hideMark/>
          </w:tcPr>
          <w:p w14:paraId="2C783A90" w14:textId="76B83F60"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0.465</w:t>
            </w:r>
          </w:p>
        </w:tc>
        <w:tc>
          <w:tcPr>
            <w:tcW w:w="709" w:type="dxa"/>
            <w:vAlign w:val="center"/>
            <w:hideMark/>
          </w:tcPr>
          <w:p w14:paraId="1B6B7C1C" w14:textId="56A7997D" w:rsidR="00B22905" w:rsidRPr="00FA7746" w:rsidRDefault="003F663A" w:rsidP="00A2048E">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0.466</w:t>
            </w:r>
          </w:p>
        </w:tc>
        <w:tc>
          <w:tcPr>
            <w:tcW w:w="702" w:type="dxa"/>
            <w:vAlign w:val="center"/>
            <w:hideMark/>
          </w:tcPr>
          <w:p w14:paraId="0584F0D4" w14:textId="1A80B4DF"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0.463</w:t>
            </w:r>
          </w:p>
        </w:tc>
      </w:tr>
      <w:tr w:rsidR="00864FE6" w:rsidRPr="00864FE6" w14:paraId="5CFF69B4" w14:textId="77777777" w:rsidTr="00A64436">
        <w:trPr>
          <w:jc w:val="center"/>
        </w:trPr>
        <w:tc>
          <w:tcPr>
            <w:tcW w:w="0" w:type="auto"/>
            <w:vMerge/>
            <w:tcBorders>
              <w:bottom w:val="single" w:sz="4" w:space="0" w:color="auto"/>
            </w:tcBorders>
            <w:vAlign w:val="center"/>
            <w:hideMark/>
          </w:tcPr>
          <w:p w14:paraId="1D71496A" w14:textId="77777777" w:rsidR="00B22905" w:rsidRPr="00FA7746" w:rsidRDefault="00B22905" w:rsidP="00A2048E">
            <w:pPr>
              <w:spacing w:after="0" w:line="480" w:lineRule="auto"/>
              <w:rPr>
                <w:rFonts w:ascii="Times New Roman" w:hAnsi="Times New Roman" w:cs="Times New Roman"/>
                <w:sz w:val="24"/>
                <w:szCs w:val="24"/>
              </w:rPr>
            </w:pPr>
          </w:p>
        </w:tc>
        <w:tc>
          <w:tcPr>
            <w:tcW w:w="2540" w:type="dxa"/>
            <w:vMerge/>
            <w:tcBorders>
              <w:bottom w:val="single" w:sz="4" w:space="0" w:color="auto"/>
            </w:tcBorders>
            <w:vAlign w:val="center"/>
            <w:hideMark/>
          </w:tcPr>
          <w:p w14:paraId="1E1A319D" w14:textId="77777777" w:rsidR="00B22905" w:rsidRPr="00FA7746" w:rsidRDefault="00B22905" w:rsidP="00A2048E">
            <w:pPr>
              <w:spacing w:after="0" w:line="480" w:lineRule="auto"/>
              <w:rPr>
                <w:rFonts w:ascii="Times New Roman" w:hAnsi="Times New Roman" w:cs="Times New Roman"/>
                <w:sz w:val="24"/>
                <w:szCs w:val="24"/>
              </w:rPr>
            </w:pPr>
          </w:p>
        </w:tc>
        <w:tc>
          <w:tcPr>
            <w:tcW w:w="1560" w:type="dxa"/>
            <w:vAlign w:val="center"/>
            <w:hideMark/>
          </w:tcPr>
          <w:p w14:paraId="6DEE2029"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XGBoost</w:t>
            </w:r>
          </w:p>
        </w:tc>
        <w:tc>
          <w:tcPr>
            <w:tcW w:w="1134" w:type="dxa"/>
            <w:vAlign w:val="center"/>
            <w:hideMark/>
          </w:tcPr>
          <w:p w14:paraId="6354B3B6" w14:textId="1D02392E" w:rsidR="00B22905" w:rsidRPr="00FA7746" w:rsidRDefault="003F663A" w:rsidP="00A2048E">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46.13%</w:t>
            </w:r>
          </w:p>
        </w:tc>
        <w:tc>
          <w:tcPr>
            <w:tcW w:w="992" w:type="dxa"/>
            <w:vAlign w:val="center"/>
            <w:hideMark/>
          </w:tcPr>
          <w:p w14:paraId="437F3FD5" w14:textId="523972C5"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0.4595</w:t>
            </w:r>
          </w:p>
        </w:tc>
        <w:tc>
          <w:tcPr>
            <w:tcW w:w="709" w:type="dxa"/>
            <w:vAlign w:val="center"/>
            <w:hideMark/>
          </w:tcPr>
          <w:p w14:paraId="03C0ABBE" w14:textId="4399A3E8"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0.461</w:t>
            </w:r>
          </w:p>
        </w:tc>
        <w:tc>
          <w:tcPr>
            <w:tcW w:w="702" w:type="dxa"/>
            <w:vAlign w:val="center"/>
            <w:hideMark/>
          </w:tcPr>
          <w:p w14:paraId="118957F1" w14:textId="7913F2EE"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0.457</w:t>
            </w:r>
          </w:p>
        </w:tc>
      </w:tr>
      <w:tr w:rsidR="00864FE6" w:rsidRPr="00864FE6" w14:paraId="620888D5" w14:textId="77777777" w:rsidTr="00A64436">
        <w:trPr>
          <w:jc w:val="center"/>
        </w:trPr>
        <w:tc>
          <w:tcPr>
            <w:tcW w:w="0" w:type="auto"/>
            <w:vMerge/>
            <w:tcBorders>
              <w:bottom w:val="single" w:sz="4" w:space="0" w:color="auto"/>
            </w:tcBorders>
            <w:vAlign w:val="center"/>
            <w:hideMark/>
          </w:tcPr>
          <w:p w14:paraId="4D86FE39" w14:textId="77777777" w:rsidR="00B22905" w:rsidRPr="00FA7746" w:rsidRDefault="00B22905" w:rsidP="00A2048E">
            <w:pPr>
              <w:spacing w:after="0" w:line="480" w:lineRule="auto"/>
              <w:rPr>
                <w:rFonts w:ascii="Times New Roman" w:hAnsi="Times New Roman" w:cs="Times New Roman"/>
                <w:sz w:val="24"/>
                <w:szCs w:val="24"/>
              </w:rPr>
            </w:pPr>
          </w:p>
        </w:tc>
        <w:tc>
          <w:tcPr>
            <w:tcW w:w="2540" w:type="dxa"/>
            <w:vMerge/>
            <w:tcBorders>
              <w:bottom w:val="single" w:sz="4" w:space="0" w:color="auto"/>
            </w:tcBorders>
            <w:vAlign w:val="center"/>
            <w:hideMark/>
          </w:tcPr>
          <w:p w14:paraId="4ED3B6C2" w14:textId="77777777" w:rsidR="00B22905" w:rsidRPr="00FA7746" w:rsidRDefault="00B22905" w:rsidP="00A2048E">
            <w:pPr>
              <w:spacing w:after="0" w:line="480" w:lineRule="auto"/>
              <w:rPr>
                <w:rFonts w:ascii="Times New Roman" w:hAnsi="Times New Roman" w:cs="Times New Roman"/>
                <w:sz w:val="24"/>
                <w:szCs w:val="24"/>
              </w:rPr>
            </w:pPr>
          </w:p>
        </w:tc>
        <w:tc>
          <w:tcPr>
            <w:tcW w:w="1560" w:type="dxa"/>
            <w:tcBorders>
              <w:bottom w:val="single" w:sz="4" w:space="0" w:color="auto"/>
            </w:tcBorders>
            <w:vAlign w:val="center"/>
            <w:hideMark/>
          </w:tcPr>
          <w:p w14:paraId="2B171974" w14:textId="77777777" w:rsidR="00B22905" w:rsidRPr="00FA7746" w:rsidRDefault="00B22905" w:rsidP="00A2048E">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CatBoost</w:t>
            </w:r>
          </w:p>
        </w:tc>
        <w:tc>
          <w:tcPr>
            <w:tcW w:w="1134" w:type="dxa"/>
            <w:tcBorders>
              <w:bottom w:val="single" w:sz="4" w:space="0" w:color="auto"/>
            </w:tcBorders>
            <w:vAlign w:val="center"/>
            <w:hideMark/>
          </w:tcPr>
          <w:p w14:paraId="30383CFA" w14:textId="79B3F6A4" w:rsidR="00B22905" w:rsidRPr="00FA7746" w:rsidRDefault="003F663A" w:rsidP="00A2048E">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45.47%</w:t>
            </w:r>
          </w:p>
        </w:tc>
        <w:tc>
          <w:tcPr>
            <w:tcW w:w="992" w:type="dxa"/>
            <w:tcBorders>
              <w:bottom w:val="single" w:sz="4" w:space="0" w:color="auto"/>
            </w:tcBorders>
            <w:vAlign w:val="center"/>
            <w:hideMark/>
          </w:tcPr>
          <w:p w14:paraId="78880162" w14:textId="5994D788"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0.453</w:t>
            </w:r>
          </w:p>
        </w:tc>
        <w:tc>
          <w:tcPr>
            <w:tcW w:w="709" w:type="dxa"/>
            <w:tcBorders>
              <w:bottom w:val="single" w:sz="4" w:space="0" w:color="auto"/>
            </w:tcBorders>
            <w:vAlign w:val="center"/>
            <w:hideMark/>
          </w:tcPr>
          <w:p w14:paraId="14AA0025" w14:textId="0F10315A"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0.454</w:t>
            </w:r>
          </w:p>
        </w:tc>
        <w:tc>
          <w:tcPr>
            <w:tcW w:w="702" w:type="dxa"/>
            <w:tcBorders>
              <w:bottom w:val="single" w:sz="4" w:space="0" w:color="auto"/>
            </w:tcBorders>
            <w:vAlign w:val="center"/>
            <w:hideMark/>
          </w:tcPr>
          <w:p w14:paraId="58D44283" w14:textId="1A14A77D" w:rsidR="00B22905" w:rsidRPr="00373766" w:rsidRDefault="003F663A" w:rsidP="00A2048E">
            <w:pPr>
              <w:spacing w:after="0" w:line="480" w:lineRule="auto"/>
              <w:jc w:val="center"/>
              <w:rPr>
                <w:rFonts w:ascii="Times New Roman" w:hAnsi="Times New Roman"/>
                <w:sz w:val="24"/>
                <w:szCs w:val="24"/>
              </w:rPr>
            </w:pPr>
            <w:r w:rsidRPr="003F663A">
              <w:rPr>
                <w:rFonts w:ascii="Times New Roman" w:hAnsi="Times New Roman" w:cs="Times New Roman"/>
                <w:sz w:val="24"/>
                <w:szCs w:val="24"/>
              </w:rPr>
              <w:t>0.449</w:t>
            </w:r>
          </w:p>
        </w:tc>
      </w:tr>
    </w:tbl>
    <w:p w14:paraId="7C764D22" w14:textId="77777777" w:rsidR="00FA7746" w:rsidRPr="00FA7746" w:rsidRDefault="00FA7746" w:rsidP="007C321C">
      <w:pPr>
        <w:spacing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Table 1. Prediction results for antimicrobial susceptibility in S/I/R classification across the three experimental settings.</w:t>
      </w:r>
    </w:p>
    <w:p w14:paraId="23F49B44" w14:textId="77777777" w:rsidR="00FA7746" w:rsidRPr="00FA7746" w:rsidRDefault="00FA7746" w:rsidP="00221B8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Performance declined consistently as microbiology variables were removed. Removing organism information in Setting 2 led to a clear decrease in all evaluation metrics across all models. When both organism and antibiotic information were removed in Setting 3, model performance declined further. These findings indicate that microbiology variables, particularly organism and antibiotic information, contribute substantially to discrimination of S/I/R outcomes.</w:t>
      </w:r>
    </w:p>
    <w:p w14:paraId="79F55412"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4.3. Effect of Feature Reduction</w:t>
      </w:r>
    </w:p>
    <w:p w14:paraId="53A7249C" w14:textId="77777777" w:rsidR="00FA7746" w:rsidRPr="00FA7746" w:rsidRDefault="00FA7746" w:rsidP="002620AC">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To evaluate the importance of feature groups in predicting S/I/R outcomes, the performance of the best model in each setting, namely Random Forest, was compared as shown in Table 2.</w:t>
      </w:r>
    </w:p>
    <w:tbl>
      <w:tblPr>
        <w:tblW w:w="0" w:type="auto"/>
        <w:jc w:val="center"/>
        <w:tblCellMar>
          <w:top w:w="15" w:type="dxa"/>
          <w:left w:w="15" w:type="dxa"/>
          <w:bottom w:w="15" w:type="dxa"/>
          <w:right w:w="15" w:type="dxa"/>
        </w:tblCellMar>
        <w:tblLook w:val="04A0" w:firstRow="1" w:lastRow="0" w:firstColumn="1" w:lastColumn="0" w:noHBand="0" w:noVBand="1"/>
      </w:tblPr>
      <w:tblGrid>
        <w:gridCol w:w="878"/>
        <w:gridCol w:w="3430"/>
        <w:gridCol w:w="1003"/>
        <w:gridCol w:w="977"/>
        <w:gridCol w:w="670"/>
        <w:gridCol w:w="450"/>
        <w:gridCol w:w="1096"/>
      </w:tblGrid>
      <w:tr w:rsidR="00864FE6" w:rsidRPr="00864FE6" w14:paraId="628FFE36" w14:textId="77777777" w:rsidTr="00093B9C">
        <w:trPr>
          <w:jc w:val="center"/>
        </w:trPr>
        <w:tc>
          <w:tcPr>
            <w:tcW w:w="0" w:type="auto"/>
            <w:vMerge w:val="restart"/>
            <w:tcBorders>
              <w:top w:val="single" w:sz="4" w:space="0" w:color="auto"/>
              <w:bottom w:val="single" w:sz="4" w:space="0" w:color="auto"/>
            </w:tcBorders>
            <w:vAlign w:val="center"/>
            <w:hideMark/>
          </w:tcPr>
          <w:p w14:paraId="4E344811" w14:textId="77777777" w:rsidR="00BD4B45" w:rsidRPr="00FA7746" w:rsidRDefault="00BD4B45"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Setting</w:t>
            </w:r>
          </w:p>
        </w:tc>
        <w:tc>
          <w:tcPr>
            <w:tcW w:w="0" w:type="auto"/>
            <w:vMerge w:val="restart"/>
            <w:tcBorders>
              <w:top w:val="single" w:sz="4" w:space="0" w:color="auto"/>
            </w:tcBorders>
            <w:vAlign w:val="center"/>
            <w:hideMark/>
          </w:tcPr>
          <w:p w14:paraId="46BD9462" w14:textId="77777777" w:rsidR="00BD4B45" w:rsidRPr="00FA7746" w:rsidRDefault="00BD4B45"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Features</w:t>
            </w:r>
          </w:p>
        </w:tc>
        <w:tc>
          <w:tcPr>
            <w:tcW w:w="0" w:type="auto"/>
            <w:vMerge w:val="restart"/>
            <w:tcBorders>
              <w:top w:val="single" w:sz="4" w:space="0" w:color="auto"/>
            </w:tcBorders>
            <w:vAlign w:val="center"/>
            <w:hideMark/>
          </w:tcPr>
          <w:p w14:paraId="71F25621" w14:textId="77777777" w:rsidR="00BD4B45" w:rsidRPr="00FA7746" w:rsidRDefault="00BD4B45"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Accuracy</w:t>
            </w:r>
          </w:p>
        </w:tc>
        <w:tc>
          <w:tcPr>
            <w:tcW w:w="0" w:type="auto"/>
            <w:gridSpan w:val="3"/>
            <w:tcBorders>
              <w:top w:val="single" w:sz="4" w:space="0" w:color="auto"/>
            </w:tcBorders>
            <w:vAlign w:val="center"/>
            <w:hideMark/>
          </w:tcPr>
          <w:p w14:paraId="7B261E24" w14:textId="393F1103" w:rsidR="00BD4B45" w:rsidRPr="00FA7746" w:rsidRDefault="00BD4B45" w:rsidP="00BD4B45">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Macro</w:t>
            </w:r>
          </w:p>
        </w:tc>
        <w:tc>
          <w:tcPr>
            <w:tcW w:w="0" w:type="auto"/>
            <w:tcBorders>
              <w:top w:val="single" w:sz="4" w:space="0" w:color="auto"/>
            </w:tcBorders>
            <w:vAlign w:val="center"/>
            <w:hideMark/>
          </w:tcPr>
          <w:p w14:paraId="005F4969" w14:textId="08F0AD9A" w:rsidR="00BD4B45" w:rsidRPr="00FA7746" w:rsidRDefault="00BD4B45"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Accuracy</w:t>
            </w:r>
          </w:p>
        </w:tc>
      </w:tr>
      <w:tr w:rsidR="00864FE6" w:rsidRPr="00864FE6" w14:paraId="1BE98447" w14:textId="77777777" w:rsidTr="004F2E48">
        <w:trPr>
          <w:jc w:val="center"/>
        </w:trPr>
        <w:tc>
          <w:tcPr>
            <w:tcW w:w="0" w:type="auto"/>
            <w:vMerge/>
            <w:tcBorders>
              <w:bottom w:val="single" w:sz="4" w:space="0" w:color="auto"/>
            </w:tcBorders>
            <w:vAlign w:val="center"/>
          </w:tcPr>
          <w:p w14:paraId="591B05ED" w14:textId="77777777" w:rsidR="00BD4B45" w:rsidRPr="00864FE6" w:rsidRDefault="00BD4B45" w:rsidP="00210D3D">
            <w:pPr>
              <w:spacing w:after="0" w:line="480" w:lineRule="auto"/>
              <w:rPr>
                <w:rFonts w:ascii="Times New Roman" w:hAnsi="Times New Roman" w:cs="Times New Roman"/>
                <w:b/>
                <w:bCs/>
                <w:sz w:val="24"/>
                <w:szCs w:val="24"/>
              </w:rPr>
            </w:pPr>
          </w:p>
        </w:tc>
        <w:tc>
          <w:tcPr>
            <w:tcW w:w="0" w:type="auto"/>
            <w:vMerge/>
            <w:tcBorders>
              <w:bottom w:val="single" w:sz="4" w:space="0" w:color="auto"/>
            </w:tcBorders>
            <w:vAlign w:val="center"/>
          </w:tcPr>
          <w:p w14:paraId="7CBF420B" w14:textId="77777777" w:rsidR="00BD4B45" w:rsidRPr="00864FE6" w:rsidRDefault="00BD4B45" w:rsidP="00210D3D">
            <w:pPr>
              <w:spacing w:after="0" w:line="480" w:lineRule="auto"/>
              <w:rPr>
                <w:rFonts w:ascii="Times New Roman" w:hAnsi="Times New Roman" w:cs="Times New Roman"/>
                <w:b/>
                <w:bCs/>
                <w:sz w:val="24"/>
                <w:szCs w:val="24"/>
              </w:rPr>
            </w:pPr>
          </w:p>
        </w:tc>
        <w:tc>
          <w:tcPr>
            <w:tcW w:w="0" w:type="auto"/>
            <w:vMerge/>
            <w:tcBorders>
              <w:bottom w:val="single" w:sz="4" w:space="0" w:color="auto"/>
            </w:tcBorders>
            <w:vAlign w:val="center"/>
          </w:tcPr>
          <w:p w14:paraId="50558958" w14:textId="77777777" w:rsidR="00BD4B45" w:rsidRPr="00864FE6" w:rsidRDefault="00BD4B45" w:rsidP="00210D3D">
            <w:pPr>
              <w:spacing w:after="0" w:line="480" w:lineRule="auto"/>
              <w:rPr>
                <w:rFonts w:ascii="Times New Roman" w:hAnsi="Times New Roman" w:cs="Times New Roman"/>
                <w:b/>
                <w:bCs/>
                <w:sz w:val="24"/>
                <w:szCs w:val="24"/>
              </w:rPr>
            </w:pPr>
          </w:p>
        </w:tc>
        <w:tc>
          <w:tcPr>
            <w:tcW w:w="0" w:type="auto"/>
            <w:tcBorders>
              <w:bottom w:val="single" w:sz="4" w:space="0" w:color="auto"/>
            </w:tcBorders>
            <w:vAlign w:val="center"/>
          </w:tcPr>
          <w:p w14:paraId="7C82DDCA" w14:textId="1E24244C" w:rsidR="00BD4B45" w:rsidRPr="00864FE6" w:rsidRDefault="00BD4B45"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Precision</w:t>
            </w:r>
          </w:p>
        </w:tc>
        <w:tc>
          <w:tcPr>
            <w:tcW w:w="0" w:type="auto"/>
            <w:tcBorders>
              <w:bottom w:val="single" w:sz="4" w:space="0" w:color="auto"/>
            </w:tcBorders>
            <w:vAlign w:val="center"/>
          </w:tcPr>
          <w:p w14:paraId="43839302" w14:textId="415B996D" w:rsidR="00BD4B45" w:rsidRPr="00864FE6" w:rsidRDefault="00BD4B45"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Recall</w:t>
            </w:r>
          </w:p>
        </w:tc>
        <w:tc>
          <w:tcPr>
            <w:tcW w:w="0" w:type="auto"/>
            <w:tcBorders>
              <w:bottom w:val="single" w:sz="4" w:space="0" w:color="auto"/>
            </w:tcBorders>
            <w:vAlign w:val="center"/>
          </w:tcPr>
          <w:p w14:paraId="29AB7AAF" w14:textId="7259CAEC" w:rsidR="00BD4B45" w:rsidRPr="00864FE6" w:rsidRDefault="00BD4B45"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F1</w:t>
            </w:r>
          </w:p>
        </w:tc>
        <w:tc>
          <w:tcPr>
            <w:tcW w:w="0" w:type="auto"/>
            <w:tcBorders>
              <w:bottom w:val="single" w:sz="4" w:space="0" w:color="auto"/>
            </w:tcBorders>
            <w:vAlign w:val="center"/>
          </w:tcPr>
          <w:p w14:paraId="328E65F0" w14:textId="1440B255" w:rsidR="00BD4B45" w:rsidRPr="00864FE6" w:rsidRDefault="00BD4B45"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Difference</w:t>
            </w:r>
          </w:p>
        </w:tc>
      </w:tr>
      <w:tr w:rsidR="00864FE6" w:rsidRPr="00864FE6" w14:paraId="2E901867" w14:textId="77777777" w:rsidTr="004F2E48">
        <w:trPr>
          <w:jc w:val="center"/>
        </w:trPr>
        <w:tc>
          <w:tcPr>
            <w:tcW w:w="0" w:type="auto"/>
            <w:tcBorders>
              <w:top w:val="single" w:sz="4" w:space="0" w:color="auto"/>
              <w:bottom w:val="single" w:sz="4" w:space="0" w:color="auto"/>
            </w:tcBorders>
            <w:vAlign w:val="center"/>
            <w:hideMark/>
          </w:tcPr>
          <w:p w14:paraId="491838E2"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Setting 1</w:t>
            </w:r>
          </w:p>
        </w:tc>
        <w:tc>
          <w:tcPr>
            <w:tcW w:w="0" w:type="auto"/>
            <w:tcBorders>
              <w:top w:val="single" w:sz="4" w:space="0" w:color="auto"/>
              <w:bottom w:val="single" w:sz="4" w:space="0" w:color="auto"/>
            </w:tcBorders>
            <w:vAlign w:val="center"/>
            <w:hideMark/>
          </w:tcPr>
          <w:p w14:paraId="414B011B" w14:textId="77777777" w:rsidR="00210D3D" w:rsidRPr="00FA7746" w:rsidRDefault="00210D3D" w:rsidP="00763854">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Org, Anti, Specimen, Sex, Age, Ward</w:t>
            </w:r>
          </w:p>
        </w:tc>
        <w:tc>
          <w:tcPr>
            <w:tcW w:w="0" w:type="auto"/>
            <w:tcBorders>
              <w:top w:val="single" w:sz="4" w:space="0" w:color="auto"/>
              <w:bottom w:val="single" w:sz="4" w:space="0" w:color="auto"/>
            </w:tcBorders>
            <w:vAlign w:val="center"/>
            <w:hideMark/>
          </w:tcPr>
          <w:p w14:paraId="75763BD4"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75.05%</w:t>
            </w:r>
          </w:p>
        </w:tc>
        <w:tc>
          <w:tcPr>
            <w:tcW w:w="0" w:type="auto"/>
            <w:tcBorders>
              <w:top w:val="single" w:sz="4" w:space="0" w:color="auto"/>
              <w:bottom w:val="single" w:sz="4" w:space="0" w:color="auto"/>
            </w:tcBorders>
            <w:vAlign w:val="center"/>
            <w:hideMark/>
          </w:tcPr>
          <w:p w14:paraId="53E217BF"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0.75</w:t>
            </w:r>
          </w:p>
        </w:tc>
        <w:tc>
          <w:tcPr>
            <w:tcW w:w="0" w:type="auto"/>
            <w:tcBorders>
              <w:top w:val="single" w:sz="4" w:space="0" w:color="auto"/>
              <w:bottom w:val="single" w:sz="4" w:space="0" w:color="auto"/>
            </w:tcBorders>
            <w:vAlign w:val="center"/>
            <w:hideMark/>
          </w:tcPr>
          <w:p w14:paraId="23B5CB3D"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0.75</w:t>
            </w:r>
          </w:p>
        </w:tc>
        <w:tc>
          <w:tcPr>
            <w:tcW w:w="0" w:type="auto"/>
            <w:tcBorders>
              <w:top w:val="single" w:sz="4" w:space="0" w:color="auto"/>
              <w:bottom w:val="single" w:sz="4" w:space="0" w:color="auto"/>
            </w:tcBorders>
            <w:vAlign w:val="center"/>
            <w:hideMark/>
          </w:tcPr>
          <w:p w14:paraId="10429644"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0.75</w:t>
            </w:r>
          </w:p>
        </w:tc>
        <w:tc>
          <w:tcPr>
            <w:tcW w:w="0" w:type="auto"/>
            <w:tcBorders>
              <w:top w:val="single" w:sz="4" w:space="0" w:color="auto"/>
              <w:bottom w:val="single" w:sz="4" w:space="0" w:color="auto"/>
            </w:tcBorders>
            <w:vAlign w:val="center"/>
            <w:hideMark/>
          </w:tcPr>
          <w:p w14:paraId="658B5D88"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w:t>
            </w:r>
          </w:p>
        </w:tc>
      </w:tr>
      <w:tr w:rsidR="00864FE6" w:rsidRPr="00864FE6" w14:paraId="7557E707" w14:textId="77777777" w:rsidTr="004F2E48">
        <w:trPr>
          <w:jc w:val="center"/>
        </w:trPr>
        <w:tc>
          <w:tcPr>
            <w:tcW w:w="0" w:type="auto"/>
            <w:tcBorders>
              <w:top w:val="single" w:sz="4" w:space="0" w:color="auto"/>
              <w:bottom w:val="single" w:sz="4" w:space="0" w:color="auto"/>
            </w:tcBorders>
            <w:vAlign w:val="center"/>
            <w:hideMark/>
          </w:tcPr>
          <w:p w14:paraId="6904F3C5"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lastRenderedPageBreak/>
              <w:t>Setting 2</w:t>
            </w:r>
          </w:p>
        </w:tc>
        <w:tc>
          <w:tcPr>
            <w:tcW w:w="0" w:type="auto"/>
            <w:tcBorders>
              <w:top w:val="single" w:sz="4" w:space="0" w:color="auto"/>
              <w:bottom w:val="single" w:sz="4" w:space="0" w:color="auto"/>
            </w:tcBorders>
            <w:vAlign w:val="center"/>
            <w:hideMark/>
          </w:tcPr>
          <w:p w14:paraId="7E08A9EC" w14:textId="77777777" w:rsidR="00210D3D" w:rsidRPr="00FA7746" w:rsidRDefault="00210D3D" w:rsidP="00763854">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Anti, Specimen, Sex, Age, Ward</w:t>
            </w:r>
          </w:p>
        </w:tc>
        <w:tc>
          <w:tcPr>
            <w:tcW w:w="0" w:type="auto"/>
            <w:tcBorders>
              <w:top w:val="single" w:sz="4" w:space="0" w:color="auto"/>
              <w:bottom w:val="single" w:sz="4" w:space="0" w:color="auto"/>
            </w:tcBorders>
            <w:vAlign w:val="center"/>
            <w:hideMark/>
          </w:tcPr>
          <w:p w14:paraId="2D6BCF60"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66.33%</w:t>
            </w:r>
          </w:p>
        </w:tc>
        <w:tc>
          <w:tcPr>
            <w:tcW w:w="0" w:type="auto"/>
            <w:tcBorders>
              <w:top w:val="single" w:sz="4" w:space="0" w:color="auto"/>
              <w:bottom w:val="single" w:sz="4" w:space="0" w:color="auto"/>
            </w:tcBorders>
            <w:vAlign w:val="center"/>
            <w:hideMark/>
          </w:tcPr>
          <w:p w14:paraId="1BFF6D78"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w:t>
            </w:r>
          </w:p>
        </w:tc>
        <w:tc>
          <w:tcPr>
            <w:tcW w:w="0" w:type="auto"/>
            <w:tcBorders>
              <w:top w:val="single" w:sz="4" w:space="0" w:color="auto"/>
              <w:bottom w:val="single" w:sz="4" w:space="0" w:color="auto"/>
            </w:tcBorders>
            <w:vAlign w:val="center"/>
            <w:hideMark/>
          </w:tcPr>
          <w:p w14:paraId="31175509"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w:t>
            </w:r>
          </w:p>
        </w:tc>
        <w:tc>
          <w:tcPr>
            <w:tcW w:w="0" w:type="auto"/>
            <w:tcBorders>
              <w:top w:val="single" w:sz="4" w:space="0" w:color="auto"/>
              <w:bottom w:val="single" w:sz="4" w:space="0" w:color="auto"/>
            </w:tcBorders>
            <w:vAlign w:val="center"/>
            <w:hideMark/>
          </w:tcPr>
          <w:p w14:paraId="6725F5D6" w14:textId="77777777"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0.66</w:t>
            </w:r>
          </w:p>
        </w:tc>
        <w:tc>
          <w:tcPr>
            <w:tcW w:w="0" w:type="auto"/>
            <w:tcBorders>
              <w:top w:val="single" w:sz="4" w:space="0" w:color="auto"/>
              <w:bottom w:val="single" w:sz="4" w:space="0" w:color="auto"/>
            </w:tcBorders>
            <w:vAlign w:val="center"/>
            <w:hideMark/>
          </w:tcPr>
          <w:p w14:paraId="3654FC18" w14:textId="7795903F" w:rsidR="00210D3D" w:rsidRPr="00FA7746" w:rsidRDefault="00210D3D"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w:t>
            </w:r>
            <w:r w:rsidR="00D1178B">
              <w:rPr>
                <w:rFonts w:ascii="Times New Roman" w:hAnsi="Times New Roman" w:cs="Times New Roman"/>
                <w:sz w:val="24"/>
                <w:szCs w:val="24"/>
              </w:rPr>
              <w:t>1</w:t>
            </w:r>
            <w:r w:rsidRPr="00FA7746">
              <w:rPr>
                <w:rFonts w:ascii="Times New Roman" w:hAnsi="Times New Roman" w:cs="Times New Roman"/>
                <w:sz w:val="24"/>
                <w:szCs w:val="24"/>
              </w:rPr>
              <w:t>.</w:t>
            </w:r>
            <w:r w:rsidR="00D1178B">
              <w:rPr>
                <w:rFonts w:ascii="Times New Roman" w:hAnsi="Times New Roman" w:cs="Times New Roman"/>
                <w:sz w:val="24"/>
                <w:szCs w:val="24"/>
              </w:rPr>
              <w:t>04</w:t>
            </w:r>
            <w:r w:rsidRPr="00FA7746">
              <w:rPr>
                <w:rFonts w:ascii="Times New Roman" w:hAnsi="Times New Roman" w:cs="Times New Roman"/>
                <w:sz w:val="24"/>
                <w:szCs w:val="24"/>
              </w:rPr>
              <w:t>%</w:t>
            </w:r>
          </w:p>
        </w:tc>
      </w:tr>
      <w:tr w:rsidR="00864FE6" w:rsidRPr="00864FE6" w14:paraId="67EFA7D6" w14:textId="77777777" w:rsidTr="004F2E48">
        <w:trPr>
          <w:jc w:val="center"/>
        </w:trPr>
        <w:tc>
          <w:tcPr>
            <w:tcW w:w="0" w:type="auto"/>
            <w:tcBorders>
              <w:top w:val="single" w:sz="4" w:space="0" w:color="auto"/>
              <w:bottom w:val="single" w:sz="4" w:space="0" w:color="auto"/>
            </w:tcBorders>
            <w:vAlign w:val="center"/>
            <w:hideMark/>
          </w:tcPr>
          <w:p w14:paraId="4846EE3B" w14:textId="77777777" w:rsidR="00210D3D" w:rsidRPr="00FA71C8" w:rsidRDefault="00210D3D" w:rsidP="00210D3D">
            <w:pPr>
              <w:spacing w:after="0" w:line="480" w:lineRule="auto"/>
              <w:jc w:val="center"/>
              <w:rPr>
                <w:rFonts w:ascii="Times New Roman" w:hAnsi="Times New Roman" w:cs="Times New Roman"/>
                <w:sz w:val="24"/>
                <w:szCs w:val="24"/>
              </w:rPr>
            </w:pPr>
            <w:r w:rsidRPr="00FA71C8">
              <w:rPr>
                <w:rFonts w:ascii="Times New Roman" w:hAnsi="Times New Roman" w:cs="Times New Roman"/>
                <w:sz w:val="24"/>
                <w:szCs w:val="24"/>
              </w:rPr>
              <w:t>Setting 3</w:t>
            </w:r>
          </w:p>
        </w:tc>
        <w:tc>
          <w:tcPr>
            <w:tcW w:w="0" w:type="auto"/>
            <w:tcBorders>
              <w:top w:val="single" w:sz="4" w:space="0" w:color="auto"/>
              <w:bottom w:val="single" w:sz="4" w:space="0" w:color="auto"/>
            </w:tcBorders>
            <w:vAlign w:val="center"/>
            <w:hideMark/>
          </w:tcPr>
          <w:p w14:paraId="642E1C7B" w14:textId="2756D9FF" w:rsidR="00210D3D" w:rsidRPr="00C232E5" w:rsidRDefault="001A6209" w:rsidP="00763854">
            <w:pPr>
              <w:spacing w:after="0" w:line="480" w:lineRule="auto"/>
              <w:rPr>
                <w:rFonts w:ascii="Times New Roman" w:hAnsi="Times New Roman"/>
                <w:sz w:val="24"/>
                <w:szCs w:val="24"/>
              </w:rPr>
            </w:pPr>
            <w:r w:rsidRPr="00FA7746">
              <w:rPr>
                <w:rFonts w:ascii="Times New Roman" w:hAnsi="Times New Roman" w:cs="Times New Roman"/>
                <w:sz w:val="24"/>
                <w:szCs w:val="24"/>
              </w:rPr>
              <w:t xml:space="preserve">Anti, </w:t>
            </w:r>
            <w:r w:rsidR="00210D3D" w:rsidRPr="00FA71C8">
              <w:rPr>
                <w:rFonts w:ascii="Times New Roman" w:hAnsi="Times New Roman" w:cs="Times New Roman"/>
                <w:sz w:val="24"/>
                <w:szCs w:val="24"/>
              </w:rPr>
              <w:t>Specimen, Sex, Age</w:t>
            </w:r>
          </w:p>
        </w:tc>
        <w:tc>
          <w:tcPr>
            <w:tcW w:w="0" w:type="auto"/>
            <w:tcBorders>
              <w:top w:val="single" w:sz="4" w:space="0" w:color="auto"/>
              <w:bottom w:val="single" w:sz="4" w:space="0" w:color="auto"/>
            </w:tcBorders>
            <w:vAlign w:val="center"/>
            <w:hideMark/>
          </w:tcPr>
          <w:p w14:paraId="58078CB9" w14:textId="58B61C2C" w:rsidR="00210D3D" w:rsidRPr="00FA7746" w:rsidRDefault="003F663A" w:rsidP="00210D3D">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46.67%</w:t>
            </w:r>
          </w:p>
        </w:tc>
        <w:tc>
          <w:tcPr>
            <w:tcW w:w="0" w:type="auto"/>
            <w:tcBorders>
              <w:top w:val="single" w:sz="4" w:space="0" w:color="auto"/>
              <w:bottom w:val="single" w:sz="4" w:space="0" w:color="auto"/>
            </w:tcBorders>
            <w:vAlign w:val="center"/>
            <w:hideMark/>
          </w:tcPr>
          <w:p w14:paraId="34AE8095" w14:textId="00211FA6" w:rsidR="00210D3D" w:rsidRPr="00FA7746" w:rsidRDefault="00D1178B" w:rsidP="00210D3D">
            <w:pPr>
              <w:spacing w:after="0" w:line="480" w:lineRule="auto"/>
              <w:jc w:val="center"/>
              <w:rPr>
                <w:rFonts w:ascii="Times New Roman" w:hAnsi="Times New Roman" w:cs="Times New Roman"/>
                <w:sz w:val="24"/>
                <w:szCs w:val="24"/>
              </w:rPr>
            </w:pPr>
            <w:r w:rsidRPr="00D1178B">
              <w:rPr>
                <w:rFonts w:ascii="Times New Roman" w:hAnsi="Times New Roman" w:cs="Times New Roman"/>
                <w:sz w:val="24"/>
                <w:szCs w:val="24"/>
              </w:rPr>
              <w:t>0.47</w:t>
            </w:r>
          </w:p>
        </w:tc>
        <w:tc>
          <w:tcPr>
            <w:tcW w:w="0" w:type="auto"/>
            <w:tcBorders>
              <w:top w:val="single" w:sz="4" w:space="0" w:color="auto"/>
              <w:bottom w:val="single" w:sz="4" w:space="0" w:color="auto"/>
            </w:tcBorders>
            <w:vAlign w:val="center"/>
            <w:hideMark/>
          </w:tcPr>
          <w:p w14:paraId="258792C5" w14:textId="6BD4F29B" w:rsidR="00210D3D" w:rsidRPr="00FA7746" w:rsidRDefault="00D1178B" w:rsidP="00210D3D">
            <w:pPr>
              <w:spacing w:after="0" w:line="480" w:lineRule="auto"/>
              <w:jc w:val="center"/>
              <w:rPr>
                <w:rFonts w:ascii="Times New Roman" w:hAnsi="Times New Roman" w:cs="Times New Roman"/>
                <w:sz w:val="24"/>
                <w:szCs w:val="24"/>
              </w:rPr>
            </w:pPr>
            <w:r w:rsidRPr="00D1178B">
              <w:rPr>
                <w:rFonts w:ascii="Times New Roman" w:hAnsi="Times New Roman" w:cs="Times New Roman"/>
                <w:sz w:val="24"/>
                <w:szCs w:val="24"/>
              </w:rPr>
              <w:t>0.47</w:t>
            </w:r>
          </w:p>
        </w:tc>
        <w:tc>
          <w:tcPr>
            <w:tcW w:w="0" w:type="auto"/>
            <w:tcBorders>
              <w:top w:val="single" w:sz="4" w:space="0" w:color="auto"/>
              <w:bottom w:val="single" w:sz="4" w:space="0" w:color="auto"/>
            </w:tcBorders>
            <w:vAlign w:val="center"/>
            <w:hideMark/>
          </w:tcPr>
          <w:p w14:paraId="5D1663B6" w14:textId="6A0D13F0" w:rsidR="00210D3D" w:rsidRPr="00FA7746" w:rsidRDefault="00D1178B" w:rsidP="00210D3D">
            <w:pPr>
              <w:spacing w:after="0" w:line="480" w:lineRule="auto"/>
              <w:jc w:val="center"/>
              <w:rPr>
                <w:rFonts w:ascii="Times New Roman" w:hAnsi="Times New Roman" w:cs="Times New Roman"/>
                <w:sz w:val="24"/>
                <w:szCs w:val="24"/>
              </w:rPr>
            </w:pPr>
            <w:r w:rsidRPr="00D1178B">
              <w:rPr>
                <w:rFonts w:ascii="Times New Roman" w:hAnsi="Times New Roman" w:cs="Times New Roman"/>
                <w:sz w:val="24"/>
                <w:szCs w:val="24"/>
              </w:rPr>
              <w:t>0.47</w:t>
            </w:r>
          </w:p>
        </w:tc>
        <w:tc>
          <w:tcPr>
            <w:tcW w:w="0" w:type="auto"/>
            <w:tcBorders>
              <w:top w:val="single" w:sz="4" w:space="0" w:color="auto"/>
              <w:bottom w:val="single" w:sz="4" w:space="0" w:color="auto"/>
            </w:tcBorders>
            <w:vAlign w:val="center"/>
            <w:hideMark/>
          </w:tcPr>
          <w:p w14:paraId="3EFC1648" w14:textId="3522C82B" w:rsidR="00210D3D" w:rsidRPr="00FA7746" w:rsidRDefault="00803F56" w:rsidP="00210D3D">
            <w:pPr>
              <w:spacing w:after="0" w:line="480" w:lineRule="auto"/>
              <w:jc w:val="center"/>
              <w:rPr>
                <w:rFonts w:ascii="Times New Roman" w:hAnsi="Times New Roman" w:cs="Times New Roman"/>
                <w:sz w:val="24"/>
                <w:szCs w:val="24"/>
              </w:rPr>
            </w:pPr>
            <w:r w:rsidRPr="00803F56">
              <w:rPr>
                <w:rFonts w:ascii="Times New Roman" w:hAnsi="Times New Roman" w:cs="Times New Roman"/>
                <w:sz w:val="24"/>
                <w:szCs w:val="24"/>
              </w:rPr>
              <w:t>-28.38%</w:t>
            </w:r>
          </w:p>
        </w:tc>
      </w:tr>
    </w:tbl>
    <w:p w14:paraId="7006BB38" w14:textId="77777777" w:rsidR="00FA7746" w:rsidRPr="00FA7746" w:rsidRDefault="00FA7746" w:rsidP="00973D86">
      <w:pPr>
        <w:spacing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Table 2. Comparison of Random Forest performance under sequential feature reduction.</w:t>
      </w:r>
    </w:p>
    <w:p w14:paraId="4D49448F" w14:textId="77777777" w:rsidR="00FA7746" w:rsidRPr="00FA7746" w:rsidRDefault="00FA7746" w:rsidP="0011314A">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As shown in Table 2, standardized organism information was the most influential feature affecting model performance. When it was removed from Setting 1, accuracy decreased by 8.72%, from 75.05% to 66.33%. At the same time, macro precision, macro recall, and macro F1-score all declined from 0.75 to 0.66. When standardized antibiotic information was additionally removed from Setting 2, accuracy decreased by a further 3.97%, reaching 62.36%, while the macro-level metrics also declined accordingly. These results confirm that microbiological information, especially organism and antibiotic variables, has a direct impact on the model’s ability to distinguish S/I/R outcomes.</w:t>
      </w:r>
    </w:p>
    <w:p w14:paraId="0ED80D7A"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4.4. Class-Level Performance of the Best Model</w:t>
      </w:r>
    </w:p>
    <w:p w14:paraId="1189A789" w14:textId="77777777" w:rsidR="00FA7746" w:rsidRPr="00FA7746" w:rsidRDefault="00FA7746" w:rsidP="004C55CE">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To better understand the behavior of the model at the class level, the performance of Random Forest, which was the best-performing model in all settings, was analyzed as shown in Table 3.</w:t>
      </w:r>
    </w:p>
    <w:tbl>
      <w:tblPr>
        <w:tblW w:w="8658" w:type="dxa"/>
        <w:jc w:val="center"/>
        <w:tblCellMar>
          <w:top w:w="15" w:type="dxa"/>
          <w:left w:w="15" w:type="dxa"/>
          <w:bottom w:w="15" w:type="dxa"/>
          <w:right w:w="15" w:type="dxa"/>
        </w:tblCellMar>
        <w:tblLook w:val="04A0" w:firstRow="1" w:lastRow="0" w:firstColumn="1" w:lastColumn="0" w:noHBand="0" w:noVBand="1"/>
      </w:tblPr>
      <w:tblGrid>
        <w:gridCol w:w="1671"/>
        <w:gridCol w:w="1286"/>
        <w:gridCol w:w="2178"/>
        <w:gridCol w:w="1494"/>
        <w:gridCol w:w="2029"/>
      </w:tblGrid>
      <w:tr w:rsidR="00864FE6" w:rsidRPr="00864FE6" w14:paraId="29CE94D5" w14:textId="77777777" w:rsidTr="00B929B6">
        <w:trPr>
          <w:trHeight w:val="712"/>
          <w:jc w:val="center"/>
        </w:trPr>
        <w:tc>
          <w:tcPr>
            <w:tcW w:w="0" w:type="auto"/>
            <w:tcBorders>
              <w:top w:val="single" w:sz="4" w:space="0" w:color="auto"/>
              <w:bottom w:val="single" w:sz="4" w:space="0" w:color="auto"/>
            </w:tcBorders>
            <w:vAlign w:val="center"/>
            <w:hideMark/>
          </w:tcPr>
          <w:p w14:paraId="68ECFEAB" w14:textId="77777777" w:rsidR="00FA7746" w:rsidRPr="00FA7746" w:rsidRDefault="00FA7746" w:rsidP="003964B8">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Setting</w:t>
            </w:r>
          </w:p>
        </w:tc>
        <w:tc>
          <w:tcPr>
            <w:tcW w:w="0" w:type="auto"/>
            <w:tcBorders>
              <w:top w:val="single" w:sz="4" w:space="0" w:color="auto"/>
              <w:bottom w:val="single" w:sz="4" w:space="0" w:color="auto"/>
            </w:tcBorders>
            <w:vAlign w:val="center"/>
            <w:hideMark/>
          </w:tcPr>
          <w:p w14:paraId="66F2E665" w14:textId="77777777" w:rsidR="00FA7746" w:rsidRPr="00FA7746" w:rsidRDefault="00FA7746" w:rsidP="003964B8">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Class</w:t>
            </w:r>
          </w:p>
        </w:tc>
        <w:tc>
          <w:tcPr>
            <w:tcW w:w="0" w:type="auto"/>
            <w:tcBorders>
              <w:top w:val="single" w:sz="4" w:space="0" w:color="auto"/>
              <w:bottom w:val="single" w:sz="4" w:space="0" w:color="auto"/>
            </w:tcBorders>
            <w:vAlign w:val="center"/>
            <w:hideMark/>
          </w:tcPr>
          <w:p w14:paraId="0F7DAFB3" w14:textId="77777777" w:rsidR="00FA7746" w:rsidRPr="00FA7746" w:rsidRDefault="00FA7746" w:rsidP="003964B8">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Precision</w:t>
            </w:r>
          </w:p>
        </w:tc>
        <w:tc>
          <w:tcPr>
            <w:tcW w:w="0" w:type="auto"/>
            <w:tcBorders>
              <w:top w:val="single" w:sz="4" w:space="0" w:color="auto"/>
              <w:bottom w:val="single" w:sz="4" w:space="0" w:color="auto"/>
            </w:tcBorders>
            <w:vAlign w:val="center"/>
            <w:hideMark/>
          </w:tcPr>
          <w:p w14:paraId="63CA14EE" w14:textId="77777777" w:rsidR="00FA7746" w:rsidRPr="00FA7746" w:rsidRDefault="00FA7746" w:rsidP="003964B8">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Recall</w:t>
            </w:r>
          </w:p>
        </w:tc>
        <w:tc>
          <w:tcPr>
            <w:tcW w:w="0" w:type="auto"/>
            <w:tcBorders>
              <w:top w:val="single" w:sz="4" w:space="0" w:color="auto"/>
              <w:bottom w:val="single" w:sz="4" w:space="0" w:color="auto"/>
            </w:tcBorders>
            <w:vAlign w:val="center"/>
            <w:hideMark/>
          </w:tcPr>
          <w:p w14:paraId="5A91E36C" w14:textId="77777777" w:rsidR="00FA7746" w:rsidRPr="00FA7746" w:rsidRDefault="00FA7746" w:rsidP="003964B8">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F1-score</w:t>
            </w:r>
          </w:p>
        </w:tc>
      </w:tr>
      <w:tr w:rsidR="00864FE6" w:rsidRPr="00864FE6" w14:paraId="6AF890C1" w14:textId="77777777" w:rsidTr="002F2D41">
        <w:trPr>
          <w:trHeight w:val="732"/>
          <w:jc w:val="center"/>
        </w:trPr>
        <w:tc>
          <w:tcPr>
            <w:tcW w:w="0" w:type="auto"/>
            <w:vMerge w:val="restart"/>
            <w:tcBorders>
              <w:top w:val="single" w:sz="4" w:space="0" w:color="auto"/>
            </w:tcBorders>
            <w:vAlign w:val="center"/>
            <w:hideMark/>
          </w:tcPr>
          <w:p w14:paraId="67222ECB" w14:textId="77777777" w:rsidR="00BD737C" w:rsidRPr="00864FE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 xml:space="preserve">Setting </w:t>
            </w:r>
          </w:p>
          <w:p w14:paraId="753066BF" w14:textId="33769440"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1</w:t>
            </w:r>
          </w:p>
        </w:tc>
        <w:tc>
          <w:tcPr>
            <w:tcW w:w="0" w:type="auto"/>
            <w:tcBorders>
              <w:top w:val="single" w:sz="4" w:space="0" w:color="auto"/>
            </w:tcBorders>
            <w:vAlign w:val="center"/>
            <w:hideMark/>
          </w:tcPr>
          <w:p w14:paraId="5CE2B681"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I</w:t>
            </w:r>
          </w:p>
        </w:tc>
        <w:tc>
          <w:tcPr>
            <w:tcW w:w="0" w:type="auto"/>
            <w:tcBorders>
              <w:top w:val="single" w:sz="4" w:space="0" w:color="auto"/>
            </w:tcBorders>
            <w:vAlign w:val="center"/>
            <w:hideMark/>
          </w:tcPr>
          <w:p w14:paraId="00805C4B"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0.78</w:t>
            </w:r>
          </w:p>
        </w:tc>
        <w:tc>
          <w:tcPr>
            <w:tcW w:w="0" w:type="auto"/>
            <w:tcBorders>
              <w:top w:val="single" w:sz="4" w:space="0" w:color="auto"/>
            </w:tcBorders>
            <w:vAlign w:val="center"/>
            <w:hideMark/>
          </w:tcPr>
          <w:p w14:paraId="57614C29"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0.77</w:t>
            </w:r>
          </w:p>
        </w:tc>
        <w:tc>
          <w:tcPr>
            <w:tcW w:w="0" w:type="auto"/>
            <w:tcBorders>
              <w:top w:val="single" w:sz="4" w:space="0" w:color="auto"/>
            </w:tcBorders>
            <w:vAlign w:val="center"/>
            <w:hideMark/>
          </w:tcPr>
          <w:p w14:paraId="4AB3B376"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0.77</w:t>
            </w:r>
          </w:p>
        </w:tc>
      </w:tr>
      <w:tr w:rsidR="00864FE6" w:rsidRPr="00864FE6" w14:paraId="3307A316" w14:textId="77777777" w:rsidTr="002F2D41">
        <w:trPr>
          <w:trHeight w:val="145"/>
          <w:jc w:val="center"/>
        </w:trPr>
        <w:tc>
          <w:tcPr>
            <w:tcW w:w="0" w:type="auto"/>
            <w:vMerge/>
            <w:vAlign w:val="center"/>
            <w:hideMark/>
          </w:tcPr>
          <w:p w14:paraId="5CD6229D" w14:textId="77777777" w:rsidR="00D61233" w:rsidRPr="00FA7746" w:rsidRDefault="00D61233" w:rsidP="003964B8">
            <w:pPr>
              <w:spacing w:after="0" w:line="480" w:lineRule="auto"/>
              <w:jc w:val="center"/>
              <w:rPr>
                <w:rFonts w:ascii="Times New Roman" w:hAnsi="Times New Roman" w:cs="Times New Roman"/>
                <w:sz w:val="24"/>
                <w:szCs w:val="24"/>
              </w:rPr>
            </w:pPr>
          </w:p>
        </w:tc>
        <w:tc>
          <w:tcPr>
            <w:tcW w:w="0" w:type="auto"/>
            <w:vAlign w:val="center"/>
            <w:hideMark/>
          </w:tcPr>
          <w:p w14:paraId="1DFACD75"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R</w:t>
            </w:r>
          </w:p>
        </w:tc>
        <w:tc>
          <w:tcPr>
            <w:tcW w:w="0" w:type="auto"/>
            <w:vAlign w:val="center"/>
            <w:hideMark/>
          </w:tcPr>
          <w:p w14:paraId="39A8D4FA"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0.74</w:t>
            </w:r>
          </w:p>
        </w:tc>
        <w:tc>
          <w:tcPr>
            <w:tcW w:w="0" w:type="auto"/>
            <w:vAlign w:val="center"/>
            <w:hideMark/>
          </w:tcPr>
          <w:p w14:paraId="1CFF3BA3"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0.73</w:t>
            </w:r>
          </w:p>
        </w:tc>
        <w:tc>
          <w:tcPr>
            <w:tcW w:w="0" w:type="auto"/>
            <w:vAlign w:val="center"/>
            <w:hideMark/>
          </w:tcPr>
          <w:p w14:paraId="069F9444"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0.74</w:t>
            </w:r>
          </w:p>
        </w:tc>
      </w:tr>
      <w:tr w:rsidR="00864FE6" w:rsidRPr="00864FE6" w14:paraId="369ACA3C" w14:textId="77777777" w:rsidTr="002F2D41">
        <w:trPr>
          <w:trHeight w:val="145"/>
          <w:jc w:val="center"/>
        </w:trPr>
        <w:tc>
          <w:tcPr>
            <w:tcW w:w="0" w:type="auto"/>
            <w:vMerge/>
            <w:tcBorders>
              <w:bottom w:val="single" w:sz="4" w:space="0" w:color="auto"/>
            </w:tcBorders>
            <w:vAlign w:val="center"/>
            <w:hideMark/>
          </w:tcPr>
          <w:p w14:paraId="4708472D" w14:textId="77777777" w:rsidR="00D61233" w:rsidRPr="00FA7746" w:rsidRDefault="00D61233" w:rsidP="003964B8">
            <w:pPr>
              <w:spacing w:after="0" w:line="480" w:lineRule="auto"/>
              <w:jc w:val="center"/>
              <w:rPr>
                <w:rFonts w:ascii="Times New Roman" w:hAnsi="Times New Roman" w:cs="Times New Roman"/>
                <w:sz w:val="24"/>
                <w:szCs w:val="24"/>
              </w:rPr>
            </w:pPr>
          </w:p>
        </w:tc>
        <w:tc>
          <w:tcPr>
            <w:tcW w:w="0" w:type="auto"/>
            <w:tcBorders>
              <w:bottom w:val="single" w:sz="4" w:space="0" w:color="auto"/>
            </w:tcBorders>
            <w:vAlign w:val="center"/>
            <w:hideMark/>
          </w:tcPr>
          <w:p w14:paraId="239F6E6E"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w:t>
            </w:r>
          </w:p>
        </w:tc>
        <w:tc>
          <w:tcPr>
            <w:tcW w:w="0" w:type="auto"/>
            <w:tcBorders>
              <w:bottom w:val="single" w:sz="4" w:space="0" w:color="auto"/>
            </w:tcBorders>
            <w:vAlign w:val="center"/>
            <w:hideMark/>
          </w:tcPr>
          <w:p w14:paraId="365C26B6"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0.73</w:t>
            </w:r>
          </w:p>
        </w:tc>
        <w:tc>
          <w:tcPr>
            <w:tcW w:w="0" w:type="auto"/>
            <w:tcBorders>
              <w:bottom w:val="single" w:sz="4" w:space="0" w:color="auto"/>
            </w:tcBorders>
            <w:vAlign w:val="center"/>
            <w:hideMark/>
          </w:tcPr>
          <w:p w14:paraId="0845E92A"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0.75</w:t>
            </w:r>
          </w:p>
        </w:tc>
        <w:tc>
          <w:tcPr>
            <w:tcW w:w="0" w:type="auto"/>
            <w:tcBorders>
              <w:bottom w:val="single" w:sz="4" w:space="0" w:color="auto"/>
            </w:tcBorders>
            <w:vAlign w:val="center"/>
            <w:hideMark/>
          </w:tcPr>
          <w:p w14:paraId="7D0EA9F3"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0.74</w:t>
            </w:r>
          </w:p>
        </w:tc>
      </w:tr>
      <w:tr w:rsidR="00864FE6" w:rsidRPr="00864FE6" w14:paraId="3925F35A" w14:textId="77777777" w:rsidTr="002F2D41">
        <w:trPr>
          <w:trHeight w:val="732"/>
          <w:jc w:val="center"/>
        </w:trPr>
        <w:tc>
          <w:tcPr>
            <w:tcW w:w="0" w:type="auto"/>
            <w:vMerge w:val="restart"/>
            <w:tcBorders>
              <w:top w:val="single" w:sz="4" w:space="0" w:color="auto"/>
            </w:tcBorders>
            <w:vAlign w:val="center"/>
            <w:hideMark/>
          </w:tcPr>
          <w:p w14:paraId="40373C7B" w14:textId="77777777" w:rsidR="00BD737C" w:rsidRPr="00864FE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lastRenderedPageBreak/>
              <w:t xml:space="preserve">Setting </w:t>
            </w:r>
          </w:p>
          <w:p w14:paraId="6B4D3C7B" w14:textId="543CEC04"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2</w:t>
            </w:r>
          </w:p>
        </w:tc>
        <w:tc>
          <w:tcPr>
            <w:tcW w:w="0" w:type="auto"/>
            <w:tcBorders>
              <w:top w:val="single" w:sz="4" w:space="0" w:color="auto"/>
            </w:tcBorders>
            <w:vAlign w:val="center"/>
            <w:hideMark/>
          </w:tcPr>
          <w:p w14:paraId="0D162EFA"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I</w:t>
            </w:r>
          </w:p>
        </w:tc>
        <w:tc>
          <w:tcPr>
            <w:tcW w:w="0" w:type="auto"/>
            <w:tcBorders>
              <w:top w:val="single" w:sz="4" w:space="0" w:color="auto"/>
            </w:tcBorders>
            <w:vAlign w:val="center"/>
            <w:hideMark/>
          </w:tcPr>
          <w:p w14:paraId="2714DCB4"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0.74</w:t>
            </w:r>
          </w:p>
        </w:tc>
        <w:tc>
          <w:tcPr>
            <w:tcW w:w="0" w:type="auto"/>
            <w:tcBorders>
              <w:top w:val="single" w:sz="4" w:space="0" w:color="auto"/>
            </w:tcBorders>
            <w:vAlign w:val="center"/>
            <w:hideMark/>
          </w:tcPr>
          <w:p w14:paraId="66639B7D"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0.72</w:t>
            </w:r>
          </w:p>
        </w:tc>
        <w:tc>
          <w:tcPr>
            <w:tcW w:w="0" w:type="auto"/>
            <w:tcBorders>
              <w:top w:val="single" w:sz="4" w:space="0" w:color="auto"/>
            </w:tcBorders>
            <w:vAlign w:val="center"/>
            <w:hideMark/>
          </w:tcPr>
          <w:p w14:paraId="1650E9CC"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0.73</w:t>
            </w:r>
          </w:p>
        </w:tc>
      </w:tr>
      <w:tr w:rsidR="00864FE6" w:rsidRPr="00864FE6" w14:paraId="3E29031D" w14:textId="77777777" w:rsidTr="002F2D41">
        <w:trPr>
          <w:trHeight w:val="145"/>
          <w:jc w:val="center"/>
        </w:trPr>
        <w:tc>
          <w:tcPr>
            <w:tcW w:w="0" w:type="auto"/>
            <w:vMerge/>
            <w:vAlign w:val="center"/>
            <w:hideMark/>
          </w:tcPr>
          <w:p w14:paraId="7FF59F08" w14:textId="77777777" w:rsidR="00D61233" w:rsidRPr="00FA7746" w:rsidRDefault="00D61233" w:rsidP="003964B8">
            <w:pPr>
              <w:spacing w:after="0" w:line="480" w:lineRule="auto"/>
              <w:jc w:val="center"/>
              <w:rPr>
                <w:rFonts w:ascii="Times New Roman" w:hAnsi="Times New Roman" w:cs="Times New Roman"/>
                <w:sz w:val="24"/>
                <w:szCs w:val="24"/>
              </w:rPr>
            </w:pPr>
          </w:p>
        </w:tc>
        <w:tc>
          <w:tcPr>
            <w:tcW w:w="0" w:type="auto"/>
            <w:vAlign w:val="center"/>
            <w:hideMark/>
          </w:tcPr>
          <w:p w14:paraId="0CE2DFDC"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R</w:t>
            </w:r>
          </w:p>
        </w:tc>
        <w:tc>
          <w:tcPr>
            <w:tcW w:w="0" w:type="auto"/>
            <w:vAlign w:val="center"/>
            <w:hideMark/>
          </w:tcPr>
          <w:p w14:paraId="76B2A866"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0.61</w:t>
            </w:r>
          </w:p>
        </w:tc>
        <w:tc>
          <w:tcPr>
            <w:tcW w:w="0" w:type="auto"/>
            <w:vAlign w:val="center"/>
            <w:hideMark/>
          </w:tcPr>
          <w:p w14:paraId="3EF35B13"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0.62</w:t>
            </w:r>
          </w:p>
        </w:tc>
        <w:tc>
          <w:tcPr>
            <w:tcW w:w="0" w:type="auto"/>
            <w:vAlign w:val="center"/>
            <w:hideMark/>
          </w:tcPr>
          <w:p w14:paraId="18F9B1DC"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0.61</w:t>
            </w:r>
          </w:p>
        </w:tc>
      </w:tr>
      <w:tr w:rsidR="00864FE6" w:rsidRPr="00864FE6" w14:paraId="1D3B804C" w14:textId="77777777" w:rsidTr="002F2D41">
        <w:trPr>
          <w:trHeight w:val="145"/>
          <w:jc w:val="center"/>
        </w:trPr>
        <w:tc>
          <w:tcPr>
            <w:tcW w:w="0" w:type="auto"/>
            <w:vMerge/>
            <w:tcBorders>
              <w:bottom w:val="single" w:sz="4" w:space="0" w:color="auto"/>
            </w:tcBorders>
            <w:vAlign w:val="center"/>
            <w:hideMark/>
          </w:tcPr>
          <w:p w14:paraId="4669403C" w14:textId="77777777" w:rsidR="00D61233" w:rsidRPr="00FA7746" w:rsidRDefault="00D61233" w:rsidP="003964B8">
            <w:pPr>
              <w:spacing w:after="0" w:line="480" w:lineRule="auto"/>
              <w:jc w:val="center"/>
              <w:rPr>
                <w:rFonts w:ascii="Times New Roman" w:hAnsi="Times New Roman" w:cs="Times New Roman"/>
                <w:sz w:val="24"/>
                <w:szCs w:val="24"/>
              </w:rPr>
            </w:pPr>
          </w:p>
        </w:tc>
        <w:tc>
          <w:tcPr>
            <w:tcW w:w="0" w:type="auto"/>
            <w:tcBorders>
              <w:bottom w:val="single" w:sz="4" w:space="0" w:color="auto"/>
            </w:tcBorders>
            <w:vAlign w:val="center"/>
            <w:hideMark/>
          </w:tcPr>
          <w:p w14:paraId="4ED20953"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w:t>
            </w:r>
          </w:p>
        </w:tc>
        <w:tc>
          <w:tcPr>
            <w:tcW w:w="0" w:type="auto"/>
            <w:tcBorders>
              <w:bottom w:val="single" w:sz="4" w:space="0" w:color="auto"/>
            </w:tcBorders>
            <w:vAlign w:val="center"/>
            <w:hideMark/>
          </w:tcPr>
          <w:p w14:paraId="6ABC9296"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0.64</w:t>
            </w:r>
          </w:p>
        </w:tc>
        <w:tc>
          <w:tcPr>
            <w:tcW w:w="0" w:type="auto"/>
            <w:tcBorders>
              <w:bottom w:val="single" w:sz="4" w:space="0" w:color="auto"/>
            </w:tcBorders>
            <w:vAlign w:val="center"/>
            <w:hideMark/>
          </w:tcPr>
          <w:p w14:paraId="5F5071BC"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0.65</w:t>
            </w:r>
          </w:p>
        </w:tc>
        <w:tc>
          <w:tcPr>
            <w:tcW w:w="0" w:type="auto"/>
            <w:tcBorders>
              <w:bottom w:val="single" w:sz="4" w:space="0" w:color="auto"/>
            </w:tcBorders>
            <w:vAlign w:val="center"/>
            <w:hideMark/>
          </w:tcPr>
          <w:p w14:paraId="2C28330F"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0.64</w:t>
            </w:r>
          </w:p>
        </w:tc>
      </w:tr>
      <w:tr w:rsidR="00864FE6" w:rsidRPr="00864FE6" w14:paraId="6BB74D84" w14:textId="77777777" w:rsidTr="002F2D41">
        <w:trPr>
          <w:trHeight w:val="732"/>
          <w:jc w:val="center"/>
        </w:trPr>
        <w:tc>
          <w:tcPr>
            <w:tcW w:w="0" w:type="auto"/>
            <w:vMerge w:val="restart"/>
            <w:tcBorders>
              <w:top w:val="single" w:sz="4" w:space="0" w:color="auto"/>
            </w:tcBorders>
            <w:vAlign w:val="center"/>
            <w:hideMark/>
          </w:tcPr>
          <w:p w14:paraId="66DD28DF" w14:textId="77777777" w:rsidR="00BD737C" w:rsidRPr="00864FE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 xml:space="preserve">Setting </w:t>
            </w:r>
          </w:p>
          <w:p w14:paraId="0EB59FC8" w14:textId="777BE3C0"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w:t>
            </w:r>
          </w:p>
        </w:tc>
        <w:tc>
          <w:tcPr>
            <w:tcW w:w="0" w:type="auto"/>
            <w:tcBorders>
              <w:top w:val="single" w:sz="4" w:space="0" w:color="auto"/>
            </w:tcBorders>
            <w:vAlign w:val="center"/>
            <w:hideMark/>
          </w:tcPr>
          <w:p w14:paraId="68BF69A9"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I</w:t>
            </w:r>
          </w:p>
        </w:tc>
        <w:tc>
          <w:tcPr>
            <w:tcW w:w="0" w:type="auto"/>
            <w:tcBorders>
              <w:top w:val="single" w:sz="4" w:space="0" w:color="auto"/>
            </w:tcBorders>
            <w:vAlign w:val="center"/>
            <w:hideMark/>
          </w:tcPr>
          <w:p w14:paraId="12456678" w14:textId="46D4AF9D"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0.49</w:t>
            </w:r>
          </w:p>
        </w:tc>
        <w:tc>
          <w:tcPr>
            <w:tcW w:w="0" w:type="auto"/>
            <w:tcBorders>
              <w:top w:val="single" w:sz="4" w:space="0" w:color="auto"/>
            </w:tcBorders>
            <w:vAlign w:val="center"/>
            <w:hideMark/>
          </w:tcPr>
          <w:p w14:paraId="0B78B68E" w14:textId="4204AED8"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0.57</w:t>
            </w:r>
          </w:p>
        </w:tc>
        <w:tc>
          <w:tcPr>
            <w:tcW w:w="0" w:type="auto"/>
            <w:tcBorders>
              <w:top w:val="single" w:sz="4" w:space="0" w:color="auto"/>
            </w:tcBorders>
            <w:vAlign w:val="center"/>
            <w:hideMark/>
          </w:tcPr>
          <w:p w14:paraId="31001877" w14:textId="7FC04242"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0.53</w:t>
            </w:r>
          </w:p>
        </w:tc>
      </w:tr>
      <w:tr w:rsidR="00864FE6" w:rsidRPr="00864FE6" w14:paraId="301DEBE8" w14:textId="77777777" w:rsidTr="002F2D41">
        <w:trPr>
          <w:trHeight w:val="145"/>
          <w:jc w:val="center"/>
        </w:trPr>
        <w:tc>
          <w:tcPr>
            <w:tcW w:w="0" w:type="auto"/>
            <w:vMerge/>
            <w:vAlign w:val="center"/>
            <w:hideMark/>
          </w:tcPr>
          <w:p w14:paraId="7225BB4F" w14:textId="77777777" w:rsidR="00D61233" w:rsidRPr="00FA7746" w:rsidRDefault="00D61233" w:rsidP="003964B8">
            <w:pPr>
              <w:spacing w:after="0" w:line="480" w:lineRule="auto"/>
              <w:jc w:val="center"/>
              <w:rPr>
                <w:rFonts w:ascii="Times New Roman" w:hAnsi="Times New Roman" w:cs="Times New Roman"/>
                <w:sz w:val="24"/>
                <w:szCs w:val="24"/>
              </w:rPr>
            </w:pPr>
          </w:p>
        </w:tc>
        <w:tc>
          <w:tcPr>
            <w:tcW w:w="0" w:type="auto"/>
            <w:vAlign w:val="center"/>
            <w:hideMark/>
          </w:tcPr>
          <w:p w14:paraId="2C8FB75E"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R</w:t>
            </w:r>
          </w:p>
        </w:tc>
        <w:tc>
          <w:tcPr>
            <w:tcW w:w="0" w:type="auto"/>
            <w:vAlign w:val="center"/>
            <w:hideMark/>
          </w:tcPr>
          <w:p w14:paraId="207A59C2" w14:textId="7239A812"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0.47</w:t>
            </w:r>
          </w:p>
        </w:tc>
        <w:tc>
          <w:tcPr>
            <w:tcW w:w="0" w:type="auto"/>
            <w:vAlign w:val="center"/>
            <w:hideMark/>
          </w:tcPr>
          <w:p w14:paraId="10D21B55" w14:textId="7156D9AB"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0.39</w:t>
            </w:r>
          </w:p>
        </w:tc>
        <w:tc>
          <w:tcPr>
            <w:tcW w:w="0" w:type="auto"/>
            <w:vAlign w:val="center"/>
            <w:hideMark/>
          </w:tcPr>
          <w:p w14:paraId="676F33AA" w14:textId="294CE6FA"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0.43</w:t>
            </w:r>
          </w:p>
        </w:tc>
      </w:tr>
      <w:tr w:rsidR="00864FE6" w:rsidRPr="00864FE6" w14:paraId="2D95D49C" w14:textId="77777777" w:rsidTr="002F2D41">
        <w:trPr>
          <w:trHeight w:val="145"/>
          <w:jc w:val="center"/>
        </w:trPr>
        <w:tc>
          <w:tcPr>
            <w:tcW w:w="0" w:type="auto"/>
            <w:vMerge/>
            <w:tcBorders>
              <w:bottom w:val="single" w:sz="4" w:space="0" w:color="auto"/>
            </w:tcBorders>
            <w:vAlign w:val="center"/>
            <w:hideMark/>
          </w:tcPr>
          <w:p w14:paraId="06EFF362" w14:textId="77777777" w:rsidR="00D61233" w:rsidRPr="00FA7746" w:rsidRDefault="00D61233" w:rsidP="003964B8">
            <w:pPr>
              <w:spacing w:after="0" w:line="480" w:lineRule="auto"/>
              <w:jc w:val="center"/>
              <w:rPr>
                <w:rFonts w:ascii="Times New Roman" w:hAnsi="Times New Roman" w:cs="Times New Roman"/>
                <w:sz w:val="24"/>
                <w:szCs w:val="24"/>
              </w:rPr>
            </w:pPr>
          </w:p>
        </w:tc>
        <w:tc>
          <w:tcPr>
            <w:tcW w:w="0" w:type="auto"/>
            <w:tcBorders>
              <w:bottom w:val="single" w:sz="4" w:space="0" w:color="auto"/>
            </w:tcBorders>
            <w:vAlign w:val="center"/>
            <w:hideMark/>
          </w:tcPr>
          <w:p w14:paraId="3E58B0BF" w14:textId="77777777" w:rsidR="00D61233" w:rsidRPr="00FA7746" w:rsidRDefault="00D61233" w:rsidP="003964B8">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w:t>
            </w:r>
          </w:p>
        </w:tc>
        <w:tc>
          <w:tcPr>
            <w:tcW w:w="0" w:type="auto"/>
            <w:tcBorders>
              <w:bottom w:val="single" w:sz="4" w:space="0" w:color="auto"/>
            </w:tcBorders>
            <w:vAlign w:val="center"/>
            <w:hideMark/>
          </w:tcPr>
          <w:p w14:paraId="6B81676D" w14:textId="2085C2C2"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0.44</w:t>
            </w:r>
          </w:p>
        </w:tc>
        <w:tc>
          <w:tcPr>
            <w:tcW w:w="0" w:type="auto"/>
            <w:tcBorders>
              <w:bottom w:val="single" w:sz="4" w:space="0" w:color="auto"/>
            </w:tcBorders>
            <w:vAlign w:val="center"/>
            <w:hideMark/>
          </w:tcPr>
          <w:p w14:paraId="5E69AAD8" w14:textId="316D7992"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0.44</w:t>
            </w:r>
          </w:p>
        </w:tc>
        <w:tc>
          <w:tcPr>
            <w:tcW w:w="0" w:type="auto"/>
            <w:tcBorders>
              <w:bottom w:val="single" w:sz="4" w:space="0" w:color="auto"/>
            </w:tcBorders>
            <w:vAlign w:val="center"/>
            <w:hideMark/>
          </w:tcPr>
          <w:p w14:paraId="16CC1031" w14:textId="7D0B6FB9" w:rsidR="00D61233" w:rsidRPr="00FA7746" w:rsidRDefault="003F663A" w:rsidP="003964B8">
            <w:pPr>
              <w:spacing w:after="0" w:line="480" w:lineRule="auto"/>
              <w:jc w:val="center"/>
              <w:rPr>
                <w:rFonts w:ascii="Times New Roman" w:hAnsi="Times New Roman" w:cs="Times New Roman"/>
                <w:sz w:val="24"/>
                <w:szCs w:val="24"/>
              </w:rPr>
            </w:pPr>
            <w:r w:rsidRPr="003F663A">
              <w:rPr>
                <w:rFonts w:ascii="Times New Roman" w:hAnsi="Times New Roman" w:cs="Times New Roman"/>
                <w:sz w:val="24"/>
                <w:szCs w:val="24"/>
              </w:rPr>
              <w:t>0.4</w:t>
            </w:r>
            <w:r>
              <w:rPr>
                <w:rFonts w:ascii="Times New Roman" w:hAnsi="Times New Roman" w:cs="Times New Roman"/>
                <w:sz w:val="24"/>
                <w:szCs w:val="24"/>
              </w:rPr>
              <w:t>4</w:t>
            </w:r>
          </w:p>
        </w:tc>
      </w:tr>
    </w:tbl>
    <w:p w14:paraId="680A2FF9" w14:textId="77777777" w:rsidR="00FA7746" w:rsidRPr="00FA7746" w:rsidRDefault="00FA7746" w:rsidP="00D61233">
      <w:pPr>
        <w:spacing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Table 3. Class-wise classification performance of Random Forest.</w:t>
      </w:r>
    </w:p>
    <w:p w14:paraId="69DF5259" w14:textId="77777777" w:rsidR="00FA7746" w:rsidRPr="00FA7746" w:rsidRDefault="00FA7746" w:rsidP="0007520E">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When class-wise performance was examined, Random Forest achieved its best results for class I in the full-feature setting, with a precision of 0.78, recall of 0.77, and F1-score of 0.77. This indicates that retaining both organism and antibiotic information improves discrimination of the intermediate class. In addition, classes R and S in Setting 1 both achieved F1-scores of 0.74, indicating comparatively balanced performance across all three classes.</w:t>
      </w:r>
    </w:p>
    <w:p w14:paraId="376719F1" w14:textId="77777777" w:rsidR="00FA7746" w:rsidRPr="00864FE6" w:rsidRDefault="00FA7746" w:rsidP="0007520E">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However, when the number of features was reduced, performance for classes R and S declined noticeably, especially in Setting 3, where organism and antibiotic information were not included. In this setting, class R had a precision of 0.56, recall of 0.50, and F1-score of 0.53. Meanwhile, although class S retained a relatively high recall of 0.73, its precision dropped to 0.59. This pattern suggests that the absence of direct microbiological information reduces the model’s ability to distinguish classes in a balanced manner and increases the likelihood of class confusion.</w:t>
      </w:r>
    </w:p>
    <w:p w14:paraId="095B04D3"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4.5. Effect of CTGAN-Based Class Balancing</w:t>
      </w:r>
    </w:p>
    <w:p w14:paraId="03D4D711" w14:textId="77777777" w:rsidR="00FA7746" w:rsidRPr="00FA7746" w:rsidRDefault="00FA7746" w:rsidP="009E50F7">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Under the 70%, 10%, and 20% split design, the training set before class balancing contained 450,261 records and remained highly imbalanced. After adjusting the initial class counts proportionally to the 70% training subset, class S contained 305,248 records (67.79%), class R contained 134,942 records (29.97%), and class I contained 10,071 records (2.24%).</w:t>
      </w:r>
    </w:p>
    <w:p w14:paraId="174B546F" w14:textId="77777777" w:rsidR="00FA7746" w:rsidRPr="00FA7746" w:rsidRDefault="00FA7746" w:rsidP="009E50F7">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To mitigate this imbalance, CTGAN was applied only to the training set. CTGAN was trained once on the full-feature training data before feature ablation, and the resulting synthetic data were then reused across all three experimental settings by selecting the corresponding feature subsets afterward. After balancing, the training dataset increased to 915,744 records. Classes R and I were augmented until they matched class S at 305,248 records each, resulting in a balanced class distribution of 33.33% per class before model training.</w:t>
      </w:r>
    </w:p>
    <w:tbl>
      <w:tblPr>
        <w:tblW w:w="0" w:type="auto"/>
        <w:jc w:val="center"/>
        <w:tblCellMar>
          <w:top w:w="15" w:type="dxa"/>
          <w:left w:w="15" w:type="dxa"/>
          <w:bottom w:w="15" w:type="dxa"/>
          <w:right w:w="15" w:type="dxa"/>
        </w:tblCellMar>
        <w:tblLook w:val="04A0" w:firstRow="1" w:lastRow="0" w:firstColumn="1" w:lastColumn="0" w:noHBand="0" w:noVBand="1"/>
      </w:tblPr>
      <w:tblGrid>
        <w:gridCol w:w="577"/>
        <w:gridCol w:w="2457"/>
        <w:gridCol w:w="1583"/>
        <w:gridCol w:w="2381"/>
        <w:gridCol w:w="1506"/>
      </w:tblGrid>
      <w:tr w:rsidR="00864FE6" w:rsidRPr="00864FE6" w14:paraId="70DF45BB" w14:textId="77777777" w:rsidTr="008F6AAE">
        <w:trPr>
          <w:jc w:val="center"/>
        </w:trPr>
        <w:tc>
          <w:tcPr>
            <w:tcW w:w="0" w:type="auto"/>
            <w:tcBorders>
              <w:top w:val="single" w:sz="4" w:space="0" w:color="auto"/>
              <w:bottom w:val="single" w:sz="4" w:space="0" w:color="auto"/>
            </w:tcBorders>
            <w:vAlign w:val="center"/>
            <w:hideMark/>
          </w:tcPr>
          <w:p w14:paraId="3FF2F513"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Class</w:t>
            </w:r>
          </w:p>
        </w:tc>
        <w:tc>
          <w:tcPr>
            <w:tcW w:w="0" w:type="auto"/>
            <w:tcBorders>
              <w:top w:val="single" w:sz="4" w:space="0" w:color="auto"/>
              <w:bottom w:val="single" w:sz="4" w:space="0" w:color="auto"/>
            </w:tcBorders>
            <w:vAlign w:val="center"/>
            <w:hideMark/>
          </w:tcPr>
          <w:p w14:paraId="66B0B011"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Before CTGAN in Training Set (n)</w:t>
            </w:r>
          </w:p>
        </w:tc>
        <w:tc>
          <w:tcPr>
            <w:tcW w:w="0" w:type="auto"/>
            <w:tcBorders>
              <w:top w:val="single" w:sz="4" w:space="0" w:color="auto"/>
              <w:bottom w:val="single" w:sz="4" w:space="0" w:color="auto"/>
            </w:tcBorders>
            <w:vAlign w:val="center"/>
            <w:hideMark/>
          </w:tcPr>
          <w:p w14:paraId="235F7809"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Before CTGAN (%)</w:t>
            </w:r>
          </w:p>
        </w:tc>
        <w:tc>
          <w:tcPr>
            <w:tcW w:w="0" w:type="auto"/>
            <w:tcBorders>
              <w:top w:val="single" w:sz="4" w:space="0" w:color="auto"/>
              <w:bottom w:val="single" w:sz="4" w:space="0" w:color="auto"/>
            </w:tcBorders>
            <w:vAlign w:val="center"/>
            <w:hideMark/>
          </w:tcPr>
          <w:p w14:paraId="208CAE6A"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After CTGAN in Training Set (n)</w:t>
            </w:r>
          </w:p>
        </w:tc>
        <w:tc>
          <w:tcPr>
            <w:tcW w:w="0" w:type="auto"/>
            <w:tcBorders>
              <w:top w:val="single" w:sz="4" w:space="0" w:color="auto"/>
              <w:bottom w:val="single" w:sz="4" w:space="0" w:color="auto"/>
            </w:tcBorders>
            <w:vAlign w:val="center"/>
            <w:hideMark/>
          </w:tcPr>
          <w:p w14:paraId="500BD460"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After CTGAN (%)</w:t>
            </w:r>
          </w:p>
        </w:tc>
      </w:tr>
      <w:tr w:rsidR="00864FE6" w:rsidRPr="00864FE6" w14:paraId="46572BD6" w14:textId="77777777" w:rsidTr="008F6AAE">
        <w:trPr>
          <w:jc w:val="center"/>
        </w:trPr>
        <w:tc>
          <w:tcPr>
            <w:tcW w:w="0" w:type="auto"/>
            <w:tcBorders>
              <w:top w:val="single" w:sz="4" w:space="0" w:color="auto"/>
              <w:bottom w:val="single" w:sz="4" w:space="0" w:color="auto"/>
            </w:tcBorders>
            <w:vAlign w:val="center"/>
            <w:hideMark/>
          </w:tcPr>
          <w:p w14:paraId="4083157D"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w:t>
            </w:r>
          </w:p>
        </w:tc>
        <w:tc>
          <w:tcPr>
            <w:tcW w:w="0" w:type="auto"/>
            <w:tcBorders>
              <w:top w:val="single" w:sz="4" w:space="0" w:color="auto"/>
              <w:bottom w:val="single" w:sz="4" w:space="0" w:color="auto"/>
            </w:tcBorders>
            <w:vAlign w:val="center"/>
            <w:hideMark/>
          </w:tcPr>
          <w:p w14:paraId="7FDC2E4E"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305,248</w:t>
            </w:r>
          </w:p>
        </w:tc>
        <w:tc>
          <w:tcPr>
            <w:tcW w:w="0" w:type="auto"/>
            <w:tcBorders>
              <w:top w:val="single" w:sz="4" w:space="0" w:color="auto"/>
              <w:bottom w:val="single" w:sz="4" w:space="0" w:color="auto"/>
            </w:tcBorders>
            <w:vAlign w:val="center"/>
            <w:hideMark/>
          </w:tcPr>
          <w:p w14:paraId="3CE954A2"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67.79</w:t>
            </w:r>
          </w:p>
        </w:tc>
        <w:tc>
          <w:tcPr>
            <w:tcW w:w="0" w:type="auto"/>
            <w:tcBorders>
              <w:top w:val="single" w:sz="4" w:space="0" w:color="auto"/>
              <w:bottom w:val="single" w:sz="4" w:space="0" w:color="auto"/>
            </w:tcBorders>
            <w:vAlign w:val="center"/>
            <w:hideMark/>
          </w:tcPr>
          <w:p w14:paraId="5E608CB6"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305,248</w:t>
            </w:r>
          </w:p>
        </w:tc>
        <w:tc>
          <w:tcPr>
            <w:tcW w:w="0" w:type="auto"/>
            <w:tcBorders>
              <w:top w:val="single" w:sz="4" w:space="0" w:color="auto"/>
              <w:bottom w:val="single" w:sz="4" w:space="0" w:color="auto"/>
            </w:tcBorders>
            <w:vAlign w:val="center"/>
            <w:hideMark/>
          </w:tcPr>
          <w:p w14:paraId="3903155C"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33.33</w:t>
            </w:r>
          </w:p>
        </w:tc>
      </w:tr>
      <w:tr w:rsidR="00864FE6" w:rsidRPr="00864FE6" w14:paraId="10317070" w14:textId="77777777" w:rsidTr="008F6AAE">
        <w:trPr>
          <w:jc w:val="center"/>
        </w:trPr>
        <w:tc>
          <w:tcPr>
            <w:tcW w:w="0" w:type="auto"/>
            <w:tcBorders>
              <w:top w:val="single" w:sz="4" w:space="0" w:color="auto"/>
              <w:bottom w:val="single" w:sz="4" w:space="0" w:color="auto"/>
            </w:tcBorders>
            <w:vAlign w:val="center"/>
            <w:hideMark/>
          </w:tcPr>
          <w:p w14:paraId="19397A2D"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R</w:t>
            </w:r>
          </w:p>
        </w:tc>
        <w:tc>
          <w:tcPr>
            <w:tcW w:w="0" w:type="auto"/>
            <w:tcBorders>
              <w:top w:val="single" w:sz="4" w:space="0" w:color="auto"/>
              <w:bottom w:val="single" w:sz="4" w:space="0" w:color="auto"/>
            </w:tcBorders>
            <w:vAlign w:val="center"/>
            <w:hideMark/>
          </w:tcPr>
          <w:p w14:paraId="4D10C41F"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134,942</w:t>
            </w:r>
          </w:p>
        </w:tc>
        <w:tc>
          <w:tcPr>
            <w:tcW w:w="0" w:type="auto"/>
            <w:tcBorders>
              <w:top w:val="single" w:sz="4" w:space="0" w:color="auto"/>
              <w:bottom w:val="single" w:sz="4" w:space="0" w:color="auto"/>
            </w:tcBorders>
            <w:vAlign w:val="center"/>
            <w:hideMark/>
          </w:tcPr>
          <w:p w14:paraId="1740C6CF"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29.97</w:t>
            </w:r>
          </w:p>
        </w:tc>
        <w:tc>
          <w:tcPr>
            <w:tcW w:w="0" w:type="auto"/>
            <w:tcBorders>
              <w:top w:val="single" w:sz="4" w:space="0" w:color="auto"/>
              <w:bottom w:val="single" w:sz="4" w:space="0" w:color="auto"/>
            </w:tcBorders>
            <w:vAlign w:val="center"/>
            <w:hideMark/>
          </w:tcPr>
          <w:p w14:paraId="2B17BC1B"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305,248</w:t>
            </w:r>
          </w:p>
        </w:tc>
        <w:tc>
          <w:tcPr>
            <w:tcW w:w="0" w:type="auto"/>
            <w:tcBorders>
              <w:top w:val="single" w:sz="4" w:space="0" w:color="auto"/>
              <w:bottom w:val="single" w:sz="4" w:space="0" w:color="auto"/>
            </w:tcBorders>
            <w:vAlign w:val="center"/>
            <w:hideMark/>
          </w:tcPr>
          <w:p w14:paraId="48982788"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33.33</w:t>
            </w:r>
          </w:p>
        </w:tc>
      </w:tr>
      <w:tr w:rsidR="00864FE6" w:rsidRPr="00864FE6" w14:paraId="197A4968" w14:textId="77777777" w:rsidTr="008F6AAE">
        <w:trPr>
          <w:jc w:val="center"/>
        </w:trPr>
        <w:tc>
          <w:tcPr>
            <w:tcW w:w="0" w:type="auto"/>
            <w:tcBorders>
              <w:top w:val="single" w:sz="4" w:space="0" w:color="auto"/>
              <w:bottom w:val="single" w:sz="4" w:space="0" w:color="auto"/>
            </w:tcBorders>
            <w:vAlign w:val="center"/>
            <w:hideMark/>
          </w:tcPr>
          <w:p w14:paraId="53B33EF8"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I</w:t>
            </w:r>
          </w:p>
        </w:tc>
        <w:tc>
          <w:tcPr>
            <w:tcW w:w="0" w:type="auto"/>
            <w:tcBorders>
              <w:top w:val="single" w:sz="4" w:space="0" w:color="auto"/>
              <w:bottom w:val="single" w:sz="4" w:space="0" w:color="auto"/>
            </w:tcBorders>
            <w:vAlign w:val="center"/>
            <w:hideMark/>
          </w:tcPr>
          <w:p w14:paraId="1E839879"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10,071</w:t>
            </w:r>
          </w:p>
        </w:tc>
        <w:tc>
          <w:tcPr>
            <w:tcW w:w="0" w:type="auto"/>
            <w:tcBorders>
              <w:top w:val="single" w:sz="4" w:space="0" w:color="auto"/>
              <w:bottom w:val="single" w:sz="4" w:space="0" w:color="auto"/>
            </w:tcBorders>
            <w:vAlign w:val="center"/>
            <w:hideMark/>
          </w:tcPr>
          <w:p w14:paraId="397D0E68"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2.24</w:t>
            </w:r>
          </w:p>
        </w:tc>
        <w:tc>
          <w:tcPr>
            <w:tcW w:w="0" w:type="auto"/>
            <w:tcBorders>
              <w:top w:val="single" w:sz="4" w:space="0" w:color="auto"/>
              <w:bottom w:val="single" w:sz="4" w:space="0" w:color="auto"/>
            </w:tcBorders>
            <w:vAlign w:val="center"/>
            <w:hideMark/>
          </w:tcPr>
          <w:p w14:paraId="0D9E8B51"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305,248</w:t>
            </w:r>
          </w:p>
        </w:tc>
        <w:tc>
          <w:tcPr>
            <w:tcW w:w="0" w:type="auto"/>
            <w:tcBorders>
              <w:top w:val="single" w:sz="4" w:space="0" w:color="auto"/>
              <w:bottom w:val="single" w:sz="4" w:space="0" w:color="auto"/>
            </w:tcBorders>
            <w:vAlign w:val="center"/>
            <w:hideMark/>
          </w:tcPr>
          <w:p w14:paraId="16536C9C" w14:textId="77777777" w:rsidR="00FA7746" w:rsidRPr="00FA7746" w:rsidRDefault="00FA7746" w:rsidP="00BD2F91">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33.33</w:t>
            </w:r>
          </w:p>
        </w:tc>
      </w:tr>
      <w:tr w:rsidR="00864FE6" w:rsidRPr="00864FE6" w14:paraId="30562E0F" w14:textId="77777777" w:rsidTr="008F6AAE">
        <w:trPr>
          <w:jc w:val="center"/>
        </w:trPr>
        <w:tc>
          <w:tcPr>
            <w:tcW w:w="0" w:type="auto"/>
            <w:tcBorders>
              <w:top w:val="single" w:sz="4" w:space="0" w:color="auto"/>
              <w:bottom w:val="single" w:sz="4" w:space="0" w:color="auto"/>
            </w:tcBorders>
            <w:vAlign w:val="center"/>
            <w:hideMark/>
          </w:tcPr>
          <w:p w14:paraId="035EDF1F"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Total</w:t>
            </w:r>
          </w:p>
        </w:tc>
        <w:tc>
          <w:tcPr>
            <w:tcW w:w="0" w:type="auto"/>
            <w:tcBorders>
              <w:top w:val="single" w:sz="4" w:space="0" w:color="auto"/>
              <w:bottom w:val="single" w:sz="4" w:space="0" w:color="auto"/>
            </w:tcBorders>
            <w:vAlign w:val="center"/>
            <w:hideMark/>
          </w:tcPr>
          <w:p w14:paraId="69A24E8C"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450,261</w:t>
            </w:r>
          </w:p>
        </w:tc>
        <w:tc>
          <w:tcPr>
            <w:tcW w:w="0" w:type="auto"/>
            <w:tcBorders>
              <w:top w:val="single" w:sz="4" w:space="0" w:color="auto"/>
              <w:bottom w:val="single" w:sz="4" w:space="0" w:color="auto"/>
            </w:tcBorders>
            <w:vAlign w:val="center"/>
            <w:hideMark/>
          </w:tcPr>
          <w:p w14:paraId="12AC4A19"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100.00</w:t>
            </w:r>
          </w:p>
        </w:tc>
        <w:tc>
          <w:tcPr>
            <w:tcW w:w="0" w:type="auto"/>
            <w:tcBorders>
              <w:top w:val="single" w:sz="4" w:space="0" w:color="auto"/>
              <w:bottom w:val="single" w:sz="4" w:space="0" w:color="auto"/>
            </w:tcBorders>
            <w:vAlign w:val="center"/>
            <w:hideMark/>
          </w:tcPr>
          <w:p w14:paraId="76A35082"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915,744</w:t>
            </w:r>
          </w:p>
        </w:tc>
        <w:tc>
          <w:tcPr>
            <w:tcW w:w="0" w:type="auto"/>
            <w:tcBorders>
              <w:top w:val="single" w:sz="4" w:space="0" w:color="auto"/>
              <w:bottom w:val="single" w:sz="4" w:space="0" w:color="auto"/>
            </w:tcBorders>
            <w:vAlign w:val="center"/>
            <w:hideMark/>
          </w:tcPr>
          <w:p w14:paraId="72548A9A" w14:textId="77777777" w:rsidR="00FA7746" w:rsidRPr="00FA7746" w:rsidRDefault="00FA7746" w:rsidP="00BD2F91">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100.00</w:t>
            </w:r>
          </w:p>
        </w:tc>
      </w:tr>
    </w:tbl>
    <w:p w14:paraId="7531AF84" w14:textId="77777777" w:rsidR="00FA7746" w:rsidRPr="00FA7746" w:rsidRDefault="00FA7746" w:rsidP="00D54FC4">
      <w:pPr>
        <w:spacing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Table 4. Distribution of classes in the training set before and after class balancing using CTGAN.</w:t>
      </w:r>
    </w:p>
    <w:p w14:paraId="0E275264" w14:textId="77777777" w:rsidR="00FA7746" w:rsidRPr="00FA7746" w:rsidRDefault="00FA7746" w:rsidP="000A57F2">
      <w:pPr>
        <w:spacing w:line="480" w:lineRule="auto"/>
        <w:rPr>
          <w:rFonts w:ascii="Times New Roman" w:hAnsi="Times New Roman" w:cs="Times New Roman"/>
          <w:sz w:val="24"/>
          <w:szCs w:val="24"/>
        </w:rPr>
      </w:pPr>
      <w:r w:rsidRPr="00FA7746">
        <w:rPr>
          <w:rFonts w:ascii="Times New Roman" w:hAnsi="Times New Roman" w:cs="Times New Roman"/>
          <w:b/>
          <w:bCs/>
          <w:i/>
          <w:iCs/>
          <w:sz w:val="24"/>
          <w:szCs w:val="24"/>
        </w:rPr>
        <w:t>Note:</w:t>
      </w:r>
      <w:r w:rsidRPr="00FA7746">
        <w:rPr>
          <w:rFonts w:ascii="Times New Roman" w:hAnsi="Times New Roman" w:cs="Times New Roman"/>
          <w:sz w:val="24"/>
          <w:szCs w:val="24"/>
        </w:rPr>
        <w:t xml:space="preserve"> This table was adjusted to align with the 70%, 10%, and 20% split design while preserving the original class proportions of the training set before CTGAN. Classes R </w:t>
      </w:r>
      <w:r w:rsidRPr="00FA7746">
        <w:rPr>
          <w:rFonts w:ascii="Times New Roman" w:hAnsi="Times New Roman" w:cs="Times New Roman"/>
          <w:sz w:val="24"/>
          <w:szCs w:val="24"/>
        </w:rPr>
        <w:lastRenderedPageBreak/>
        <w:t>and I were then augmented until they matched class S. CTGAN was applied only to the training set; the validation and test sets were not balanced.</w:t>
      </w:r>
    </w:p>
    <w:p w14:paraId="1BF73479" w14:textId="77777777" w:rsidR="005653F4" w:rsidRPr="00864FE6" w:rsidRDefault="005653F4" w:rsidP="000A57F2">
      <w:pPr>
        <w:spacing w:line="480" w:lineRule="auto"/>
        <w:rPr>
          <w:rFonts w:ascii="Times New Roman" w:hAnsi="Times New Roman" w:cs="Times New Roman"/>
          <w:b/>
          <w:bCs/>
          <w:sz w:val="24"/>
          <w:szCs w:val="24"/>
        </w:rPr>
      </w:pPr>
    </w:p>
    <w:p w14:paraId="15908E7D" w14:textId="22CC8AD8"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5. Discussion</w:t>
      </w:r>
    </w:p>
    <w:p w14:paraId="65B701D0" w14:textId="013358BB" w:rsidR="00FA7746" w:rsidRPr="00FA7746" w:rsidRDefault="00FA7746" w:rsidP="0046448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This study shows that successful prediction of antimicrobial susceptibility categories depends not only on algorithm selection but also on Standardizing organism, antibiotic, and specimen labels, checking AST consistency, excluding records that could not be interpreted reliably, and removing repeated isolates using a first-isolate rule </w:t>
      </w:r>
    </w:p>
    <w:p w14:paraId="38CD6F71" w14:textId="77777777" w:rsidR="00FA7746" w:rsidRPr="00FA7746" w:rsidRDefault="00FA7746" w:rsidP="0046448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Across all experimental settings, Random Forest performed best. With the full feature set, the model achieved an accuracy of 75.05%, macro precision of 0.75, macro recall of 0.75, and macro F1-score of 0.75. When organism information was removed, performance dropped to 66.33%, 0.66, 0.66, and 0.66, respectively. When both organism and antibiotic information were removed, performance further declined to 62.36%, 0.63, 0.62, and 0.62. These results indicate that microbiology variables, especially organism and antibiotic features, contribute substantially to predictive performance.</w:t>
      </w:r>
    </w:p>
    <w:p w14:paraId="3C390496" w14:textId="77777777" w:rsidR="00FA7746" w:rsidRPr="00FA7746" w:rsidRDefault="00FA7746" w:rsidP="0046448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The findings are consistent with previous studies showing that tree-based models perform well in antimicrobial resistance prediction using real-world clinical and microbiology data (Anahtar et al., 2021; Ardila et al., 2025; Sakagianni et al., 2023). In particular, prior reviews have highlighted the practical strengths of Random Forest and gradient-boosting approaches for complex tabular healthcare datasets, whereas personalized antibiogram studies have shown that microbiology and patient-context variables can jointly support more precise susceptibility prediction (Corbin et al., 2022; Goto et al., 2026). The present study extends this body of work by showing that data </w:t>
      </w:r>
      <w:r w:rsidRPr="00FA7746">
        <w:rPr>
          <w:rFonts w:ascii="Times New Roman" w:hAnsi="Times New Roman" w:cs="Times New Roman"/>
          <w:sz w:val="24"/>
          <w:szCs w:val="24"/>
        </w:rPr>
        <w:lastRenderedPageBreak/>
        <w:t>quality assessment and preprocessing are not merely preparatory steps but central methodological components that materially influence downstream model performance.</w:t>
      </w:r>
    </w:p>
    <w:p w14:paraId="7271D3B8" w14:textId="77777777" w:rsidR="00FA7746" w:rsidRPr="00FA7746" w:rsidRDefault="00FA7746" w:rsidP="0046448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 marked reduction in performance after removing organism and antibiotic variables is biologically and clinically plausible. Susceptibility patterns are strongly influenced by organism identity and antimicrobial agent, and removing these features limits the model’s access to the microbiological context most directly associated with AST outcomes. By contrast, patient-context variables such as age, sex, and ward may capture indirect epidemiological patterns but cannot fully replace organism- and antibiotic-specific information. The strong performance of Random Forest may reflect its ability to model nonlinear interactions among microbiology and patient-context variables while remaining robust to heterogeneous real-world tabular data.</w:t>
      </w:r>
    </w:p>
    <w:p w14:paraId="13D422E5" w14:textId="77777777" w:rsidR="00FA7746" w:rsidRPr="00FA7746" w:rsidRDefault="00FA7746" w:rsidP="0046448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Class-level results also suggest that CTGAN-based balancing may have improved learning for the minority class, particularly class I, which was the least frequent class in the original dataset. However, this finding should be interpreted cautiously. Although synthetic oversampling can improve representation during training, generated records may not fully capture the biological and epidemiological complexity of minority-class observations in routine clinical data.</w:t>
      </w:r>
    </w:p>
    <w:p w14:paraId="4C4B7824"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5.1. Limitations</w:t>
      </w:r>
    </w:p>
    <w:p w14:paraId="064CEBD3" w14:textId="50171D0D" w:rsidR="00FA7746" w:rsidRPr="00FA7746" w:rsidRDefault="00FA7746" w:rsidP="005827A4">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This study has several limitations. First, the data originated from a single tertiary-care hospital, which may limit generalizability to other institutions. Second, the retrospective design relied on routine hospital data collected over multiple years, and laboratory practices or breakpoint criteria may have varied during the study period. The study used the categorical S/I/R results recorded in the hospital database and did not </w:t>
      </w:r>
      <w:r w:rsidRPr="00FA7746">
        <w:rPr>
          <w:rFonts w:ascii="Times New Roman" w:hAnsi="Times New Roman" w:cs="Times New Roman"/>
          <w:sz w:val="24"/>
          <w:szCs w:val="24"/>
        </w:rPr>
        <w:lastRenderedPageBreak/>
        <w:t>retrospectively recalculate all across the full period. Third, CTGAN-based augmentation was applied only to the training set and may not fully capture the true structure of minority-class observations. Fourth, external validation was not performed, and the models were evaluated only within the source institution. Fifth, categorical variables were label-encoded for Decision Tree, Random Forest, and XGBoost for computational convenience; although tree-based methods are generally less sensitive to such encoding than linear models, arbitrary ordinal effects cannot be ruled out completely. Finally, the evaluation design used group-based splitting by patient ID to reduce leakage, but it did not constitute a fully temporal validation strategy for prospective deployment.</w:t>
      </w:r>
    </w:p>
    <w:p w14:paraId="4FFFC2F6" w14:textId="77777777" w:rsidR="00FA7746" w:rsidRPr="00864FE6" w:rsidRDefault="00FA7746" w:rsidP="005827A4">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These limitations indicate that future work should include external validation across hospitals, temporal validation using later-year cohorts, and additional comparison of encoding strategies and class-imbalance methods. Future studies may also investigate model calibration, uncertainty estimation, and clinically interpretable deployment frameworks for decision support.</w:t>
      </w:r>
    </w:p>
    <w:p w14:paraId="39CA1D9E" w14:textId="77777777" w:rsidR="00677FA5" w:rsidRPr="00FA7746" w:rsidRDefault="00677FA5" w:rsidP="005827A4">
      <w:pPr>
        <w:spacing w:line="480" w:lineRule="auto"/>
        <w:ind w:firstLine="720"/>
        <w:jc w:val="thaiDistribute"/>
        <w:rPr>
          <w:rFonts w:ascii="Times New Roman" w:hAnsi="Times New Roman" w:cs="Times New Roman"/>
          <w:sz w:val="24"/>
          <w:szCs w:val="24"/>
        </w:rPr>
      </w:pPr>
    </w:p>
    <w:p w14:paraId="21E731E2"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6. Conclusion</w:t>
      </w:r>
    </w:p>
    <w:p w14:paraId="3D716EC3" w14:textId="77777777" w:rsidR="00FA7746" w:rsidRPr="00FA7746" w:rsidRDefault="00FA7746" w:rsidP="003F64C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This study proposed a machine-learning framework for predicting antimicrobial susceptibility categories (S/I/R) from hospital microbiology data after systematic data quality assessment and preprocessing. The framework integrated data quality assessment, standardization of organism, antibiotic, and specimen labels, exclusion of records that could not be interpreted reliably, intrinsic-resistance checking, and duplicate reduction using a 30-day first-isolate rule before model development.</w:t>
      </w:r>
    </w:p>
    <w:p w14:paraId="43B30981" w14:textId="77777777" w:rsidR="00FA7746" w:rsidRPr="00864FE6" w:rsidRDefault="00FA7746" w:rsidP="003F64C8">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The experimental results showed that Random Forest achieved the best performance across all settings. With the full feature set, the model achieved 75.05% accuracy and a macro F1-score of 0.75. When organism information was removed, performance declined to 66.33%, and when both organism and antibiotic information were removed, performance declined further to 62.36%. Class-level results also showed that predictive performance was strongest when microbiology features were retained. Overall, the findings indicate that systematically quality-controlled hospital microbiology data can support robust machine-learning prediction of antimicrobial susceptibility categories and provide a foundation for future clinical decision-support applications.</w:t>
      </w:r>
    </w:p>
    <w:p w14:paraId="3256AAD3" w14:textId="77777777" w:rsidR="003C1704" w:rsidRPr="00FA7746" w:rsidRDefault="003C1704" w:rsidP="003F64C8">
      <w:pPr>
        <w:spacing w:line="480" w:lineRule="auto"/>
        <w:ind w:firstLine="720"/>
        <w:jc w:val="thaiDistribute"/>
        <w:rPr>
          <w:rFonts w:ascii="Times New Roman" w:hAnsi="Times New Roman" w:cs="Times New Roman"/>
          <w:sz w:val="24"/>
          <w:szCs w:val="24"/>
        </w:rPr>
      </w:pPr>
    </w:p>
    <w:p w14:paraId="46806B76"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References</w:t>
      </w:r>
    </w:p>
    <w:p w14:paraId="65008BC8" w14:textId="77777777" w:rsidR="006425FB" w:rsidRPr="00864FE6" w:rsidRDefault="00FA7746" w:rsidP="006425FB">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Anahtar, M. N., Yang, J. H., &amp; Kanjilal, S. (2021). Applications of machine learning to </w:t>
      </w:r>
    </w:p>
    <w:p w14:paraId="47A7604A" w14:textId="5B1F90BD" w:rsidR="00FA7746" w:rsidRPr="00FA7746" w:rsidRDefault="00FA7746" w:rsidP="006425FB">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the problem of antimicrobial resistance: An emerging model for translational research. </w:t>
      </w:r>
      <w:r w:rsidRPr="00FA7746">
        <w:rPr>
          <w:rFonts w:ascii="Times New Roman" w:hAnsi="Times New Roman" w:cs="Times New Roman"/>
          <w:i/>
          <w:iCs/>
          <w:sz w:val="24"/>
          <w:szCs w:val="24"/>
        </w:rPr>
        <w:t>Journal of Clinical Microbiology, 59</w:t>
      </w:r>
      <w:r w:rsidRPr="00FA7746">
        <w:rPr>
          <w:rFonts w:ascii="Times New Roman" w:hAnsi="Times New Roman" w:cs="Times New Roman"/>
          <w:sz w:val="24"/>
          <w:szCs w:val="24"/>
        </w:rPr>
        <w:t>(7), e01260-20.</w:t>
      </w:r>
    </w:p>
    <w:p w14:paraId="7CE3A7BC" w14:textId="77777777" w:rsidR="00DD51A5"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Aramrat, C., &amp; Boonma, P. (2023). Development of data processing and visualization for </w:t>
      </w:r>
    </w:p>
    <w:p w14:paraId="7B25C93A" w14:textId="6262A1BD" w:rsidR="00FA7746" w:rsidRPr="00FA7746" w:rsidRDefault="00FA7746" w:rsidP="00645202">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bacterial and antibiotic susceptibility profile. </w:t>
      </w:r>
      <w:r w:rsidRPr="00FA7746">
        <w:rPr>
          <w:rFonts w:ascii="Times New Roman" w:hAnsi="Times New Roman" w:cs="Times New Roman"/>
          <w:i/>
          <w:iCs/>
          <w:sz w:val="24"/>
          <w:szCs w:val="24"/>
        </w:rPr>
        <w:t>Data Science and Engineering Record, 4</w:t>
      </w:r>
      <w:r w:rsidRPr="00FA7746">
        <w:rPr>
          <w:rFonts w:ascii="Times New Roman" w:hAnsi="Times New Roman" w:cs="Times New Roman"/>
          <w:sz w:val="24"/>
          <w:szCs w:val="24"/>
        </w:rPr>
        <w:t>(1).</w:t>
      </w:r>
    </w:p>
    <w:p w14:paraId="40DEDBE8" w14:textId="77777777" w:rsidR="00D72F7B"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Ardila, C. M., González-Arroyave, D., &amp; Tobón, S. (2025). Machine learning for </w:t>
      </w:r>
    </w:p>
    <w:p w14:paraId="73A5A7CF" w14:textId="6D933255" w:rsidR="00FA7746" w:rsidRPr="00FA7746" w:rsidRDefault="00FA7746" w:rsidP="00D72F7B">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predicting antimicrobial resistance in critical and high-priority pathogens: A systematic review considering antimicrobial susceptibility tests in real-world healthcare settings. </w:t>
      </w:r>
      <w:r w:rsidRPr="00FA7746">
        <w:rPr>
          <w:rFonts w:ascii="Times New Roman" w:hAnsi="Times New Roman" w:cs="Times New Roman"/>
          <w:i/>
          <w:iCs/>
          <w:sz w:val="24"/>
          <w:szCs w:val="24"/>
        </w:rPr>
        <w:t>PLOS ONE, 20</w:t>
      </w:r>
      <w:r w:rsidRPr="00FA7746">
        <w:rPr>
          <w:rFonts w:ascii="Times New Roman" w:hAnsi="Times New Roman" w:cs="Times New Roman"/>
          <w:sz w:val="24"/>
          <w:szCs w:val="24"/>
        </w:rPr>
        <w:t>(2), e0319460.</w:t>
      </w:r>
    </w:p>
    <w:p w14:paraId="640A7F3F" w14:textId="77777777" w:rsidR="00781DDA"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Clinical and Laboratory Standards Institute. (2011). </w:t>
      </w:r>
      <w:r w:rsidRPr="00FA7746">
        <w:rPr>
          <w:rFonts w:ascii="Times New Roman" w:hAnsi="Times New Roman" w:cs="Times New Roman"/>
          <w:i/>
          <w:iCs/>
          <w:sz w:val="24"/>
          <w:szCs w:val="24"/>
        </w:rPr>
        <w:t xml:space="preserve">Performance standards for </w:t>
      </w:r>
    </w:p>
    <w:p w14:paraId="3523A636" w14:textId="2BC91002" w:rsidR="00FA7746" w:rsidRPr="00FA7746" w:rsidRDefault="00FA7746" w:rsidP="00781DDA">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i/>
          <w:iCs/>
          <w:sz w:val="24"/>
          <w:szCs w:val="24"/>
        </w:rPr>
        <w:lastRenderedPageBreak/>
        <w:t>antimicrobial susceptibility testing</w:t>
      </w:r>
      <w:r w:rsidRPr="00FA7746">
        <w:rPr>
          <w:rFonts w:ascii="Times New Roman" w:hAnsi="Times New Roman" w:cs="Times New Roman"/>
          <w:sz w:val="24"/>
          <w:szCs w:val="24"/>
        </w:rPr>
        <w:t xml:space="preserve"> (21st informational supplement, CLSI document M100-S21).</w:t>
      </w:r>
    </w:p>
    <w:p w14:paraId="33AC42C1" w14:textId="26B25CA5" w:rsidR="00FA7746" w:rsidRPr="00FA7746" w:rsidRDefault="00FA7746" w:rsidP="0068450F">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Clinical and Laboratory Standards Institute. (2020). </w:t>
      </w:r>
      <w:r w:rsidRPr="00FA7746">
        <w:rPr>
          <w:rFonts w:ascii="Times New Roman" w:hAnsi="Times New Roman" w:cs="Times New Roman"/>
          <w:i/>
          <w:iCs/>
          <w:sz w:val="24"/>
          <w:szCs w:val="24"/>
        </w:rPr>
        <w:t xml:space="preserve">Performance standards for </w:t>
      </w:r>
      <w:r w:rsidR="0068450F" w:rsidRPr="00864FE6">
        <w:rPr>
          <w:rFonts w:ascii="Times New Roman" w:hAnsi="Times New Roman" w:cs="Times New Roman"/>
          <w:i/>
          <w:iCs/>
          <w:sz w:val="24"/>
          <w:szCs w:val="24"/>
        </w:rPr>
        <w:t>\</w:t>
      </w:r>
      <w:r w:rsidR="0068450F" w:rsidRPr="00864FE6">
        <w:rPr>
          <w:rFonts w:ascii="Times New Roman" w:hAnsi="Times New Roman" w:cs="Times New Roman"/>
          <w:i/>
          <w:iCs/>
          <w:sz w:val="24"/>
          <w:szCs w:val="24"/>
        </w:rPr>
        <w:tab/>
      </w:r>
      <w:r w:rsidRPr="00FA7746">
        <w:rPr>
          <w:rFonts w:ascii="Times New Roman" w:hAnsi="Times New Roman" w:cs="Times New Roman"/>
          <w:i/>
          <w:iCs/>
          <w:sz w:val="24"/>
          <w:szCs w:val="24"/>
        </w:rPr>
        <w:t>antimicrobial susceptibility testing</w:t>
      </w:r>
      <w:r w:rsidRPr="00FA7746">
        <w:rPr>
          <w:rFonts w:ascii="Times New Roman" w:hAnsi="Times New Roman" w:cs="Times New Roman"/>
          <w:sz w:val="24"/>
          <w:szCs w:val="24"/>
        </w:rPr>
        <w:t xml:space="preserve"> (30th ed.; CLSI supplement M100).</w:t>
      </w:r>
    </w:p>
    <w:p w14:paraId="1787130D" w14:textId="77777777" w:rsidR="00DD51A5"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Clinical and Laboratory Standards Institute. (2022a). </w:t>
      </w:r>
      <w:r w:rsidRPr="00FA7746">
        <w:rPr>
          <w:rFonts w:ascii="Times New Roman" w:hAnsi="Times New Roman" w:cs="Times New Roman"/>
          <w:i/>
          <w:iCs/>
          <w:sz w:val="24"/>
          <w:szCs w:val="24"/>
        </w:rPr>
        <w:t xml:space="preserve">M39: Analysis and presentation of </w:t>
      </w:r>
    </w:p>
    <w:p w14:paraId="7289B77C" w14:textId="0B069B78"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cumulative antimicrobial susceptibility test data</w:t>
      </w:r>
      <w:r w:rsidRPr="00FA7746">
        <w:rPr>
          <w:rFonts w:ascii="Times New Roman" w:hAnsi="Times New Roman" w:cs="Times New Roman"/>
          <w:sz w:val="24"/>
          <w:szCs w:val="24"/>
        </w:rPr>
        <w:t xml:space="preserve"> (5th ed.).</w:t>
      </w:r>
    </w:p>
    <w:p w14:paraId="1617D8EA" w14:textId="77777777" w:rsidR="00FB01DF"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Corbin, C. K., Sung, L., Chattopadhyay, A., Noshad, M., Chang, A., Deresinski, S., </w:t>
      </w:r>
    </w:p>
    <w:p w14:paraId="2850F3EE" w14:textId="62B77EE0" w:rsidR="00FA7746" w:rsidRPr="00FA7746" w:rsidRDefault="00FA7746" w:rsidP="00BD10A6">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Baiocchi, M., &amp; Chen, J. H. (2022). Personalized antibiograms for machine learning-driven antibiotic selection. </w:t>
      </w:r>
      <w:r w:rsidRPr="00FA7746">
        <w:rPr>
          <w:rFonts w:ascii="Times New Roman" w:hAnsi="Times New Roman" w:cs="Times New Roman"/>
          <w:i/>
          <w:iCs/>
          <w:sz w:val="24"/>
          <w:szCs w:val="24"/>
        </w:rPr>
        <w:t>Communications Medicine, 2</w:t>
      </w:r>
      <w:r w:rsidRPr="00FA7746">
        <w:rPr>
          <w:rFonts w:ascii="Times New Roman" w:hAnsi="Times New Roman" w:cs="Times New Roman"/>
          <w:sz w:val="24"/>
          <w:szCs w:val="24"/>
        </w:rPr>
        <w:t>, Article 38.</w:t>
      </w:r>
    </w:p>
    <w:p w14:paraId="001A3961" w14:textId="77777777" w:rsidR="00AB46BB"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Goto, M., Bandyopadhyay, A., Shi, Q., Wang, Y., Perencevich, E. N., Hernandez, D., &amp; </w:t>
      </w:r>
    </w:p>
    <w:p w14:paraId="44AAA9E2" w14:textId="2DA077A1" w:rsidR="00FA7746" w:rsidRPr="00FA7746" w:rsidRDefault="00FA7746" w:rsidP="00645202">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Street, W. N. (2026). Personalized antibiogram: A novel multitask machine learning framework for simultaneous prediction of antimicrobial resistance profile with enhanced detection of carbapenem resistance in </w:t>
      </w:r>
      <w:r w:rsidRPr="00FA7746">
        <w:rPr>
          <w:rFonts w:ascii="Times New Roman" w:hAnsi="Times New Roman" w:cs="Times New Roman"/>
          <w:i/>
          <w:iCs/>
          <w:sz w:val="24"/>
          <w:szCs w:val="24"/>
        </w:rPr>
        <w:t>Enterobacteriaceae</w:t>
      </w:r>
      <w:r w:rsidRPr="00FA7746">
        <w:rPr>
          <w:rFonts w:ascii="Times New Roman" w:hAnsi="Times New Roman" w:cs="Times New Roman"/>
          <w:sz w:val="24"/>
          <w:szCs w:val="24"/>
        </w:rPr>
        <w:t xml:space="preserve">. </w:t>
      </w:r>
      <w:r w:rsidRPr="00FA7746">
        <w:rPr>
          <w:rFonts w:ascii="Times New Roman" w:hAnsi="Times New Roman" w:cs="Times New Roman"/>
          <w:i/>
          <w:iCs/>
          <w:sz w:val="24"/>
          <w:szCs w:val="24"/>
        </w:rPr>
        <w:t>Clinical Infectious Diseases</w:t>
      </w:r>
      <w:r w:rsidRPr="00FA7746">
        <w:rPr>
          <w:rFonts w:ascii="Times New Roman" w:hAnsi="Times New Roman" w:cs="Times New Roman"/>
          <w:sz w:val="24"/>
          <w:szCs w:val="24"/>
        </w:rPr>
        <w:t>, ciag027. https://doi.org/10.1093/cid/ciag027</w:t>
      </w:r>
    </w:p>
    <w:p w14:paraId="4D717403" w14:textId="77777777" w:rsidR="00E7734A"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National Antimicrobial Resistance Surveillance Center of Thailand. (2024). </w:t>
      </w:r>
      <w:r w:rsidRPr="00FA7746">
        <w:rPr>
          <w:rFonts w:ascii="Times New Roman" w:hAnsi="Times New Roman" w:cs="Times New Roman"/>
          <w:i/>
          <w:iCs/>
          <w:sz w:val="24"/>
          <w:szCs w:val="24"/>
        </w:rPr>
        <w:t xml:space="preserve">Annual </w:t>
      </w:r>
    </w:p>
    <w:p w14:paraId="62441452" w14:textId="7F91AF05" w:rsidR="00FA7746" w:rsidRPr="00FA7746" w:rsidRDefault="00FA7746" w:rsidP="00E7734A">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report of the National Antimicrobial Resistance Surveillance Center of Thailand</w:t>
      </w:r>
      <w:r w:rsidRPr="00FA7746">
        <w:rPr>
          <w:rFonts w:ascii="Times New Roman" w:hAnsi="Times New Roman" w:cs="Times New Roman"/>
          <w:sz w:val="24"/>
          <w:szCs w:val="24"/>
        </w:rPr>
        <w:t>.</w:t>
      </w:r>
    </w:p>
    <w:p w14:paraId="6D7FB177" w14:textId="77777777" w:rsidR="00E7734A"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National Antimicrobial Resistance Surveillance Center of Thailand. (2025). </w:t>
      </w:r>
    </w:p>
    <w:p w14:paraId="68CC8A18" w14:textId="2F3F59D9" w:rsidR="00FA7746" w:rsidRPr="00FA7746" w:rsidRDefault="00FA7746" w:rsidP="00E7734A">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Antibiograms by health service region</w:t>
      </w:r>
      <w:r w:rsidRPr="00FA7746">
        <w:rPr>
          <w:rFonts w:ascii="Times New Roman" w:hAnsi="Times New Roman" w:cs="Times New Roman"/>
          <w:sz w:val="24"/>
          <w:szCs w:val="24"/>
        </w:rPr>
        <w:t>.</w:t>
      </w:r>
    </w:p>
    <w:p w14:paraId="0C8868FA" w14:textId="77777777" w:rsidR="00942BC8"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Sakagianni, A., Koufopoulou, C., Feretzakis, G., Kalles, D., Verykios, V. S., Myrianthefs, </w:t>
      </w:r>
    </w:p>
    <w:p w14:paraId="09DAA1AD" w14:textId="39775A87" w:rsidR="00FA7746" w:rsidRPr="00FA7746" w:rsidRDefault="00FA7746" w:rsidP="00942BC8">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P., &amp; Fildisis, G. (2023). Using machine learning to predict antimicrobial resistance: A literature review. </w:t>
      </w:r>
      <w:r w:rsidRPr="00FA7746">
        <w:rPr>
          <w:rFonts w:ascii="Times New Roman" w:hAnsi="Times New Roman" w:cs="Times New Roman"/>
          <w:i/>
          <w:iCs/>
          <w:sz w:val="24"/>
          <w:szCs w:val="24"/>
        </w:rPr>
        <w:t>Antibiotics, 12</w:t>
      </w:r>
      <w:r w:rsidRPr="00FA7746">
        <w:rPr>
          <w:rFonts w:ascii="Times New Roman" w:hAnsi="Times New Roman" w:cs="Times New Roman"/>
          <w:sz w:val="24"/>
          <w:szCs w:val="24"/>
        </w:rPr>
        <w:t>(3), 452.</w:t>
      </w:r>
    </w:p>
    <w:p w14:paraId="23B2F7B0" w14:textId="77777777" w:rsidR="00FB1594"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Stelling, J. M., Kulldorff, M., &amp; O’Brien, T. F. (2007). WHONET and BacLink: Software </w:t>
      </w:r>
    </w:p>
    <w:p w14:paraId="23790CFE" w14:textId="4F98604B" w:rsidR="00FA7746" w:rsidRPr="00FA7746" w:rsidRDefault="00FA7746" w:rsidP="00645202">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tools for laboratory-based surveillance of infectious diseases and antimicrobial resistance. </w:t>
      </w:r>
      <w:r w:rsidRPr="00FA7746">
        <w:rPr>
          <w:rFonts w:ascii="Times New Roman" w:hAnsi="Times New Roman" w:cs="Times New Roman"/>
          <w:i/>
          <w:iCs/>
          <w:sz w:val="24"/>
          <w:szCs w:val="24"/>
        </w:rPr>
        <w:t>Advances in Disease Surveillance, 2</w:t>
      </w:r>
      <w:r w:rsidRPr="00FA7746">
        <w:rPr>
          <w:rFonts w:ascii="Times New Roman" w:hAnsi="Times New Roman" w:cs="Times New Roman"/>
          <w:sz w:val="24"/>
          <w:szCs w:val="24"/>
        </w:rPr>
        <w:t>, 121.</w:t>
      </w:r>
    </w:p>
    <w:p w14:paraId="432B5F6B" w14:textId="77777777" w:rsidR="00C15905"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 xml:space="preserve">WHONET. (2026). </w:t>
      </w:r>
      <w:r w:rsidRPr="00FA7746">
        <w:rPr>
          <w:rFonts w:ascii="Times New Roman" w:hAnsi="Times New Roman" w:cs="Times New Roman"/>
          <w:i/>
          <w:iCs/>
          <w:sz w:val="24"/>
          <w:szCs w:val="24"/>
        </w:rPr>
        <w:t>WHONET microbiology laboratory database software</w:t>
      </w:r>
      <w:r w:rsidRPr="00FA7746">
        <w:rPr>
          <w:rFonts w:ascii="Times New Roman" w:hAnsi="Times New Roman" w:cs="Times New Roman"/>
          <w:sz w:val="24"/>
          <w:szCs w:val="24"/>
        </w:rPr>
        <w:t xml:space="preserve"> [Computer </w:t>
      </w:r>
    </w:p>
    <w:p w14:paraId="75F42704" w14:textId="6509C730"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software].</w:t>
      </w:r>
    </w:p>
    <w:p w14:paraId="39458F46" w14:textId="77777777" w:rsidR="00C15905"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World Health Organization. (2022). </w:t>
      </w:r>
      <w:r w:rsidRPr="00FA7746">
        <w:rPr>
          <w:rFonts w:ascii="Times New Roman" w:hAnsi="Times New Roman" w:cs="Times New Roman"/>
          <w:i/>
          <w:iCs/>
          <w:sz w:val="24"/>
          <w:szCs w:val="24"/>
        </w:rPr>
        <w:t xml:space="preserve">Global antimicrobial resistance and use surveillance </w:t>
      </w:r>
    </w:p>
    <w:p w14:paraId="3289ADE1" w14:textId="014B1A88"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system (GLASS) report: 2022</w:t>
      </w:r>
      <w:r w:rsidRPr="00FA7746">
        <w:rPr>
          <w:rFonts w:ascii="Times New Roman" w:hAnsi="Times New Roman" w:cs="Times New Roman"/>
          <w:sz w:val="24"/>
          <w:szCs w:val="24"/>
        </w:rPr>
        <w:t>.</w:t>
      </w:r>
    </w:p>
    <w:p w14:paraId="2252F247" w14:textId="77777777" w:rsidR="00C15905"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World Health Organization. (2023). </w:t>
      </w:r>
      <w:r w:rsidRPr="00FA7746">
        <w:rPr>
          <w:rFonts w:ascii="Times New Roman" w:hAnsi="Times New Roman" w:cs="Times New Roman"/>
          <w:i/>
          <w:iCs/>
          <w:sz w:val="24"/>
          <w:szCs w:val="24"/>
        </w:rPr>
        <w:t xml:space="preserve">Global antimicrobial resistance and use surveillance </w:t>
      </w:r>
    </w:p>
    <w:p w14:paraId="66E05A17" w14:textId="573B8B11"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system (GLASS)</w:t>
      </w:r>
      <w:r w:rsidRPr="00FA7746">
        <w:rPr>
          <w:rFonts w:ascii="Times New Roman" w:hAnsi="Times New Roman" w:cs="Times New Roman"/>
          <w:sz w:val="24"/>
          <w:szCs w:val="24"/>
        </w:rPr>
        <w:t>.</w:t>
      </w:r>
    </w:p>
    <w:p w14:paraId="15DF2590" w14:textId="77777777" w:rsidR="00566DF1" w:rsidRPr="00864FE6" w:rsidRDefault="00566DF1" w:rsidP="000A57F2">
      <w:pPr>
        <w:spacing w:line="480" w:lineRule="auto"/>
        <w:rPr>
          <w:rFonts w:ascii="Times New Roman" w:hAnsi="Times New Roman" w:cs="Times New Roman"/>
          <w:sz w:val="24"/>
          <w:szCs w:val="24"/>
        </w:rPr>
      </w:pPr>
    </w:p>
    <w:sectPr w:rsidR="00566DF1" w:rsidRPr="00864FE6" w:rsidSect="00AA722F">
      <w:pgSz w:w="11906" w:h="16838" w:code="9"/>
      <w:pgMar w:top="1701" w:right="1701" w:bottom="1701" w:left="1701" w:header="709" w:footer="709"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NCHANOK ARAMRAT" w:date="2026-04-23T21:25:00Z" w:initials="CA">
    <w:p w14:paraId="5783F561" w14:textId="77777777" w:rsidR="00E01FA6" w:rsidRDefault="000D4D3F" w:rsidP="00E01FA6">
      <w:pPr>
        <w:pStyle w:val="af5"/>
      </w:pPr>
      <w:r>
        <w:rPr>
          <w:rStyle w:val="af4"/>
        </w:rPr>
        <w:annotationRef/>
      </w:r>
      <w:r w:rsidR="00E01FA6">
        <w:t>Department of Family Medicine, Faculty of Medicine, Chiang Mai University, Chiang Mai 50200, Thailand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83F5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BE1391" w16cex:dateUtc="2026-04-23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83F561" w16cid:durableId="71BE13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22551"/>
    <w:multiLevelType w:val="multilevel"/>
    <w:tmpl w:val="A5C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772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CHANOK ARAMRAT">
    <w15:presenceInfo w15:providerId="AD" w15:userId="S::chanchanok.a@cmu.ac.th::699be0c1-0ef7-426d-a396-bf1ee2c52d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3E9"/>
    <w:rsid w:val="000178C4"/>
    <w:rsid w:val="00032184"/>
    <w:rsid w:val="000462BC"/>
    <w:rsid w:val="00046E25"/>
    <w:rsid w:val="0007520E"/>
    <w:rsid w:val="0009119F"/>
    <w:rsid w:val="00093B9C"/>
    <w:rsid w:val="000A57F2"/>
    <w:rsid w:val="000C3E61"/>
    <w:rsid w:val="000C5BAC"/>
    <w:rsid w:val="000D4D3F"/>
    <w:rsid w:val="000D6D1F"/>
    <w:rsid w:val="000E04AD"/>
    <w:rsid w:val="000F22C4"/>
    <w:rsid w:val="000F254F"/>
    <w:rsid w:val="0011306C"/>
    <w:rsid w:val="0011314A"/>
    <w:rsid w:val="00126537"/>
    <w:rsid w:val="00136F4A"/>
    <w:rsid w:val="00144E5D"/>
    <w:rsid w:val="001457EC"/>
    <w:rsid w:val="0014768F"/>
    <w:rsid w:val="00156B21"/>
    <w:rsid w:val="00162921"/>
    <w:rsid w:val="00182A4D"/>
    <w:rsid w:val="001A6209"/>
    <w:rsid w:val="001A6D9B"/>
    <w:rsid w:val="001C2986"/>
    <w:rsid w:val="00202A75"/>
    <w:rsid w:val="00210D3D"/>
    <w:rsid w:val="00221685"/>
    <w:rsid w:val="00221B88"/>
    <w:rsid w:val="00231A92"/>
    <w:rsid w:val="00231FD3"/>
    <w:rsid w:val="00234663"/>
    <w:rsid w:val="00256212"/>
    <w:rsid w:val="002620AC"/>
    <w:rsid w:val="00280A9D"/>
    <w:rsid w:val="002A4A3D"/>
    <w:rsid w:val="002B07B5"/>
    <w:rsid w:val="002B0DFC"/>
    <w:rsid w:val="002B2824"/>
    <w:rsid w:val="002D11C6"/>
    <w:rsid w:val="002D188E"/>
    <w:rsid w:val="002F2D41"/>
    <w:rsid w:val="002F4987"/>
    <w:rsid w:val="002F50F4"/>
    <w:rsid w:val="00303891"/>
    <w:rsid w:val="00306295"/>
    <w:rsid w:val="00324EFD"/>
    <w:rsid w:val="00337A07"/>
    <w:rsid w:val="0034357E"/>
    <w:rsid w:val="00373766"/>
    <w:rsid w:val="00376EBE"/>
    <w:rsid w:val="003964B8"/>
    <w:rsid w:val="003A7E06"/>
    <w:rsid w:val="003B3D3B"/>
    <w:rsid w:val="003C1704"/>
    <w:rsid w:val="003F64C8"/>
    <w:rsid w:val="003F663A"/>
    <w:rsid w:val="00414C9E"/>
    <w:rsid w:val="00430447"/>
    <w:rsid w:val="004348FC"/>
    <w:rsid w:val="00451201"/>
    <w:rsid w:val="00457357"/>
    <w:rsid w:val="00464488"/>
    <w:rsid w:val="0048184B"/>
    <w:rsid w:val="004906E1"/>
    <w:rsid w:val="0049295B"/>
    <w:rsid w:val="004A6BDC"/>
    <w:rsid w:val="004C55CE"/>
    <w:rsid w:val="004D31C1"/>
    <w:rsid w:val="004D5A94"/>
    <w:rsid w:val="004E1C96"/>
    <w:rsid w:val="004F294B"/>
    <w:rsid w:val="004F2E48"/>
    <w:rsid w:val="00502448"/>
    <w:rsid w:val="00506D8A"/>
    <w:rsid w:val="00514E82"/>
    <w:rsid w:val="00514E91"/>
    <w:rsid w:val="005249F0"/>
    <w:rsid w:val="0052774F"/>
    <w:rsid w:val="0054412E"/>
    <w:rsid w:val="00557D72"/>
    <w:rsid w:val="005653F4"/>
    <w:rsid w:val="00566DF1"/>
    <w:rsid w:val="005827A4"/>
    <w:rsid w:val="00590EA3"/>
    <w:rsid w:val="00591ABD"/>
    <w:rsid w:val="005D0564"/>
    <w:rsid w:val="00614062"/>
    <w:rsid w:val="00617591"/>
    <w:rsid w:val="00627D79"/>
    <w:rsid w:val="00630B68"/>
    <w:rsid w:val="006425FB"/>
    <w:rsid w:val="00645202"/>
    <w:rsid w:val="00662FC7"/>
    <w:rsid w:val="00673390"/>
    <w:rsid w:val="00677FA5"/>
    <w:rsid w:val="0068450F"/>
    <w:rsid w:val="006A3A27"/>
    <w:rsid w:val="006C126B"/>
    <w:rsid w:val="006D23F6"/>
    <w:rsid w:val="006E0376"/>
    <w:rsid w:val="00716703"/>
    <w:rsid w:val="00747254"/>
    <w:rsid w:val="0075367E"/>
    <w:rsid w:val="00763854"/>
    <w:rsid w:val="00781DDA"/>
    <w:rsid w:val="00783ED9"/>
    <w:rsid w:val="0078431A"/>
    <w:rsid w:val="0079157D"/>
    <w:rsid w:val="00794AD4"/>
    <w:rsid w:val="007A7C51"/>
    <w:rsid w:val="007C0B5A"/>
    <w:rsid w:val="007C321C"/>
    <w:rsid w:val="007D62FB"/>
    <w:rsid w:val="007E12DE"/>
    <w:rsid w:val="007F37B8"/>
    <w:rsid w:val="00803F56"/>
    <w:rsid w:val="00814716"/>
    <w:rsid w:val="00815176"/>
    <w:rsid w:val="00823CE2"/>
    <w:rsid w:val="008242A8"/>
    <w:rsid w:val="00824F9B"/>
    <w:rsid w:val="008403DD"/>
    <w:rsid w:val="00842AF7"/>
    <w:rsid w:val="00847ADF"/>
    <w:rsid w:val="00864FE6"/>
    <w:rsid w:val="00866A34"/>
    <w:rsid w:val="008754D6"/>
    <w:rsid w:val="00886346"/>
    <w:rsid w:val="008A48B4"/>
    <w:rsid w:val="008C0E90"/>
    <w:rsid w:val="008D59FC"/>
    <w:rsid w:val="008E6543"/>
    <w:rsid w:val="008F3B5C"/>
    <w:rsid w:val="008F6075"/>
    <w:rsid w:val="008F6AAE"/>
    <w:rsid w:val="00907123"/>
    <w:rsid w:val="0092057E"/>
    <w:rsid w:val="00920728"/>
    <w:rsid w:val="00933E5F"/>
    <w:rsid w:val="00942BC8"/>
    <w:rsid w:val="00946AF9"/>
    <w:rsid w:val="0095128F"/>
    <w:rsid w:val="009553A9"/>
    <w:rsid w:val="009623DC"/>
    <w:rsid w:val="00973D86"/>
    <w:rsid w:val="009B37F1"/>
    <w:rsid w:val="009C6E5A"/>
    <w:rsid w:val="009D435D"/>
    <w:rsid w:val="009E50F7"/>
    <w:rsid w:val="00A15843"/>
    <w:rsid w:val="00A2012B"/>
    <w:rsid w:val="00A2048E"/>
    <w:rsid w:val="00A204E3"/>
    <w:rsid w:val="00A37D07"/>
    <w:rsid w:val="00A57E1F"/>
    <w:rsid w:val="00A61010"/>
    <w:rsid w:val="00A64436"/>
    <w:rsid w:val="00A76CA7"/>
    <w:rsid w:val="00A848A8"/>
    <w:rsid w:val="00A93133"/>
    <w:rsid w:val="00A93504"/>
    <w:rsid w:val="00AA722F"/>
    <w:rsid w:val="00AB46BB"/>
    <w:rsid w:val="00AB5140"/>
    <w:rsid w:val="00AF110E"/>
    <w:rsid w:val="00B00321"/>
    <w:rsid w:val="00B013E9"/>
    <w:rsid w:val="00B22905"/>
    <w:rsid w:val="00B27C07"/>
    <w:rsid w:val="00B4711A"/>
    <w:rsid w:val="00B76A09"/>
    <w:rsid w:val="00B81443"/>
    <w:rsid w:val="00B846B3"/>
    <w:rsid w:val="00B860D2"/>
    <w:rsid w:val="00B929B6"/>
    <w:rsid w:val="00B95085"/>
    <w:rsid w:val="00BB1DC5"/>
    <w:rsid w:val="00BD10A6"/>
    <w:rsid w:val="00BD2609"/>
    <w:rsid w:val="00BD2F91"/>
    <w:rsid w:val="00BD3581"/>
    <w:rsid w:val="00BD4402"/>
    <w:rsid w:val="00BD44B7"/>
    <w:rsid w:val="00BD4B45"/>
    <w:rsid w:val="00BD737C"/>
    <w:rsid w:val="00BE03AC"/>
    <w:rsid w:val="00C078E7"/>
    <w:rsid w:val="00C15905"/>
    <w:rsid w:val="00C232E5"/>
    <w:rsid w:val="00C37C33"/>
    <w:rsid w:val="00C405BD"/>
    <w:rsid w:val="00C768E5"/>
    <w:rsid w:val="00C823BE"/>
    <w:rsid w:val="00C94BDA"/>
    <w:rsid w:val="00C96172"/>
    <w:rsid w:val="00CD0DC0"/>
    <w:rsid w:val="00CD7920"/>
    <w:rsid w:val="00CF7F8B"/>
    <w:rsid w:val="00D00CEA"/>
    <w:rsid w:val="00D1178B"/>
    <w:rsid w:val="00D20ACA"/>
    <w:rsid w:val="00D468A3"/>
    <w:rsid w:val="00D54FC4"/>
    <w:rsid w:val="00D61233"/>
    <w:rsid w:val="00D61655"/>
    <w:rsid w:val="00D711E5"/>
    <w:rsid w:val="00D72F7B"/>
    <w:rsid w:val="00DA2801"/>
    <w:rsid w:val="00DA6C9F"/>
    <w:rsid w:val="00DB42ED"/>
    <w:rsid w:val="00DD51A5"/>
    <w:rsid w:val="00DF5897"/>
    <w:rsid w:val="00E01FA6"/>
    <w:rsid w:val="00E12D1D"/>
    <w:rsid w:val="00E23134"/>
    <w:rsid w:val="00E4633D"/>
    <w:rsid w:val="00E75716"/>
    <w:rsid w:val="00E77307"/>
    <w:rsid w:val="00E7734A"/>
    <w:rsid w:val="00EA3552"/>
    <w:rsid w:val="00EB4026"/>
    <w:rsid w:val="00EC7912"/>
    <w:rsid w:val="00EE4DC7"/>
    <w:rsid w:val="00F05B47"/>
    <w:rsid w:val="00F10EE8"/>
    <w:rsid w:val="00F15D42"/>
    <w:rsid w:val="00F178DF"/>
    <w:rsid w:val="00F210DC"/>
    <w:rsid w:val="00F35085"/>
    <w:rsid w:val="00F415FD"/>
    <w:rsid w:val="00F42A2A"/>
    <w:rsid w:val="00F5027B"/>
    <w:rsid w:val="00F5215D"/>
    <w:rsid w:val="00F54015"/>
    <w:rsid w:val="00F55FBF"/>
    <w:rsid w:val="00F67DA6"/>
    <w:rsid w:val="00F7612B"/>
    <w:rsid w:val="00F82949"/>
    <w:rsid w:val="00FA182A"/>
    <w:rsid w:val="00FA21A4"/>
    <w:rsid w:val="00FA501E"/>
    <w:rsid w:val="00FA71C8"/>
    <w:rsid w:val="00FA7746"/>
    <w:rsid w:val="00FB01DF"/>
    <w:rsid w:val="00FB1594"/>
    <w:rsid w:val="00FB31B3"/>
    <w:rsid w:val="00FE1CB4"/>
    <w:rsid w:val="00FE4F44"/>
    <w:rsid w:val="00FF4BA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EF1A"/>
  <w15:chartTrackingRefBased/>
  <w15:docId w15:val="{409E4188-69A7-40B8-8A90-0944B276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13E9"/>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unhideWhenUsed/>
    <w:qFormat/>
    <w:rsid w:val="00B013E9"/>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unhideWhenUsed/>
    <w:qFormat/>
    <w:rsid w:val="00B013E9"/>
    <w:pPr>
      <w:keepNext/>
      <w:keepLines/>
      <w:spacing w:before="120" w:after="4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unhideWhenUsed/>
    <w:qFormat/>
    <w:rsid w:val="00B013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013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013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13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13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13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013E9"/>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rsid w:val="00B013E9"/>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rsid w:val="00B013E9"/>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rsid w:val="00B013E9"/>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B013E9"/>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B013E9"/>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B013E9"/>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B013E9"/>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B013E9"/>
    <w:rPr>
      <w:rFonts w:eastAsiaTheme="majorEastAsia" w:cstheme="majorBidi"/>
      <w:color w:val="272727" w:themeColor="text1" w:themeTint="D8"/>
    </w:rPr>
  </w:style>
  <w:style w:type="paragraph" w:styleId="a3">
    <w:name w:val="Title"/>
    <w:basedOn w:val="a"/>
    <w:next w:val="a"/>
    <w:link w:val="a4"/>
    <w:uiPriority w:val="10"/>
    <w:qFormat/>
    <w:rsid w:val="00B013E9"/>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B013E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B013E9"/>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B013E9"/>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B013E9"/>
    <w:pPr>
      <w:spacing w:before="160"/>
      <w:jc w:val="center"/>
    </w:pPr>
    <w:rPr>
      <w:i/>
      <w:iCs/>
      <w:color w:val="404040" w:themeColor="text1" w:themeTint="BF"/>
    </w:rPr>
  </w:style>
  <w:style w:type="character" w:customStyle="1" w:styleId="a8">
    <w:name w:val="คำอ้างอิง อักขระ"/>
    <w:basedOn w:val="a0"/>
    <w:link w:val="a7"/>
    <w:uiPriority w:val="29"/>
    <w:rsid w:val="00B013E9"/>
    <w:rPr>
      <w:i/>
      <w:iCs/>
      <w:color w:val="404040" w:themeColor="text1" w:themeTint="BF"/>
    </w:rPr>
  </w:style>
  <w:style w:type="paragraph" w:styleId="a9">
    <w:name w:val="List Paragraph"/>
    <w:basedOn w:val="a"/>
    <w:uiPriority w:val="34"/>
    <w:qFormat/>
    <w:rsid w:val="00B013E9"/>
    <w:pPr>
      <w:ind w:left="720"/>
      <w:contextualSpacing/>
    </w:pPr>
  </w:style>
  <w:style w:type="character" w:styleId="aa">
    <w:name w:val="Intense Emphasis"/>
    <w:basedOn w:val="a0"/>
    <w:uiPriority w:val="21"/>
    <w:qFormat/>
    <w:rsid w:val="00B013E9"/>
    <w:rPr>
      <w:i/>
      <w:iCs/>
      <w:color w:val="2F5496" w:themeColor="accent1" w:themeShade="BF"/>
    </w:rPr>
  </w:style>
  <w:style w:type="paragraph" w:styleId="ab">
    <w:name w:val="Intense Quote"/>
    <w:basedOn w:val="a"/>
    <w:next w:val="a"/>
    <w:link w:val="ac"/>
    <w:uiPriority w:val="30"/>
    <w:qFormat/>
    <w:rsid w:val="00B01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B013E9"/>
    <w:rPr>
      <w:i/>
      <w:iCs/>
      <w:color w:val="2F5496" w:themeColor="accent1" w:themeShade="BF"/>
    </w:rPr>
  </w:style>
  <w:style w:type="character" w:styleId="ad">
    <w:name w:val="Intense Reference"/>
    <w:basedOn w:val="a0"/>
    <w:uiPriority w:val="32"/>
    <w:qFormat/>
    <w:rsid w:val="00B013E9"/>
    <w:rPr>
      <w:b/>
      <w:bCs/>
      <w:smallCaps/>
      <w:color w:val="2F5496" w:themeColor="accent1" w:themeShade="BF"/>
      <w:spacing w:val="5"/>
    </w:rPr>
  </w:style>
  <w:style w:type="paragraph" w:customStyle="1" w:styleId="msonormal0">
    <w:name w:val="msonormal"/>
    <w:basedOn w:val="a"/>
    <w:rsid w:val="00FA7746"/>
    <w:pPr>
      <w:spacing w:before="100" w:beforeAutospacing="1" w:after="100" w:afterAutospacing="1" w:line="240" w:lineRule="auto"/>
    </w:pPr>
    <w:rPr>
      <w:rFonts w:ascii="Angsana New" w:eastAsia="Times New Roman" w:hAnsi="Angsana New" w:cs="Angsana New"/>
      <w:sz w:val="28"/>
    </w:rPr>
  </w:style>
  <w:style w:type="paragraph" w:styleId="ae">
    <w:name w:val="Normal (Web)"/>
    <w:basedOn w:val="a"/>
    <w:uiPriority w:val="99"/>
    <w:semiHidden/>
    <w:unhideWhenUsed/>
    <w:rsid w:val="00FA7746"/>
    <w:pPr>
      <w:spacing w:before="100" w:beforeAutospacing="1" w:after="100" w:afterAutospacing="1" w:line="240" w:lineRule="auto"/>
    </w:pPr>
    <w:rPr>
      <w:rFonts w:ascii="Angsana New" w:eastAsia="Times New Roman" w:hAnsi="Angsana New" w:cs="Angsana New"/>
      <w:sz w:val="28"/>
    </w:rPr>
  </w:style>
  <w:style w:type="character" w:styleId="af">
    <w:name w:val="Strong"/>
    <w:basedOn w:val="a0"/>
    <w:uiPriority w:val="22"/>
    <w:qFormat/>
    <w:rsid w:val="00FA7746"/>
    <w:rPr>
      <w:b/>
      <w:bCs/>
    </w:rPr>
  </w:style>
  <w:style w:type="character" w:customStyle="1" w:styleId="inline-math">
    <w:name w:val="inline-math"/>
    <w:basedOn w:val="a0"/>
    <w:rsid w:val="00FA7746"/>
  </w:style>
  <w:style w:type="character" w:customStyle="1" w:styleId="prosemirror-widget">
    <w:name w:val="prosemirror-widget"/>
    <w:basedOn w:val="a0"/>
    <w:rsid w:val="00FA7746"/>
  </w:style>
  <w:style w:type="character" w:customStyle="1" w:styleId="katex">
    <w:name w:val="katex"/>
    <w:basedOn w:val="a0"/>
    <w:rsid w:val="00FA7746"/>
  </w:style>
  <w:style w:type="character" w:customStyle="1" w:styleId="katex-mathml">
    <w:name w:val="katex-mathml"/>
    <w:basedOn w:val="a0"/>
    <w:rsid w:val="00FA7746"/>
  </w:style>
  <w:style w:type="character" w:customStyle="1" w:styleId="katex-html">
    <w:name w:val="katex-html"/>
    <w:basedOn w:val="a0"/>
    <w:rsid w:val="00FA7746"/>
  </w:style>
  <w:style w:type="character" w:customStyle="1" w:styleId="base">
    <w:name w:val="base"/>
    <w:basedOn w:val="a0"/>
    <w:rsid w:val="00FA7746"/>
  </w:style>
  <w:style w:type="character" w:customStyle="1" w:styleId="strut">
    <w:name w:val="strut"/>
    <w:basedOn w:val="a0"/>
    <w:rsid w:val="00FA7746"/>
  </w:style>
  <w:style w:type="character" w:customStyle="1" w:styleId="mord">
    <w:name w:val="mord"/>
    <w:basedOn w:val="a0"/>
    <w:rsid w:val="00FA7746"/>
  </w:style>
  <w:style w:type="character" w:customStyle="1" w:styleId="mspace">
    <w:name w:val="mspace"/>
    <w:basedOn w:val="a0"/>
    <w:rsid w:val="00FA7746"/>
  </w:style>
  <w:style w:type="character" w:customStyle="1" w:styleId="mrel">
    <w:name w:val="mrel"/>
    <w:basedOn w:val="a0"/>
    <w:rsid w:val="00FA7746"/>
  </w:style>
  <w:style w:type="character" w:customStyle="1" w:styleId="mopen">
    <w:name w:val="mopen"/>
    <w:basedOn w:val="a0"/>
    <w:rsid w:val="00FA7746"/>
  </w:style>
  <w:style w:type="character" w:customStyle="1" w:styleId="msupsub">
    <w:name w:val="msupsub"/>
    <w:basedOn w:val="a0"/>
    <w:rsid w:val="00FA7746"/>
  </w:style>
  <w:style w:type="character" w:customStyle="1" w:styleId="vlist-t">
    <w:name w:val="vlist-t"/>
    <w:basedOn w:val="a0"/>
    <w:rsid w:val="00FA7746"/>
  </w:style>
  <w:style w:type="character" w:customStyle="1" w:styleId="vlist-r">
    <w:name w:val="vlist-r"/>
    <w:basedOn w:val="a0"/>
    <w:rsid w:val="00FA7746"/>
  </w:style>
  <w:style w:type="character" w:customStyle="1" w:styleId="vlist">
    <w:name w:val="vlist"/>
    <w:basedOn w:val="a0"/>
    <w:rsid w:val="00FA7746"/>
  </w:style>
  <w:style w:type="character" w:customStyle="1" w:styleId="pstrut">
    <w:name w:val="pstrut"/>
    <w:basedOn w:val="a0"/>
    <w:rsid w:val="00FA7746"/>
  </w:style>
  <w:style w:type="character" w:customStyle="1" w:styleId="sizing">
    <w:name w:val="sizing"/>
    <w:basedOn w:val="a0"/>
    <w:rsid w:val="00FA7746"/>
  </w:style>
  <w:style w:type="character" w:customStyle="1" w:styleId="vlist-s">
    <w:name w:val="vlist-s"/>
    <w:basedOn w:val="a0"/>
    <w:rsid w:val="00FA7746"/>
  </w:style>
  <w:style w:type="character" w:customStyle="1" w:styleId="mpunct">
    <w:name w:val="mpunct"/>
    <w:basedOn w:val="a0"/>
    <w:rsid w:val="00FA7746"/>
  </w:style>
  <w:style w:type="character" w:customStyle="1" w:styleId="minner">
    <w:name w:val="minner"/>
    <w:basedOn w:val="a0"/>
    <w:rsid w:val="00FA7746"/>
  </w:style>
  <w:style w:type="character" w:customStyle="1" w:styleId="mclose">
    <w:name w:val="mclose"/>
    <w:basedOn w:val="a0"/>
    <w:rsid w:val="00FA7746"/>
  </w:style>
  <w:style w:type="character" w:customStyle="1" w:styleId="katex-display">
    <w:name w:val="katex-display"/>
    <w:basedOn w:val="a0"/>
    <w:rsid w:val="00FA7746"/>
  </w:style>
  <w:style w:type="character" w:customStyle="1" w:styleId="mfrac">
    <w:name w:val="mfrac"/>
    <w:basedOn w:val="a0"/>
    <w:rsid w:val="00FA7746"/>
  </w:style>
  <w:style w:type="character" w:customStyle="1" w:styleId="frac-line">
    <w:name w:val="frac-line"/>
    <w:basedOn w:val="a0"/>
    <w:rsid w:val="00FA7746"/>
  </w:style>
  <w:style w:type="character" w:customStyle="1" w:styleId="mop">
    <w:name w:val="mop"/>
    <w:basedOn w:val="a0"/>
    <w:rsid w:val="00FA7746"/>
  </w:style>
  <w:style w:type="character" w:customStyle="1" w:styleId="delimsizing">
    <w:name w:val="delimsizing"/>
    <w:basedOn w:val="a0"/>
    <w:rsid w:val="00FA7746"/>
  </w:style>
  <w:style w:type="character" w:customStyle="1" w:styleId="delimsizinginner">
    <w:name w:val="delimsizinginner"/>
    <w:basedOn w:val="a0"/>
    <w:rsid w:val="00FA7746"/>
  </w:style>
  <w:style w:type="character" w:customStyle="1" w:styleId="mtable">
    <w:name w:val="mtable"/>
    <w:basedOn w:val="a0"/>
    <w:rsid w:val="00FA7746"/>
  </w:style>
  <w:style w:type="character" w:customStyle="1" w:styleId="col-align-l">
    <w:name w:val="col-align-l"/>
    <w:basedOn w:val="a0"/>
    <w:rsid w:val="00FA7746"/>
  </w:style>
  <w:style w:type="character" w:customStyle="1" w:styleId="arraycolsep">
    <w:name w:val="arraycolsep"/>
    <w:basedOn w:val="a0"/>
    <w:rsid w:val="00FA7746"/>
  </w:style>
  <w:style w:type="character" w:customStyle="1" w:styleId="mbin">
    <w:name w:val="mbin"/>
    <w:basedOn w:val="a0"/>
    <w:rsid w:val="00FA7746"/>
  </w:style>
  <w:style w:type="character" w:customStyle="1" w:styleId="accent-body">
    <w:name w:val="accent-body"/>
    <w:basedOn w:val="a0"/>
    <w:rsid w:val="00FA7746"/>
  </w:style>
  <w:style w:type="character" w:styleId="HTML">
    <w:name w:val="HTML Code"/>
    <w:basedOn w:val="a0"/>
    <w:uiPriority w:val="99"/>
    <w:semiHidden/>
    <w:unhideWhenUsed/>
    <w:rsid w:val="00FA7746"/>
    <w:rPr>
      <w:rFonts w:ascii="Angsana New" w:eastAsia="Times New Roman" w:hAnsi="Angsana New" w:cs="Angsana New"/>
      <w:sz w:val="28"/>
      <w:szCs w:val="28"/>
    </w:rPr>
  </w:style>
  <w:style w:type="character" w:styleId="af0">
    <w:name w:val="Emphasis"/>
    <w:basedOn w:val="a0"/>
    <w:uiPriority w:val="20"/>
    <w:qFormat/>
    <w:rsid w:val="00FA7746"/>
    <w:rPr>
      <w:i/>
      <w:iCs/>
    </w:rPr>
  </w:style>
  <w:style w:type="character" w:styleId="af1">
    <w:name w:val="line number"/>
    <w:basedOn w:val="a0"/>
    <w:uiPriority w:val="99"/>
    <w:semiHidden/>
    <w:unhideWhenUsed/>
    <w:rsid w:val="00F415FD"/>
  </w:style>
  <w:style w:type="character" w:styleId="af2">
    <w:name w:val="Hyperlink"/>
    <w:basedOn w:val="a0"/>
    <w:uiPriority w:val="99"/>
    <w:unhideWhenUsed/>
    <w:rsid w:val="0049295B"/>
    <w:rPr>
      <w:color w:val="0563C1" w:themeColor="hyperlink"/>
      <w:u w:val="single"/>
    </w:rPr>
  </w:style>
  <w:style w:type="character" w:styleId="af3">
    <w:name w:val="Unresolved Mention"/>
    <w:basedOn w:val="a0"/>
    <w:uiPriority w:val="99"/>
    <w:semiHidden/>
    <w:unhideWhenUsed/>
    <w:rsid w:val="0049295B"/>
    <w:rPr>
      <w:color w:val="605E5C"/>
      <w:shd w:val="clear" w:color="auto" w:fill="E1DFDD"/>
    </w:rPr>
  </w:style>
  <w:style w:type="character" w:styleId="af4">
    <w:name w:val="annotation reference"/>
    <w:basedOn w:val="a0"/>
    <w:uiPriority w:val="99"/>
    <w:semiHidden/>
    <w:unhideWhenUsed/>
    <w:rsid w:val="000D4D3F"/>
    <w:rPr>
      <w:sz w:val="16"/>
      <w:szCs w:val="16"/>
    </w:rPr>
  </w:style>
  <w:style w:type="paragraph" w:styleId="af5">
    <w:name w:val="annotation text"/>
    <w:basedOn w:val="a"/>
    <w:link w:val="af6"/>
    <w:uiPriority w:val="99"/>
    <w:unhideWhenUsed/>
    <w:rsid w:val="000D4D3F"/>
    <w:pPr>
      <w:spacing w:line="240" w:lineRule="auto"/>
    </w:pPr>
    <w:rPr>
      <w:sz w:val="20"/>
      <w:szCs w:val="25"/>
    </w:rPr>
  </w:style>
  <w:style w:type="character" w:customStyle="1" w:styleId="af6">
    <w:name w:val="ข้อความข้อคิดเห็น อักขระ"/>
    <w:basedOn w:val="a0"/>
    <w:link w:val="af5"/>
    <w:uiPriority w:val="99"/>
    <w:rsid w:val="000D4D3F"/>
    <w:rPr>
      <w:sz w:val="20"/>
      <w:szCs w:val="25"/>
    </w:rPr>
  </w:style>
  <w:style w:type="paragraph" w:styleId="af7">
    <w:name w:val="annotation subject"/>
    <w:basedOn w:val="af5"/>
    <w:next w:val="af5"/>
    <w:link w:val="af8"/>
    <w:uiPriority w:val="99"/>
    <w:semiHidden/>
    <w:unhideWhenUsed/>
    <w:rsid w:val="000D4D3F"/>
    <w:rPr>
      <w:b/>
      <w:bCs/>
    </w:rPr>
  </w:style>
  <w:style w:type="character" w:customStyle="1" w:styleId="af8">
    <w:name w:val="ชื่อเรื่องของข้อคิดเห็น อักขระ"/>
    <w:basedOn w:val="af6"/>
    <w:link w:val="af7"/>
    <w:uiPriority w:val="99"/>
    <w:semiHidden/>
    <w:rsid w:val="000D4D3F"/>
    <w:rPr>
      <w:b/>
      <w:bCs/>
      <w:sz w:val="20"/>
      <w:szCs w:val="25"/>
    </w:rPr>
  </w:style>
  <w:style w:type="paragraph" w:styleId="af9">
    <w:name w:val="Revision"/>
    <w:hidden/>
    <w:uiPriority w:val="99"/>
    <w:semiHidden/>
    <w:rsid w:val="000D4D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26</Pages>
  <Words>5687</Words>
  <Characters>32422</Characters>
  <Application>Microsoft Office Word</Application>
  <DocSecurity>0</DocSecurity>
  <Lines>270</Lines>
  <Paragraphs>76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Somnuek Sinthupuan</dc:creator>
  <cp:keywords/>
  <dc:description/>
  <cp:lastModifiedBy>jittiphat Sanom</cp:lastModifiedBy>
  <cp:revision>14</cp:revision>
  <cp:lastPrinted>2026-04-29T17:08:00Z</cp:lastPrinted>
  <dcterms:created xsi:type="dcterms:W3CDTF">2026-04-25T08:49:00Z</dcterms:created>
  <dcterms:modified xsi:type="dcterms:W3CDTF">2026-04-29T17:12:00Z</dcterms:modified>
</cp:coreProperties>
</file>