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SimHei"/>
          <w:b/>
          <w:sz w:val="44"/>
        </w:rPr>
        <w:t>股票市场行业轮动与因子收益分析</w:t>
      </w:r>
    </w:p>
    <w:p>
      <w:pPr>
        <w:jc w:val="center"/>
      </w:pPr>
      <w:r>
        <w:rPr>
          <w:rFonts w:ascii="Times New Roman" w:hAnsi="Times New Roman" w:eastAsia="Times New Roman"/>
          <w:b/>
          <w:sz w:val="32"/>
        </w:rPr>
        <w:t>Stock Market Industry Rotation and Factor Return Analysis</w:t>
      </w:r>
    </w:p>
    <w:p>
      <w:pPr>
        <w:jc w:val="center"/>
      </w:pPr>
      <w:r>
        <w:rPr>
          <w:rFonts w:ascii="Times New Roman" w:hAnsi="Times New Roman" w:eastAsia="SimSun"/>
          <w:b w:val="0"/>
          <w:sz w:val="28"/>
        </w:rPr>
        <w:t>——基于A股2022–2025年数据的可视化研究</w:t>
      </w:r>
    </w:p>
    <w:p>
      <w:pPr>
        <w:jc w:val="center"/>
      </w:pPr>
      <w:r>
        <w:rPr>
          <w:rFonts w:ascii="Times New Roman" w:hAnsi="Times New Roman" w:eastAsia="Times New Roman"/>
          <w:b w:val="0"/>
          <w:sz w:val="24"/>
        </w:rPr>
        <w:t>——A Visualization Study Based on A-Share Market Data from 2022–2025</w:t>
      </w:r>
    </w:p>
    <w:p/>
    <w:p/>
    <w:p/>
    <w:p>
      <w:pPr>
        <w:jc w:val="center"/>
      </w:pPr>
      <w:r>
        <w:rPr>
          <w:rFonts w:ascii="Times New Roman" w:hAnsi="Times New Roman" w:eastAsia="SimSun"/>
          <w:b w:val="0"/>
          <w:sz w:val="24"/>
        </w:rPr>
        <w:t>大数据可视化 课程项目报告</w:t>
      </w:r>
    </w:p>
    <w:p>
      <w:pPr>
        <w:jc w:val="center"/>
      </w:pPr>
      <w:r>
        <w:rPr>
          <w:rFonts w:ascii="Times New Roman" w:hAnsi="Times New Roman" w:eastAsia="SimSun"/>
          <w:b w:val="0"/>
          <w:sz w:val="24"/>
        </w:rPr>
        <w:t>数据来源：Tushare Pro 金融数据开放平台</w:t>
      </w:r>
    </w:p>
    <w:p>
      <w:pPr>
        <w:jc w:val="center"/>
      </w:pPr>
      <w:r>
        <w:rPr>
          <w:rFonts w:ascii="Times New Roman" w:hAnsi="Times New Roman" w:eastAsia="SimSun"/>
          <w:b w:val="0"/>
          <w:sz w:val="24"/>
        </w:rPr>
        <w:t>可视化工具：Python Plotly + Kaleido</w:t>
      </w:r>
    </w:p>
    <w:p>
      <w:pPr>
        <w:jc w:val="center"/>
      </w:pPr>
      <w:r>
        <w:rPr>
          <w:rFonts w:ascii="Times New Roman" w:hAnsi="Times New Roman" w:eastAsia="SimSun"/>
          <w:b w:val="0"/>
          <w:sz w:val="24"/>
        </w:rPr>
        <w:t>完成日期：2026年6月</w:t>
      </w:r>
    </w:p>
    <w:p>
      <w:r>
        <w:br w:type="page"/>
      </w:r>
    </w:p>
    <w:p>
      <w:pPr>
        <w:pStyle w:val="Heading1"/>
      </w:pPr>
      <w:r>
        <w:rPr>
          <w:rFonts w:ascii="Times New Roman" w:hAnsi="Times New Roman" w:eastAsia="SimHei"/>
          <w:b/>
          <w:sz w:val="28"/>
        </w:rPr>
        <w:t>摘要</w:t>
      </w:r>
    </w:p>
    <w:p>
      <w:pPr>
        <w:spacing w:line="360" w:lineRule="auto"/>
        <w:ind w:firstLine="420"/>
        <w:jc w:val="both"/>
      </w:pPr>
      <w:r>
        <w:rPr>
          <w:rFonts w:ascii="Times New Roman" w:hAnsi="Times New Roman" w:eastAsia="SimSun"/>
          <w:b w:val="0"/>
          <w:sz w:val="24"/>
        </w:rPr>
        <w:t>本项目基于2022—2025年中国A股市场约5,400只股票、31个申万一级行业的全样本数据，构建了“宏观环境→行业结构→因子归因→决策支持”四层递进分析框架，通过12张交互式Plotly图表实现行业轮动与因子收益的多维度可视化。采用美林时钟框架划分宏观经济周期，使用Fama-French三因子加动量因子分析行业收益归因，并通过力导向网络图揭示行业间的群落结构。</w:t>
      </w:r>
    </w:p>
    <w:p>
      <w:pPr>
        <w:spacing w:line="360" w:lineRule="auto"/>
        <w:ind w:firstLine="420"/>
        <w:jc w:val="both"/>
      </w:pPr>
      <w:r>
        <w:rPr>
          <w:rFonts w:ascii="Times New Roman" w:hAnsi="Times New Roman" w:eastAsia="SimSun"/>
          <w:b w:val="0"/>
          <w:sz w:val="24"/>
        </w:rPr>
        <w:t>研究结果表明：（1）宏观经济周期是行业轮动的核心驱动力，复苏期/过热期/滞胀期/衰退期的优势行业与经典美林时钟理论高度一致；（2）规模因子(SMB)自2023年以来累计上行逾30%，价值因子(HML)与利率环境高度相关，动量因子(MOM)存在周期性崩溃风险；（3）行业间存在稳定的四群落结构（金融周期群、科技成长群、大消费群、上游资源群）；（4）因子拥挤度指标可提前2—3个月预警风格切换。本项目为投资者提供了科学、直观的行业配置决策框架。</w:t>
      </w:r>
    </w:p>
    <w:p/>
    <w:p>
      <w:pPr>
        <w:pStyle w:val="Heading1"/>
      </w:pPr>
      <w:r>
        <w:rPr>
          <w:rFonts w:ascii="Times New Roman" w:hAnsi="Times New Roman" w:eastAsia="SimHei"/>
          <w:b/>
          <w:sz w:val="28"/>
        </w:rPr>
        <w:t>Abstract</w:t>
      </w:r>
    </w:p>
    <w:p>
      <w:pPr>
        <w:spacing w:line="360" w:lineRule="auto"/>
        <w:jc w:val="both"/>
      </w:pPr>
      <w:r>
        <w:rPr>
          <w:rFonts w:ascii="Times New Roman" w:hAnsi="Times New Roman" w:eastAsia="Times New Roman"/>
          <w:b w:val="0"/>
          <w:sz w:val="24"/>
        </w:rPr>
        <w:t>This project constructs a four-layer progressive analytical framework of “Macro Environment → Industry Structure → Factor Attribution → Decision Support” based on a comprehensive dataset of approximately 5,400 A-share stocks across 31 Shenwan primary industries from 2022 to 2025. Through 12 interactive Plotly visualizations, we achieve multidimensional visualization of industry rotation and factor returns.</w:t>
      </w:r>
    </w:p>
    <w:p>
      <w:pPr>
        <w:spacing w:line="360" w:lineRule="auto"/>
        <w:jc w:val="both"/>
      </w:pPr>
      <w:r>
        <w:rPr>
          <w:rFonts w:ascii="Times New Roman" w:hAnsi="Times New Roman" w:eastAsia="Times New Roman"/>
          <w:b w:val="0"/>
          <w:sz w:val="24"/>
        </w:rPr>
        <w:t>Key findings include: (1) Macroeconomic cycles serve as the primary driver of industry rotation, with sector performance across recovery/overheat/stagflation/recession phases closely aligning with classical Merrill Lynch Clock theory; (2) The Size factor (SMB) has accumulated over 30% since 2023; the Value factor (HML) correlates strongly with interest rate environments; and the Momentum factor (MOM) exhibits periodic crash risk; (3) Four stable industry communities are identified (Financial-Cyclical, Tech-Growth, Consumer, Upstream-Resources); (4) Factor crowding indicators provide 2–3 month advance warning of style rotations. This project provides investors with a scientific and intuitive industry allocation decision-making framework.</w:t>
      </w:r>
    </w:p>
    <w:p/>
    <w:p>
      <w:r>
        <w:rPr>
          <w:rFonts w:ascii="Times New Roman" w:hAnsi="Times New Roman" w:eastAsia="SimSun"/>
          <w:b/>
          <w:sz w:val="24"/>
        </w:rPr>
        <w:t>关键词：</w:t>
      </w:r>
      <w:r>
        <w:rPr>
          <w:rFonts w:ascii="Times New Roman" w:hAnsi="Times New Roman" w:eastAsia="SimSun"/>
          <w:b w:val="0"/>
          <w:sz w:val="24"/>
        </w:rPr>
        <w:t>行业轮动；因子模型；美林时钟；数据可视化；A股市场</w:t>
      </w:r>
    </w:p>
    <w:p>
      <w:r>
        <w:rPr>
          <w:rFonts w:ascii="Times New Roman" w:hAnsi="Times New Roman" w:eastAsia="Times New Roman"/>
          <w:b/>
          <w:sz w:val="24"/>
        </w:rPr>
        <w:t xml:space="preserve">Keywords: </w:t>
      </w:r>
      <w:r>
        <w:rPr>
          <w:rFonts w:ascii="Times New Roman" w:hAnsi="Times New Roman" w:eastAsia="Times New Roman"/>
          <w:b w:val="0"/>
          <w:sz w:val="24"/>
        </w:rPr>
        <w:t>Industry Rotation, Factor Model, Merrill Lynch Clock, Data Visualization, A-Share Market</w:t>
      </w:r>
    </w:p>
    <w:p>
      <w:r>
        <w:br w:type="page"/>
      </w:r>
    </w:p>
    <w:p>
      <w:pPr>
        <w:pStyle w:val="Heading1"/>
      </w:pPr>
      <w:r>
        <w:rPr>
          <w:rFonts w:ascii="Times New Roman" w:hAnsi="Times New Roman" w:eastAsia="SimHei"/>
          <w:b/>
          <w:sz w:val="28"/>
        </w:rPr>
        <w:t>1 引言</w:t>
      </w:r>
    </w:p>
    <w:p>
      <w:pPr>
        <w:pStyle w:val="Heading2"/>
      </w:pPr>
      <w:r>
        <w:rPr>
          <w:rFonts w:ascii="Times New Roman" w:hAnsi="Times New Roman" w:eastAsia="SimHei"/>
          <w:b/>
          <w:sz w:val="26"/>
        </w:rPr>
        <w:t>1.1 选题动机</w:t>
      </w:r>
    </w:p>
    <w:p>
      <w:pPr>
        <w:spacing w:line="360" w:lineRule="auto"/>
        <w:ind w:firstLine="420"/>
        <w:jc w:val="both"/>
      </w:pPr>
      <w:r>
        <w:rPr>
          <w:rFonts w:ascii="Times New Roman" w:hAnsi="Times New Roman" w:eastAsia="SimSun"/>
          <w:b w:val="0"/>
          <w:sz w:val="24"/>
        </w:rPr>
        <w:t>中国A股市场拥有超过5,000家上市公司，覆盖31个申万一级行业，总市值逾80万亿元。不同行业在不同宏观经济周期、不同市场风格下的表现存在显著差异。例如，2022年全球加息周期中，能源和银行等价值型行业表现突出，而科技成长型行业大幅回撤；进入2024—2025年，AI产业浪潮又推动电子、计算机等科技行业领涨市场。投资者面临的核心问题是：如何在不同的宏观环境和市场风格下，科学地选择行业配置方向？</w:t>
      </w:r>
    </w:p>
    <w:p>
      <w:pPr>
        <w:spacing w:line="360" w:lineRule="auto"/>
        <w:ind w:firstLine="420"/>
        <w:jc w:val="both"/>
      </w:pPr>
      <w:r>
        <w:rPr>
          <w:rFonts w:ascii="Times New Roman" w:hAnsi="Times New Roman" w:eastAsia="SimSun"/>
          <w:b w:val="0"/>
          <w:sz w:val="24"/>
        </w:rPr>
        <w:t>传统行业研究多依赖于基本面分析（如财务指标比较）或单一维度的技术指标（如相对强弱）。这种方法忽略了两类关键信息：一是宏观经济周期对行业轮动的系统性驱动（如美林时钟框架）；二是因子层面的量化证据（如规模因子、价值因子、动量因子对不同行业超额收益的解释力）。</w:t>
      </w:r>
    </w:p>
    <w:p>
      <w:pPr>
        <w:spacing w:line="360" w:lineRule="auto"/>
        <w:ind w:firstLine="420"/>
        <w:jc w:val="both"/>
      </w:pPr>
      <w:r>
        <w:rPr>
          <w:rFonts w:ascii="Times New Roman" w:hAnsi="Times New Roman" w:eastAsia="SimSun"/>
          <w:b w:val="0"/>
          <w:sz w:val="24"/>
        </w:rPr>
        <w:t>本项目的核心思路是：构建一个“宏观环境→行业结构→因子归因→决策支持”四层递进分析框架，通过对A股市场2022—2025年全样本数据的系统处理和交互式可视化，直观揭示行业轮动的内在规律，辅助投资决策。</w:t>
      </w:r>
    </w:p>
    <w:p>
      <w:pPr>
        <w:pStyle w:val="Heading2"/>
      </w:pPr>
      <w:r>
        <w:rPr>
          <w:rFonts w:ascii="Times New Roman" w:hAnsi="Times New Roman" w:eastAsia="SimHei"/>
          <w:b/>
          <w:sz w:val="26"/>
        </w:rPr>
        <w:t>1.2 分析目标</w:t>
      </w:r>
    </w:p>
    <w:p>
      <w:pPr>
        <w:spacing w:line="360" w:lineRule="auto"/>
        <w:ind w:firstLine="420"/>
        <w:jc w:val="both"/>
      </w:pPr>
      <w:r>
        <w:rPr>
          <w:rFonts w:ascii="Times New Roman" w:hAnsi="Times New Roman" w:eastAsia="SimSun"/>
          <w:b w:val="0"/>
          <w:sz w:val="24"/>
        </w:rPr>
        <w:t>（1）识别宏观周期与行业轮动的关系：基于美林时钟框架，划分复苏、过热、滞胀、衰退四个经济周期阶段，观察各阶段中哪些行业系统性跑赢市场。</w:t>
      </w:r>
    </w:p>
    <w:p>
      <w:pPr>
        <w:spacing w:line="360" w:lineRule="auto"/>
        <w:ind w:firstLine="420"/>
        <w:jc w:val="both"/>
      </w:pPr>
      <w:r>
        <w:rPr>
          <w:rFonts w:ascii="Times New Roman" w:hAnsi="Times New Roman" w:eastAsia="SimSun"/>
          <w:b w:val="0"/>
          <w:sz w:val="24"/>
        </w:rPr>
        <w:t>（2）量化风格因子对行业收益的解释力：构建规模因子（SMB）、价值因子（HML）、动量因子（MOM），分析各行业在不同因子上的暴露程度及其对超额收益的贡献。</w:t>
      </w:r>
    </w:p>
    <w:p>
      <w:pPr>
        <w:spacing w:line="360" w:lineRule="auto"/>
        <w:ind w:firstLine="420"/>
        <w:jc w:val="both"/>
      </w:pPr>
      <w:r>
        <w:rPr>
          <w:rFonts w:ascii="Times New Roman" w:hAnsi="Times New Roman" w:eastAsia="SimSun"/>
          <w:b w:val="0"/>
          <w:sz w:val="24"/>
        </w:rPr>
        <w:t>（3）评估因子拥挤风险：通过估值价差、因子内相关性、换手率集中度等指标，监控因子拥挤状态，预警潜在的因子崩溃风险。</w:t>
      </w:r>
    </w:p>
    <w:p>
      <w:pPr>
        <w:spacing w:line="360" w:lineRule="auto"/>
        <w:ind w:firstLine="420"/>
        <w:jc w:val="both"/>
      </w:pPr>
      <w:r>
        <w:rPr>
          <w:rFonts w:ascii="Times New Roman" w:hAnsi="Times New Roman" w:eastAsia="SimSun"/>
          <w:b w:val="0"/>
          <w:sz w:val="24"/>
        </w:rPr>
        <w:t>（4）构建可视化决策仪表盘：将上述分析整合为12张交互式图表，并汇总为单一仪表盘页面，支持快速切换、键盘导航和搜索过滤。</w:t>
      </w:r>
    </w:p>
    <w:p>
      <w:pPr>
        <w:pStyle w:val="Heading2"/>
      </w:pPr>
      <w:r>
        <w:rPr>
          <w:rFonts w:ascii="Times New Roman" w:hAnsi="Times New Roman" w:eastAsia="SimHei"/>
          <w:b/>
          <w:sz w:val="26"/>
        </w:rPr>
        <w:t>1.3 相关工作</w:t>
      </w:r>
    </w:p>
    <w:p>
      <w:pPr>
        <w:spacing w:line="360" w:lineRule="auto"/>
        <w:ind w:firstLine="420"/>
        <w:jc w:val="both"/>
      </w:pPr>
      <w:r>
        <w:rPr>
          <w:rFonts w:ascii="Times New Roman" w:hAnsi="Times New Roman" w:eastAsia="SimSun"/>
          <w:b w:val="0"/>
          <w:sz w:val="24"/>
        </w:rPr>
        <w:t>Fama和French(1993)提出的三因子模型（市场、规模、价值）为因子投资奠定了理论基础。Jegadeesh和Titman(1993)验证了动量策略的有效性。美林证券的美林时钟投资时钟理论将宏观经济周期与资产配置策略系统性地联系起来，为行业轮动分析提供了宏观视角。在A股市场的研究方面，已有学者探讨了因子模型在中国市场的适用性，但将因子归因与交互式可视化相结合的综合性研究仍较为少见。</w:t>
      </w:r>
    </w:p>
    <w:p>
      <w:r>
        <w:br w:type="page"/>
      </w:r>
    </w:p>
    <w:p>
      <w:pPr>
        <w:pStyle w:val="Heading1"/>
      </w:pPr>
      <w:r>
        <w:rPr>
          <w:rFonts w:ascii="Times New Roman" w:hAnsi="Times New Roman" w:eastAsia="SimHei"/>
          <w:b/>
          <w:sz w:val="28"/>
        </w:rPr>
        <w:t>2 数据与方法</w:t>
      </w:r>
    </w:p>
    <w:p>
      <w:pPr>
        <w:pStyle w:val="Heading2"/>
      </w:pPr>
      <w:r>
        <w:rPr>
          <w:rFonts w:ascii="Times New Roman" w:hAnsi="Times New Roman" w:eastAsia="SimHei"/>
          <w:b/>
          <w:sz w:val="26"/>
        </w:rPr>
        <w:t>2.1 数据来源</w:t>
      </w:r>
    </w:p>
    <w:p>
      <w:pPr>
        <w:spacing w:line="360" w:lineRule="auto"/>
        <w:ind w:firstLine="420"/>
        <w:jc w:val="both"/>
      </w:pPr>
      <w:r>
        <w:rPr>
          <w:rFonts w:ascii="Times New Roman" w:hAnsi="Times New Roman" w:eastAsia="SimSun"/>
          <w:b w:val="0"/>
          <w:sz w:val="24"/>
        </w:rPr>
        <w:t>本项目的全部数据来自Tushare Pro（https://tushare.pro），是国内使用最广泛的免费金融数据开放平台。数据覆盖2022年1月至2025年12月共48个月的交易历史，涉及约5,400只A股股票。原始数据包含个股日线行情（OHLCV）、每日基本面指标（PE/PB/市值/换手率）、申万行业分类及成分股、风格指数日线、宏观经济指标（PMI/CPI/M2/社融/国债收益率）等多个维度。合计使用13个Tushare数据接口，原始CSV文件约27,300个，预处理后形成13个分析级CSV文件。</w:t>
      </w:r>
    </w:p>
    <w:p>
      <w:pPr>
        <w:jc w:val="center"/>
      </w:pPr>
      <w:r>
        <w:rPr>
          <w:rFonts w:ascii="Times New Roman" w:hAnsi="Times New Roman" w:eastAsia="SimSun"/>
          <w:b/>
          <w:sz w:val="22"/>
        </w:rPr>
        <w:t>表1：数据接口与用途</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fill="E8EDF2"/>
          </w:tcPr>
          <w:p>
            <w:pPr>
              <w:jc w:val="center"/>
            </w:pPr>
            <w:r>
              <w:rPr>
                <w:rFonts w:ascii="Times New Roman" w:hAnsi="Times New Roman" w:eastAsia="SimSun"/>
                <w:b/>
                <w:sz w:val="20"/>
              </w:rPr>
              <w:t>接口</w:t>
            </w:r>
          </w:p>
        </w:tc>
        <w:tc>
          <w:tcPr>
            <w:tcW w:type="dxa" w:w="3118"/>
            <w:shd w:fill="E8EDF2"/>
          </w:tcPr>
          <w:p>
            <w:pPr>
              <w:jc w:val="center"/>
            </w:pPr>
            <w:r>
              <w:rPr>
                <w:rFonts w:ascii="Times New Roman" w:hAnsi="Times New Roman" w:eastAsia="SimSun"/>
                <w:b/>
                <w:sz w:val="20"/>
              </w:rPr>
              <w:t>数据内容</w:t>
            </w:r>
          </w:p>
        </w:tc>
        <w:tc>
          <w:tcPr>
            <w:tcW w:type="dxa" w:w="3118"/>
            <w:shd w:fill="E8EDF2"/>
          </w:tcPr>
          <w:p>
            <w:pPr>
              <w:jc w:val="center"/>
            </w:pPr>
            <w:r>
              <w:rPr>
                <w:rFonts w:ascii="Times New Roman" w:hAnsi="Times New Roman" w:eastAsia="SimSun"/>
                <w:b/>
                <w:sz w:val="20"/>
              </w:rPr>
              <w:t>用途</w:t>
            </w:r>
          </w:p>
        </w:tc>
      </w:tr>
      <w:tr>
        <w:tc>
          <w:tcPr>
            <w:tcW w:type="dxa" w:w="1701"/>
          </w:tcPr>
          <w:p>
            <w:r>
              <w:rPr>
                <w:rFonts w:ascii="Times New Roman" w:hAnsi="Times New Roman" w:eastAsia="SimSun"/>
                <w:b w:val="0"/>
                <w:sz w:val="20"/>
              </w:rPr>
              <w:t>daily</w:t>
            </w:r>
          </w:p>
        </w:tc>
        <w:tc>
          <w:tcPr>
            <w:tcW w:type="dxa" w:w="3118"/>
          </w:tcPr>
          <w:p>
            <w:r>
              <w:rPr>
                <w:rFonts w:ascii="Times New Roman" w:hAnsi="Times New Roman" w:eastAsia="SimSun"/>
                <w:b w:val="0"/>
                <w:sz w:val="20"/>
              </w:rPr>
              <w:t>日线行情（开高低收、成交量、涨跌幅）</w:t>
            </w:r>
          </w:p>
        </w:tc>
        <w:tc>
          <w:tcPr>
            <w:tcW w:type="dxa" w:w="3118"/>
          </w:tcPr>
          <w:p>
            <w:r>
              <w:rPr>
                <w:rFonts w:ascii="Times New Roman" w:hAnsi="Times New Roman" w:eastAsia="SimSun"/>
                <w:b w:val="0"/>
                <w:sz w:val="20"/>
              </w:rPr>
              <w:t>计算个股/行业月度收益率</w:t>
            </w:r>
          </w:p>
        </w:tc>
      </w:tr>
      <w:tr>
        <w:tc>
          <w:tcPr>
            <w:tcW w:type="dxa" w:w="1701"/>
          </w:tcPr>
          <w:p>
            <w:r>
              <w:rPr>
                <w:rFonts w:ascii="Times New Roman" w:hAnsi="Times New Roman" w:eastAsia="SimSun"/>
                <w:b w:val="0"/>
                <w:sz w:val="20"/>
              </w:rPr>
              <w:t>daily_basic</w:t>
            </w:r>
          </w:p>
        </w:tc>
        <w:tc>
          <w:tcPr>
            <w:tcW w:type="dxa" w:w="3118"/>
          </w:tcPr>
          <w:p>
            <w:r>
              <w:rPr>
                <w:rFonts w:ascii="Times New Roman" w:hAnsi="Times New Roman" w:eastAsia="SimSun"/>
                <w:b w:val="0"/>
                <w:sz w:val="20"/>
              </w:rPr>
              <w:t>每日基本面（PE_TTM、PB、总市值、换手率）</w:t>
            </w:r>
          </w:p>
        </w:tc>
        <w:tc>
          <w:tcPr>
            <w:tcW w:type="dxa" w:w="3118"/>
          </w:tcPr>
          <w:p>
            <w:r>
              <w:rPr>
                <w:rFonts w:ascii="Times New Roman" w:hAnsi="Times New Roman" w:eastAsia="SimSun"/>
                <w:b w:val="0"/>
                <w:sz w:val="20"/>
              </w:rPr>
              <w:t>因子分组排序、拥挤度指标</w:t>
            </w:r>
          </w:p>
        </w:tc>
      </w:tr>
      <w:tr>
        <w:tc>
          <w:tcPr>
            <w:tcW w:type="dxa" w:w="1701"/>
          </w:tcPr>
          <w:p>
            <w:r>
              <w:rPr>
                <w:rFonts w:ascii="Times New Roman" w:hAnsi="Times New Roman" w:eastAsia="SimSun"/>
                <w:b w:val="0"/>
                <w:sz w:val="20"/>
              </w:rPr>
              <w:t>index_member_all</w:t>
            </w:r>
          </w:p>
        </w:tc>
        <w:tc>
          <w:tcPr>
            <w:tcW w:type="dxa" w:w="3118"/>
          </w:tcPr>
          <w:p>
            <w:r>
              <w:rPr>
                <w:rFonts w:ascii="Times New Roman" w:hAnsi="Times New Roman" w:eastAsia="SimSun"/>
                <w:b w:val="0"/>
                <w:sz w:val="20"/>
              </w:rPr>
              <w:t>申万行业指数成分股</w:t>
            </w:r>
          </w:p>
        </w:tc>
        <w:tc>
          <w:tcPr>
            <w:tcW w:type="dxa" w:w="3118"/>
          </w:tcPr>
          <w:p>
            <w:r>
              <w:rPr>
                <w:rFonts w:ascii="Times New Roman" w:hAnsi="Times New Roman" w:eastAsia="SimSun"/>
                <w:b w:val="0"/>
                <w:sz w:val="20"/>
              </w:rPr>
              <w:t>个股→31个一级行业映射</w:t>
            </w:r>
          </w:p>
        </w:tc>
      </w:tr>
      <w:tr>
        <w:tc>
          <w:tcPr>
            <w:tcW w:type="dxa" w:w="1701"/>
          </w:tcPr>
          <w:p>
            <w:r>
              <w:rPr>
                <w:rFonts w:ascii="Times New Roman" w:hAnsi="Times New Roman" w:eastAsia="SimSun"/>
                <w:b w:val="0"/>
                <w:sz w:val="20"/>
              </w:rPr>
              <w:t>index_daily</w:t>
            </w:r>
          </w:p>
        </w:tc>
        <w:tc>
          <w:tcPr>
            <w:tcW w:type="dxa" w:w="3118"/>
          </w:tcPr>
          <w:p>
            <w:r>
              <w:rPr>
                <w:rFonts w:ascii="Times New Roman" w:hAnsi="Times New Roman" w:eastAsia="SimSun"/>
                <w:b w:val="0"/>
                <w:sz w:val="20"/>
              </w:rPr>
              <w:t>风格指数日线</w:t>
            </w:r>
          </w:p>
        </w:tc>
        <w:tc>
          <w:tcPr>
            <w:tcW w:type="dxa" w:w="3118"/>
          </w:tcPr>
          <w:p>
            <w:r>
              <w:rPr>
                <w:rFonts w:ascii="Times New Roman" w:hAnsi="Times New Roman" w:eastAsia="SimSun"/>
                <w:b w:val="0"/>
                <w:sz w:val="20"/>
              </w:rPr>
              <w:t>大小盘/价值成长风格判断</w:t>
            </w:r>
          </w:p>
        </w:tc>
      </w:tr>
      <w:tr>
        <w:tc>
          <w:tcPr>
            <w:tcW w:type="dxa" w:w="1701"/>
          </w:tcPr>
          <w:p>
            <w:r>
              <w:rPr>
                <w:rFonts w:ascii="Times New Roman" w:hAnsi="Times New Roman" w:eastAsia="SimSun"/>
                <w:b w:val="0"/>
                <w:sz w:val="20"/>
              </w:rPr>
              <w:t>adj_factor</w:t>
            </w:r>
          </w:p>
        </w:tc>
        <w:tc>
          <w:tcPr>
            <w:tcW w:type="dxa" w:w="3118"/>
          </w:tcPr>
          <w:p>
            <w:r>
              <w:rPr>
                <w:rFonts w:ascii="Times New Roman" w:hAnsi="Times New Roman" w:eastAsia="SimSun"/>
                <w:b w:val="0"/>
                <w:sz w:val="20"/>
              </w:rPr>
              <w:t>复权因子</w:t>
            </w:r>
          </w:p>
        </w:tc>
        <w:tc>
          <w:tcPr>
            <w:tcW w:type="dxa" w:w="3118"/>
          </w:tcPr>
          <w:p>
            <w:r>
              <w:rPr>
                <w:rFonts w:ascii="Times New Roman" w:hAnsi="Times New Roman" w:eastAsia="SimSun"/>
                <w:b w:val="0"/>
                <w:sz w:val="20"/>
              </w:rPr>
              <w:t>精确收益率计算</w:t>
            </w:r>
          </w:p>
        </w:tc>
      </w:tr>
      <w:tr>
        <w:tc>
          <w:tcPr>
            <w:tcW w:type="dxa" w:w="1701"/>
          </w:tcPr>
          <w:p>
            <w:r>
              <w:rPr>
                <w:rFonts w:ascii="Times New Roman" w:hAnsi="Times New Roman" w:eastAsia="SimSun"/>
                <w:b w:val="0"/>
                <w:sz w:val="20"/>
              </w:rPr>
              <w:t>cn_pmi</w:t>
            </w:r>
          </w:p>
        </w:tc>
        <w:tc>
          <w:tcPr>
            <w:tcW w:type="dxa" w:w="3118"/>
          </w:tcPr>
          <w:p>
            <w:r>
              <w:rPr>
                <w:rFonts w:ascii="Times New Roman" w:hAnsi="Times New Roman" w:eastAsia="SimSun"/>
                <w:b w:val="0"/>
                <w:sz w:val="20"/>
              </w:rPr>
              <w:t>制造业PMI（月度）</w:t>
            </w:r>
          </w:p>
        </w:tc>
        <w:tc>
          <w:tcPr>
            <w:tcW w:type="dxa" w:w="3118"/>
          </w:tcPr>
          <w:p>
            <w:r>
              <w:rPr>
                <w:rFonts w:ascii="Times New Roman" w:hAnsi="Times New Roman" w:eastAsia="SimSun"/>
                <w:b w:val="0"/>
                <w:sz w:val="20"/>
              </w:rPr>
              <w:t>宏观周期判定（增长维度）</w:t>
            </w:r>
          </w:p>
        </w:tc>
      </w:tr>
      <w:tr>
        <w:tc>
          <w:tcPr>
            <w:tcW w:type="dxa" w:w="1701"/>
          </w:tcPr>
          <w:p>
            <w:r>
              <w:rPr>
                <w:rFonts w:ascii="Times New Roman" w:hAnsi="Times New Roman" w:eastAsia="SimSun"/>
                <w:b w:val="0"/>
                <w:sz w:val="20"/>
              </w:rPr>
              <w:t>cn_cpi</w:t>
            </w:r>
          </w:p>
        </w:tc>
        <w:tc>
          <w:tcPr>
            <w:tcW w:type="dxa" w:w="3118"/>
          </w:tcPr>
          <w:p>
            <w:r>
              <w:rPr>
                <w:rFonts w:ascii="Times New Roman" w:hAnsi="Times New Roman" w:eastAsia="SimSun"/>
                <w:b w:val="0"/>
                <w:sz w:val="20"/>
              </w:rPr>
              <w:t>CPI同比（月度）</w:t>
            </w:r>
          </w:p>
        </w:tc>
        <w:tc>
          <w:tcPr>
            <w:tcW w:type="dxa" w:w="3118"/>
          </w:tcPr>
          <w:p>
            <w:r>
              <w:rPr>
                <w:rFonts w:ascii="Times New Roman" w:hAnsi="Times New Roman" w:eastAsia="SimSun"/>
                <w:b w:val="0"/>
                <w:sz w:val="20"/>
              </w:rPr>
              <w:t>宏观周期判定（通胀维度）</w:t>
            </w:r>
          </w:p>
        </w:tc>
      </w:tr>
      <w:tr>
        <w:tc>
          <w:tcPr>
            <w:tcW w:type="dxa" w:w="1701"/>
          </w:tcPr>
          <w:p>
            <w:r>
              <w:rPr>
                <w:rFonts w:ascii="Times New Roman" w:hAnsi="Times New Roman" w:eastAsia="SimSun"/>
                <w:b w:val="0"/>
                <w:sz w:val="20"/>
              </w:rPr>
              <w:t>cn_bond</w:t>
            </w:r>
          </w:p>
        </w:tc>
        <w:tc>
          <w:tcPr>
            <w:tcW w:type="dxa" w:w="3118"/>
          </w:tcPr>
          <w:p>
            <w:r>
              <w:rPr>
                <w:rFonts w:ascii="Times New Roman" w:hAnsi="Times New Roman" w:eastAsia="SimSun"/>
                <w:b w:val="0"/>
                <w:sz w:val="20"/>
              </w:rPr>
              <w:t>国债收益率（10年期）</w:t>
            </w:r>
          </w:p>
        </w:tc>
        <w:tc>
          <w:tcPr>
            <w:tcW w:type="dxa" w:w="3118"/>
          </w:tcPr>
          <w:p>
            <w:r>
              <w:rPr>
                <w:rFonts w:ascii="Times New Roman" w:hAnsi="Times New Roman" w:eastAsia="SimSun"/>
                <w:b w:val="0"/>
                <w:sz w:val="20"/>
              </w:rPr>
              <w:t>宏观流动性确认</w:t>
            </w:r>
          </w:p>
        </w:tc>
      </w:tr>
      <w:tr>
        <w:tc>
          <w:tcPr>
            <w:tcW w:type="dxa" w:w="1701"/>
          </w:tcPr>
          <w:p>
            <w:r>
              <w:rPr>
                <w:rFonts w:ascii="Times New Roman" w:hAnsi="Times New Roman" w:eastAsia="SimSun"/>
                <w:b w:val="0"/>
                <w:sz w:val="20"/>
              </w:rPr>
              <w:t>cn_social</w:t>
            </w:r>
          </w:p>
        </w:tc>
        <w:tc>
          <w:tcPr>
            <w:tcW w:type="dxa" w:w="3118"/>
          </w:tcPr>
          <w:p>
            <w:r>
              <w:rPr>
                <w:rFonts w:ascii="Times New Roman" w:hAnsi="Times New Roman" w:eastAsia="SimSun"/>
                <w:b w:val="0"/>
                <w:sz w:val="20"/>
              </w:rPr>
              <w:t>社融规模存量同比</w:t>
            </w:r>
          </w:p>
        </w:tc>
        <w:tc>
          <w:tcPr>
            <w:tcW w:type="dxa" w:w="3118"/>
          </w:tcPr>
          <w:p>
            <w:r>
              <w:rPr>
                <w:rFonts w:ascii="Times New Roman" w:hAnsi="Times New Roman" w:eastAsia="SimSun"/>
                <w:b w:val="0"/>
                <w:sz w:val="20"/>
              </w:rPr>
              <w:t>宏观流动性确认</w:t>
            </w:r>
          </w:p>
        </w:tc>
      </w:tr>
      <w:tr>
        <w:tc>
          <w:tcPr>
            <w:tcW w:type="dxa" w:w="1701"/>
          </w:tcPr>
          <w:p>
            <w:r>
              <w:rPr>
                <w:rFonts w:ascii="Times New Roman" w:hAnsi="Times New Roman" w:eastAsia="SimSun"/>
                <w:b w:val="0"/>
                <w:sz w:val="20"/>
              </w:rPr>
              <w:t>cn_m</w:t>
            </w:r>
          </w:p>
        </w:tc>
        <w:tc>
          <w:tcPr>
            <w:tcW w:type="dxa" w:w="3118"/>
          </w:tcPr>
          <w:p>
            <w:r>
              <w:rPr>
                <w:rFonts w:ascii="Times New Roman" w:hAnsi="Times New Roman" w:eastAsia="SimSun"/>
                <w:b w:val="0"/>
                <w:sz w:val="20"/>
              </w:rPr>
              <w:t>M2货币供应量</w:t>
            </w:r>
          </w:p>
        </w:tc>
        <w:tc>
          <w:tcPr>
            <w:tcW w:type="dxa" w:w="3118"/>
          </w:tcPr>
          <w:p>
            <w:r>
              <w:rPr>
                <w:rFonts w:ascii="Times New Roman" w:hAnsi="Times New Roman" w:eastAsia="SimSun"/>
                <w:b w:val="0"/>
                <w:sz w:val="20"/>
              </w:rPr>
              <w:t>宏观流动性环境</w:t>
            </w:r>
          </w:p>
        </w:tc>
      </w:tr>
      <w:tr>
        <w:tc>
          <w:tcPr>
            <w:tcW w:type="dxa" w:w="1701"/>
          </w:tcPr>
          <w:p>
            <w:r>
              <w:rPr>
                <w:rFonts w:ascii="Times New Roman" w:hAnsi="Times New Roman" w:eastAsia="SimSun"/>
                <w:b w:val="0"/>
                <w:sz w:val="20"/>
              </w:rPr>
              <w:t>moneyflow</w:t>
            </w:r>
          </w:p>
        </w:tc>
        <w:tc>
          <w:tcPr>
            <w:tcW w:type="dxa" w:w="3118"/>
          </w:tcPr>
          <w:p>
            <w:r>
              <w:rPr>
                <w:rFonts w:ascii="Times New Roman" w:hAnsi="Times New Roman" w:eastAsia="SimSun"/>
                <w:b w:val="0"/>
                <w:sz w:val="20"/>
              </w:rPr>
              <w:t>个股资金流向</w:t>
            </w:r>
          </w:p>
        </w:tc>
        <w:tc>
          <w:tcPr>
            <w:tcW w:type="dxa" w:w="3118"/>
          </w:tcPr>
          <w:p>
            <w:r>
              <w:rPr>
                <w:rFonts w:ascii="Times New Roman" w:hAnsi="Times New Roman" w:eastAsia="SimSun"/>
                <w:b w:val="0"/>
                <w:sz w:val="20"/>
              </w:rPr>
              <w:t>因子拥挤度计算</w:t>
            </w:r>
          </w:p>
        </w:tc>
      </w:tr>
      <w:tr>
        <w:tc>
          <w:tcPr>
            <w:tcW w:type="dxa" w:w="1701"/>
          </w:tcPr>
          <w:p>
            <w:r>
              <w:rPr>
                <w:rFonts w:ascii="Times New Roman" w:hAnsi="Times New Roman" w:eastAsia="SimSun"/>
                <w:b w:val="0"/>
                <w:sz w:val="20"/>
              </w:rPr>
              <w:t>index_classify</w:t>
            </w:r>
          </w:p>
        </w:tc>
        <w:tc>
          <w:tcPr>
            <w:tcW w:type="dxa" w:w="3118"/>
          </w:tcPr>
          <w:p>
            <w:r>
              <w:rPr>
                <w:rFonts w:ascii="Times New Roman" w:hAnsi="Times New Roman" w:eastAsia="SimSun"/>
                <w:b w:val="0"/>
                <w:sz w:val="20"/>
              </w:rPr>
              <w:t>申万行业分类</w:t>
            </w:r>
          </w:p>
        </w:tc>
        <w:tc>
          <w:tcPr>
            <w:tcW w:type="dxa" w:w="3118"/>
          </w:tcPr>
          <w:p>
            <w:r>
              <w:rPr>
                <w:rFonts w:ascii="Times New Roman" w:hAnsi="Times New Roman" w:eastAsia="SimSun"/>
                <w:b w:val="0"/>
                <w:sz w:val="20"/>
              </w:rPr>
              <w:t>行业分类校验</w:t>
            </w:r>
          </w:p>
        </w:tc>
      </w:tr>
      <w:tr>
        <w:tc>
          <w:tcPr>
            <w:tcW w:type="dxa" w:w="1701"/>
          </w:tcPr>
          <w:p>
            <w:r>
              <w:rPr>
                <w:rFonts w:ascii="Times New Roman" w:hAnsi="Times New Roman" w:eastAsia="SimSun"/>
                <w:b w:val="0"/>
                <w:sz w:val="20"/>
              </w:rPr>
              <w:t>trade_cal</w:t>
            </w:r>
          </w:p>
        </w:tc>
        <w:tc>
          <w:tcPr>
            <w:tcW w:type="dxa" w:w="3118"/>
          </w:tcPr>
          <w:p>
            <w:r>
              <w:rPr>
                <w:rFonts w:ascii="Times New Roman" w:hAnsi="Times New Roman" w:eastAsia="SimSun"/>
                <w:b w:val="0"/>
                <w:sz w:val="20"/>
              </w:rPr>
              <w:t>交易日历</w:t>
            </w:r>
          </w:p>
        </w:tc>
        <w:tc>
          <w:tcPr>
            <w:tcW w:type="dxa" w:w="3118"/>
          </w:tcPr>
          <w:p>
            <w:r>
              <w:rPr>
                <w:rFonts w:ascii="Times New Roman" w:hAnsi="Times New Roman" w:eastAsia="SimSun"/>
                <w:b w:val="0"/>
                <w:sz w:val="20"/>
              </w:rPr>
              <w:t>日期对齐</w:t>
            </w:r>
          </w:p>
        </w:tc>
      </w:tr>
    </w:tbl>
    <w:p/>
    <w:p>
      <w:pPr>
        <w:pStyle w:val="Heading2"/>
      </w:pPr>
      <w:r>
        <w:rPr>
          <w:rFonts w:ascii="Times New Roman" w:hAnsi="Times New Roman" w:eastAsia="SimHei"/>
          <w:b/>
          <w:sz w:val="26"/>
        </w:rPr>
        <w:t>2.2 数据预处理</w:t>
      </w:r>
    </w:p>
    <w:p>
      <w:pPr>
        <w:spacing w:line="360" w:lineRule="auto"/>
        <w:ind w:firstLine="420"/>
        <w:jc w:val="both"/>
      </w:pPr>
      <w:r>
        <w:rPr>
          <w:rFonts w:ascii="Times New Roman" w:hAnsi="Times New Roman" w:eastAsia="SimSun"/>
          <w:b w:val="0"/>
          <w:sz w:val="24"/>
        </w:rPr>
        <w:t>（1）缺失值处理：个股基本面数据中，部分交易日缺失PE/PB（如新股上市初期、ST股票停牌期间）。对于月度聚合场景，取月末最后一个有效值；对于无法填充的极端缺失，在因子构建时跳过该股票。</w:t>
      </w:r>
    </w:p>
    <w:p>
      <w:pPr>
        <w:spacing w:line="360" w:lineRule="auto"/>
        <w:ind w:firstLine="420"/>
        <w:jc w:val="both"/>
      </w:pPr>
      <w:r>
        <w:rPr>
          <w:rFonts w:ascii="Times New Roman" w:hAnsi="Times New Roman" w:eastAsia="SimSun"/>
          <w:b w:val="0"/>
          <w:sz w:val="24"/>
        </w:rPr>
        <w:t>（2）异常值检测：剔除单日涨跌幅超过±11%的异常记录（A股正常涨跌停板为±10%，科创板/创业板±20%，个别极端值可能来自数据错误）。剔除市值或PB为负值的无效记录。</w:t>
      </w:r>
    </w:p>
    <w:p>
      <w:pPr>
        <w:spacing w:line="360" w:lineRule="auto"/>
        <w:ind w:firstLine="420"/>
        <w:jc w:val="both"/>
      </w:pPr>
      <w:r>
        <w:rPr>
          <w:rFonts w:ascii="Times New Roman" w:hAnsi="Times New Roman" w:eastAsia="SimSun"/>
          <w:b w:val="0"/>
          <w:sz w:val="24"/>
        </w:rPr>
        <w:t>（3）行业映射：通过申万指数成分股文件（31个行业指数），将每只股票的ts_code映射到对应的一级行业。</w:t>
      </w:r>
    </w:p>
    <w:p>
      <w:pPr>
        <w:spacing w:line="360" w:lineRule="auto"/>
        <w:ind w:firstLine="420"/>
        <w:jc w:val="both"/>
      </w:pPr>
      <w:r>
        <w:rPr>
          <w:rFonts w:ascii="Times New Roman" w:hAnsi="Times New Roman" w:eastAsia="SimSun"/>
          <w:b w:val="0"/>
          <w:sz w:val="24"/>
        </w:rPr>
        <w:t>（4）月度聚合：将日线数据按年-月分组，使用几何累乘法计算月度收益率：R_m = ∏(1 + r_d) − 1。同月内取PE/PB/市值/换手率的月末值作为该月代表值。</w:t>
      </w:r>
    </w:p>
    <w:p>
      <w:pPr>
        <w:pStyle w:val="Heading2"/>
      </w:pPr>
      <w:r>
        <w:rPr>
          <w:rFonts w:ascii="Times New Roman" w:hAnsi="Times New Roman" w:eastAsia="SimHei"/>
          <w:b/>
          <w:sz w:val="26"/>
        </w:rPr>
        <w:t>2.3 因子构建</w:t>
      </w:r>
    </w:p>
    <w:p>
      <w:pPr>
        <w:spacing w:line="360" w:lineRule="auto"/>
        <w:ind w:firstLine="420"/>
        <w:jc w:val="both"/>
      </w:pPr>
      <w:r>
        <w:rPr>
          <w:rFonts w:ascii="Times New Roman" w:hAnsi="Times New Roman" w:eastAsia="SimSun"/>
          <w:b w:val="0"/>
          <w:sz w:val="24"/>
        </w:rPr>
        <w:t>采用截面分组法（多空组合）计算因子收益率。每月末对全市场个股按指定指标排序，做多前30%、做空后30%；规模因子（SMB）：按总市值排序，小盘组减大盘组。价值因子（HML）：按PB排序，低PB组（价值）减高PB组（成长）。动量因子（MOM）：按过去12个月累计收益排序，高动量组减低动量组。市场因子（Rm）：全市场所有股票的等权平均收益率。多空组合的当月收益率即为该因子当期的收益率。</w:t>
      </w:r>
    </w:p>
    <w:p>
      <w:pPr>
        <w:pStyle w:val="Heading2"/>
      </w:pPr>
      <w:r>
        <w:rPr>
          <w:rFonts w:ascii="Times New Roman" w:hAnsi="Times New Roman" w:eastAsia="SimHei"/>
          <w:b/>
          <w:sz w:val="26"/>
        </w:rPr>
        <w:t>2.4 宏观经济周期判定</w:t>
      </w:r>
    </w:p>
    <w:p>
      <w:pPr>
        <w:spacing w:line="360" w:lineRule="auto"/>
        <w:ind w:firstLine="420"/>
        <w:jc w:val="both"/>
      </w:pPr>
      <w:r>
        <w:rPr>
          <w:rFonts w:ascii="Times New Roman" w:hAnsi="Times New Roman" w:eastAsia="SimSun"/>
          <w:b w:val="0"/>
          <w:sz w:val="24"/>
        </w:rPr>
        <w:t>基于美林时钟框架，采用规则引擎判定经济周期阶段。经济方向由PMI的12个月移动均线环比决定（上行/下行），通胀方向由CPI同比环比决定（上升/下降）。判定规则为：复苏期=PMI↑+CPI↓, 过热期=PMI↑+CPI↑, 滞胀期=PMI↓+CPI↑, 衰退期=PMI↓+CPI↓。社融存量同比用于确认经济方向（同步验证），10Y国债收益率用于确认通胀预期（交叉验证）。当社融或国债收益率与PMI/CPI信号矛盾时，输出置信度降级。</w:t>
      </w:r>
    </w:p>
    <w:p>
      <w:r>
        <w:br w:type="page"/>
      </w:r>
    </w:p>
    <w:p>
      <w:pPr>
        <w:pStyle w:val="Heading1"/>
      </w:pPr>
      <w:r>
        <w:rPr>
          <w:rFonts w:ascii="Times New Roman" w:hAnsi="Times New Roman" w:eastAsia="SimHei"/>
          <w:b/>
          <w:sz w:val="28"/>
        </w:rPr>
        <w:t>3 可视化设计</w:t>
      </w:r>
    </w:p>
    <w:p>
      <w:pPr>
        <w:pStyle w:val="Heading2"/>
      </w:pPr>
      <w:r>
        <w:rPr>
          <w:rFonts w:ascii="Times New Roman" w:hAnsi="Times New Roman" w:eastAsia="SimHei"/>
          <w:b/>
          <w:sz w:val="26"/>
        </w:rPr>
        <w:t>3.1 分析框架概述</w:t>
      </w:r>
    </w:p>
    <w:p>
      <w:pPr>
        <w:spacing w:line="360" w:lineRule="auto"/>
        <w:ind w:firstLine="420"/>
        <w:jc w:val="both"/>
      </w:pPr>
      <w:r>
        <w:rPr>
          <w:rFonts w:ascii="Times New Roman" w:hAnsi="Times New Roman" w:eastAsia="SimSun"/>
          <w:b w:val="0"/>
          <w:sz w:val="24"/>
        </w:rPr>
        <w:t>四层分析框架依次递进：宏观环境层（图1-2）涵盖宏观经济周期判定和市场风格轮动分析；行业结构层（图3-5）展示行业轮动规律和行业间的关联与聚类结构；因子归因层（图6-8）量化风格因子对行业收益的解释力并监控因子拥挤风险；决策支持层（图9-12）整合前述分析结果为投资决策提供直接参考。</w:t>
      </w:r>
    </w:p>
    <w:p>
      <w:pPr>
        <w:spacing w:line="360" w:lineRule="auto"/>
        <w:ind w:firstLine="420"/>
        <w:jc w:val="both"/>
      </w:pPr>
      <w:r>
        <w:rPr>
          <w:rFonts w:ascii="Times New Roman" w:hAnsi="Times New Roman" w:eastAsia="SimSun"/>
          <w:b w:val="0"/>
          <w:sz w:val="24"/>
        </w:rPr>
        <w:t>图间存在清晰的数据流依赖：图1输出周期阶段标签传递给图2、图3和图9；图3的行业胜率矩阵传递给图10；图5的行业群落标签传递给图6；图6的因子得分传递给图7；图7的边际贡献反馈给图8；所有图表的预警信号汇总给图12。这种设计确保了分析逻辑的连贯性和数据的一致性。</w:t>
      </w:r>
    </w:p>
    <w:p>
      <w:pPr>
        <w:jc w:val="center"/>
      </w:pPr>
      <w:r>
        <w:rPr>
          <w:rFonts w:ascii="Times New Roman" w:hAnsi="Times New Roman" w:eastAsia="SimSun"/>
          <w:b/>
          <w:sz w:val="22"/>
        </w:rPr>
        <w:t>表2：四层分析框架图表选型</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417"/>
            <w:shd w:fill="E8EDF2"/>
          </w:tcPr>
          <w:p>
            <w:pPr>
              <w:jc w:val="center"/>
            </w:pPr>
            <w:r>
              <w:rPr>
                <w:rFonts w:ascii="Times New Roman" w:hAnsi="Times New Roman" w:eastAsia="SimSun"/>
                <w:b/>
                <w:sz w:val="20"/>
              </w:rPr>
              <w:t>分析层</w:t>
            </w:r>
          </w:p>
        </w:tc>
        <w:tc>
          <w:tcPr>
            <w:tcW w:type="dxa" w:w="850"/>
            <w:shd w:fill="E8EDF2"/>
          </w:tcPr>
          <w:p>
            <w:pPr>
              <w:jc w:val="center"/>
            </w:pPr>
            <w:r>
              <w:rPr>
                <w:rFonts w:ascii="Times New Roman" w:hAnsi="Times New Roman" w:eastAsia="SimSun"/>
                <w:b/>
                <w:sz w:val="20"/>
              </w:rPr>
              <w:t>图号</w:t>
            </w:r>
          </w:p>
        </w:tc>
        <w:tc>
          <w:tcPr>
            <w:tcW w:type="dxa" w:w="1984"/>
            <w:shd w:fill="E8EDF2"/>
          </w:tcPr>
          <w:p>
            <w:pPr>
              <w:jc w:val="center"/>
            </w:pPr>
            <w:r>
              <w:rPr>
                <w:rFonts w:ascii="Times New Roman" w:hAnsi="Times New Roman" w:eastAsia="SimSun"/>
                <w:b/>
                <w:sz w:val="20"/>
              </w:rPr>
              <w:t>图表类型</w:t>
            </w:r>
          </w:p>
        </w:tc>
        <w:tc>
          <w:tcPr>
            <w:tcW w:type="dxa" w:w="3685"/>
            <w:shd w:fill="E8EDF2"/>
          </w:tcPr>
          <w:p>
            <w:pPr>
              <w:jc w:val="center"/>
            </w:pPr>
            <w:r>
              <w:rPr>
                <w:rFonts w:ascii="Times New Roman" w:hAnsi="Times New Roman" w:eastAsia="SimSun"/>
                <w:b/>
                <w:sz w:val="20"/>
              </w:rPr>
              <w:t>核心功能</w:t>
            </w:r>
          </w:p>
        </w:tc>
      </w:tr>
      <w:tr>
        <w:tc>
          <w:tcPr>
            <w:tcW w:type="dxa" w:w="1417"/>
          </w:tcPr>
          <w:p>
            <w:r>
              <w:rPr>
                <w:rFonts w:ascii="Times New Roman" w:hAnsi="Times New Roman" w:eastAsia="SimSun"/>
                <w:b w:val="0"/>
                <w:sz w:val="20"/>
              </w:rPr>
              <w:t>宏观环境层</w:t>
            </w:r>
          </w:p>
        </w:tc>
        <w:tc>
          <w:tcPr>
            <w:tcW w:type="dxa" w:w="850"/>
          </w:tcPr>
          <w:p>
            <w:r>
              <w:rPr>
                <w:rFonts w:ascii="Times New Roman" w:hAnsi="Times New Roman" w:eastAsia="SimSun"/>
                <w:b w:val="0"/>
                <w:sz w:val="20"/>
              </w:rPr>
              <w:t>图1</w:t>
            </w:r>
          </w:p>
        </w:tc>
        <w:tc>
          <w:tcPr>
            <w:tcW w:type="dxa" w:w="1984"/>
          </w:tcPr>
          <w:p>
            <w:r>
              <w:rPr>
                <w:rFonts w:ascii="Times New Roman" w:hAnsi="Times New Roman" w:eastAsia="SimSun"/>
                <w:b w:val="0"/>
                <w:sz w:val="20"/>
              </w:rPr>
              <w:t>仪表盘</w:t>
            </w:r>
          </w:p>
        </w:tc>
        <w:tc>
          <w:tcPr>
            <w:tcW w:type="dxa" w:w="3685"/>
          </w:tcPr>
          <w:p>
            <w:r>
              <w:rPr>
                <w:rFonts w:ascii="Times New Roman" w:hAnsi="Times New Roman" w:eastAsia="SimSun"/>
                <w:b w:val="0"/>
                <w:sz w:val="20"/>
              </w:rPr>
              <w:t>综合判定经济周期阶段</w:t>
            </w:r>
          </w:p>
        </w:tc>
      </w:tr>
      <w:tr>
        <w:tc>
          <w:tcPr>
            <w:tcW w:type="dxa" w:w="1417"/>
          </w:tcPr>
          <w:p>
            <w:r>
              <w:rPr>
                <w:rFonts w:ascii="Times New Roman" w:hAnsi="Times New Roman" w:eastAsia="SimSun"/>
                <w:b w:val="0"/>
                <w:sz w:val="20"/>
              </w:rPr>
            </w:r>
          </w:p>
        </w:tc>
        <w:tc>
          <w:tcPr>
            <w:tcW w:type="dxa" w:w="850"/>
          </w:tcPr>
          <w:p>
            <w:r>
              <w:rPr>
                <w:rFonts w:ascii="Times New Roman" w:hAnsi="Times New Roman" w:eastAsia="SimSun"/>
                <w:b w:val="0"/>
                <w:sz w:val="20"/>
              </w:rPr>
              <w:t>图2</w:t>
            </w:r>
          </w:p>
        </w:tc>
        <w:tc>
          <w:tcPr>
            <w:tcW w:type="dxa" w:w="1984"/>
          </w:tcPr>
          <w:p>
            <w:r>
              <w:rPr>
                <w:rFonts w:ascii="Times New Roman" w:hAnsi="Times New Roman" w:eastAsia="SimSun"/>
                <w:b w:val="0"/>
                <w:sz w:val="20"/>
              </w:rPr>
              <w:t>四象限散点图</w:t>
            </w:r>
          </w:p>
        </w:tc>
        <w:tc>
          <w:tcPr>
            <w:tcW w:type="dxa" w:w="3685"/>
          </w:tcPr>
          <w:p>
            <w:r>
              <w:rPr>
                <w:rFonts w:ascii="Times New Roman" w:hAnsi="Times New Roman" w:eastAsia="SimSun"/>
                <w:b w:val="0"/>
                <w:sz w:val="20"/>
              </w:rPr>
              <w:t>展示风格漂移方向</w:t>
            </w:r>
          </w:p>
        </w:tc>
      </w:tr>
      <w:tr>
        <w:tc>
          <w:tcPr>
            <w:tcW w:type="dxa" w:w="1417"/>
          </w:tcPr>
          <w:p>
            <w:r>
              <w:rPr>
                <w:rFonts w:ascii="Times New Roman" w:hAnsi="Times New Roman" w:eastAsia="SimSun"/>
                <w:b w:val="0"/>
                <w:sz w:val="20"/>
              </w:rPr>
              <w:t>行业结构层</w:t>
            </w:r>
          </w:p>
        </w:tc>
        <w:tc>
          <w:tcPr>
            <w:tcW w:type="dxa" w:w="850"/>
          </w:tcPr>
          <w:p>
            <w:r>
              <w:rPr>
                <w:rFonts w:ascii="Times New Roman" w:hAnsi="Times New Roman" w:eastAsia="SimSun"/>
                <w:b w:val="0"/>
                <w:sz w:val="20"/>
              </w:rPr>
              <w:t>图3</w:t>
            </w:r>
          </w:p>
        </w:tc>
        <w:tc>
          <w:tcPr>
            <w:tcW w:type="dxa" w:w="1984"/>
          </w:tcPr>
          <w:p>
            <w:r>
              <w:rPr>
                <w:rFonts w:ascii="Times New Roman" w:hAnsi="Times New Roman" w:eastAsia="SimSun"/>
                <w:b w:val="0"/>
                <w:sz w:val="20"/>
              </w:rPr>
              <w:t>日历热力图</w:t>
            </w:r>
          </w:p>
        </w:tc>
        <w:tc>
          <w:tcPr>
            <w:tcW w:type="dxa" w:w="3685"/>
          </w:tcPr>
          <w:p>
            <w:r>
              <w:rPr>
                <w:rFonts w:ascii="Times New Roman" w:hAnsi="Times New Roman" w:eastAsia="SimSun"/>
                <w:b w:val="0"/>
                <w:sz w:val="20"/>
              </w:rPr>
              <w:t>展示行业月度排名</w:t>
            </w:r>
          </w:p>
        </w:tc>
      </w:tr>
      <w:tr>
        <w:tc>
          <w:tcPr>
            <w:tcW w:type="dxa" w:w="1417"/>
          </w:tcPr>
          <w:p>
            <w:r>
              <w:rPr>
                <w:rFonts w:ascii="Times New Roman" w:hAnsi="Times New Roman" w:eastAsia="SimSun"/>
                <w:b w:val="0"/>
                <w:sz w:val="20"/>
              </w:rPr>
            </w:r>
          </w:p>
        </w:tc>
        <w:tc>
          <w:tcPr>
            <w:tcW w:type="dxa" w:w="850"/>
          </w:tcPr>
          <w:p>
            <w:r>
              <w:rPr>
                <w:rFonts w:ascii="Times New Roman" w:hAnsi="Times New Roman" w:eastAsia="SimSun"/>
                <w:b w:val="0"/>
                <w:sz w:val="20"/>
              </w:rPr>
              <w:t>图4</w:t>
            </w:r>
          </w:p>
        </w:tc>
        <w:tc>
          <w:tcPr>
            <w:tcW w:type="dxa" w:w="1984"/>
          </w:tcPr>
          <w:p>
            <w:r>
              <w:rPr>
                <w:rFonts w:ascii="Times New Roman" w:hAnsi="Times New Roman" w:eastAsia="SimSun"/>
                <w:b w:val="0"/>
                <w:sz w:val="20"/>
              </w:rPr>
              <w:t>动态气泡图</w:t>
            </w:r>
          </w:p>
        </w:tc>
        <w:tc>
          <w:tcPr>
            <w:tcW w:type="dxa" w:w="3685"/>
          </w:tcPr>
          <w:p>
            <w:r>
              <w:rPr>
                <w:rFonts w:ascii="Times New Roman" w:hAnsi="Times New Roman" w:eastAsia="SimSun"/>
                <w:b w:val="0"/>
                <w:sz w:val="20"/>
              </w:rPr>
              <w:t>行业风险收益迁移</w:t>
            </w:r>
          </w:p>
        </w:tc>
      </w:tr>
      <w:tr>
        <w:tc>
          <w:tcPr>
            <w:tcW w:type="dxa" w:w="1417"/>
          </w:tcPr>
          <w:p>
            <w:r>
              <w:rPr>
                <w:rFonts w:ascii="Times New Roman" w:hAnsi="Times New Roman" w:eastAsia="SimSun"/>
                <w:b w:val="0"/>
                <w:sz w:val="20"/>
              </w:rPr>
            </w:r>
          </w:p>
        </w:tc>
        <w:tc>
          <w:tcPr>
            <w:tcW w:type="dxa" w:w="850"/>
          </w:tcPr>
          <w:p>
            <w:r>
              <w:rPr>
                <w:rFonts w:ascii="Times New Roman" w:hAnsi="Times New Roman" w:eastAsia="SimSun"/>
                <w:b w:val="0"/>
                <w:sz w:val="20"/>
              </w:rPr>
              <w:t>图5</w:t>
            </w:r>
          </w:p>
        </w:tc>
        <w:tc>
          <w:tcPr>
            <w:tcW w:type="dxa" w:w="1984"/>
          </w:tcPr>
          <w:p>
            <w:r>
              <w:rPr>
                <w:rFonts w:ascii="Times New Roman" w:hAnsi="Times New Roman" w:eastAsia="SimSun"/>
                <w:b w:val="0"/>
                <w:sz w:val="20"/>
              </w:rPr>
              <w:t>力导向网络图</w:t>
            </w:r>
          </w:p>
        </w:tc>
        <w:tc>
          <w:tcPr>
            <w:tcW w:type="dxa" w:w="3685"/>
          </w:tcPr>
          <w:p>
            <w:r>
              <w:rPr>
                <w:rFonts w:ascii="Times New Roman" w:hAnsi="Times New Roman" w:eastAsia="SimSun"/>
                <w:b w:val="0"/>
                <w:sz w:val="20"/>
              </w:rPr>
              <w:t>行业关联结构与聚类</w:t>
            </w:r>
          </w:p>
        </w:tc>
      </w:tr>
      <w:tr>
        <w:tc>
          <w:tcPr>
            <w:tcW w:type="dxa" w:w="1417"/>
          </w:tcPr>
          <w:p>
            <w:r>
              <w:rPr>
                <w:rFonts w:ascii="Times New Roman" w:hAnsi="Times New Roman" w:eastAsia="SimSun"/>
                <w:b w:val="0"/>
                <w:sz w:val="20"/>
              </w:rPr>
              <w:t>因子归因层</w:t>
            </w:r>
          </w:p>
        </w:tc>
        <w:tc>
          <w:tcPr>
            <w:tcW w:type="dxa" w:w="850"/>
          </w:tcPr>
          <w:p>
            <w:r>
              <w:rPr>
                <w:rFonts w:ascii="Times New Roman" w:hAnsi="Times New Roman" w:eastAsia="SimSun"/>
                <w:b w:val="0"/>
                <w:sz w:val="20"/>
              </w:rPr>
              <w:t>图6</w:t>
            </w:r>
          </w:p>
        </w:tc>
        <w:tc>
          <w:tcPr>
            <w:tcW w:type="dxa" w:w="1984"/>
          </w:tcPr>
          <w:p>
            <w:r>
              <w:rPr>
                <w:rFonts w:ascii="Times New Roman" w:hAnsi="Times New Roman" w:eastAsia="SimSun"/>
                <w:b w:val="0"/>
                <w:sz w:val="20"/>
              </w:rPr>
              <w:t>平行坐标图</w:t>
            </w:r>
          </w:p>
        </w:tc>
        <w:tc>
          <w:tcPr>
            <w:tcW w:type="dxa" w:w="3685"/>
          </w:tcPr>
          <w:p>
            <w:r>
              <w:rPr>
                <w:rFonts w:ascii="Times New Roman" w:hAnsi="Times New Roman" w:eastAsia="SimSun"/>
                <w:b w:val="0"/>
                <w:sz w:val="20"/>
              </w:rPr>
              <w:t>多因子得分轮廓</w:t>
            </w:r>
          </w:p>
        </w:tc>
      </w:tr>
      <w:tr>
        <w:tc>
          <w:tcPr>
            <w:tcW w:type="dxa" w:w="1417"/>
          </w:tcPr>
          <w:p>
            <w:r>
              <w:rPr>
                <w:rFonts w:ascii="Times New Roman" w:hAnsi="Times New Roman" w:eastAsia="SimSun"/>
                <w:b w:val="0"/>
                <w:sz w:val="20"/>
              </w:rPr>
            </w:r>
          </w:p>
        </w:tc>
        <w:tc>
          <w:tcPr>
            <w:tcW w:type="dxa" w:w="850"/>
          </w:tcPr>
          <w:p>
            <w:r>
              <w:rPr>
                <w:rFonts w:ascii="Times New Roman" w:hAnsi="Times New Roman" w:eastAsia="SimSun"/>
                <w:b w:val="0"/>
                <w:sz w:val="20"/>
              </w:rPr>
              <w:t>图7</w:t>
            </w:r>
          </w:p>
        </w:tc>
        <w:tc>
          <w:tcPr>
            <w:tcW w:type="dxa" w:w="1984"/>
          </w:tcPr>
          <w:p>
            <w:r>
              <w:rPr>
                <w:rFonts w:ascii="Times New Roman" w:hAnsi="Times New Roman" w:eastAsia="SimSun"/>
                <w:b w:val="0"/>
                <w:sz w:val="20"/>
              </w:rPr>
              <w:t>瀑布图</w:t>
            </w:r>
          </w:p>
        </w:tc>
        <w:tc>
          <w:tcPr>
            <w:tcW w:type="dxa" w:w="3685"/>
          </w:tcPr>
          <w:p>
            <w:r>
              <w:rPr>
                <w:rFonts w:ascii="Times New Roman" w:hAnsi="Times New Roman" w:eastAsia="SimSun"/>
                <w:b w:val="0"/>
                <w:sz w:val="20"/>
              </w:rPr>
              <w:t>因子贡献拆解</w:t>
            </w:r>
          </w:p>
        </w:tc>
      </w:tr>
      <w:tr>
        <w:tc>
          <w:tcPr>
            <w:tcW w:type="dxa" w:w="1417"/>
          </w:tcPr>
          <w:p>
            <w:r>
              <w:rPr>
                <w:rFonts w:ascii="Times New Roman" w:hAnsi="Times New Roman" w:eastAsia="SimSun"/>
                <w:b w:val="0"/>
                <w:sz w:val="20"/>
              </w:rPr>
            </w:r>
          </w:p>
        </w:tc>
        <w:tc>
          <w:tcPr>
            <w:tcW w:type="dxa" w:w="850"/>
          </w:tcPr>
          <w:p>
            <w:r>
              <w:rPr>
                <w:rFonts w:ascii="Times New Roman" w:hAnsi="Times New Roman" w:eastAsia="SimSun"/>
                <w:b w:val="0"/>
                <w:sz w:val="20"/>
              </w:rPr>
              <w:t>图8</w:t>
            </w:r>
          </w:p>
        </w:tc>
        <w:tc>
          <w:tcPr>
            <w:tcW w:type="dxa" w:w="1984"/>
          </w:tcPr>
          <w:p>
            <w:r>
              <w:rPr>
                <w:rFonts w:ascii="Times New Roman" w:hAnsi="Times New Roman" w:eastAsia="SimSun"/>
                <w:b w:val="0"/>
                <w:sz w:val="20"/>
              </w:rPr>
              <w:t>仪表盘组合</w:t>
            </w:r>
          </w:p>
        </w:tc>
        <w:tc>
          <w:tcPr>
            <w:tcW w:type="dxa" w:w="3685"/>
          </w:tcPr>
          <w:p>
            <w:r>
              <w:rPr>
                <w:rFonts w:ascii="Times New Roman" w:hAnsi="Times New Roman" w:eastAsia="SimSun"/>
                <w:b w:val="0"/>
                <w:sz w:val="20"/>
              </w:rPr>
              <w:t>因子拥挤度监控</w:t>
            </w:r>
          </w:p>
        </w:tc>
      </w:tr>
      <w:tr>
        <w:tc>
          <w:tcPr>
            <w:tcW w:type="dxa" w:w="1417"/>
          </w:tcPr>
          <w:p>
            <w:r>
              <w:rPr>
                <w:rFonts w:ascii="Times New Roman" w:hAnsi="Times New Roman" w:eastAsia="SimSun"/>
                <w:b w:val="0"/>
                <w:sz w:val="20"/>
              </w:rPr>
              <w:t>决策支持层</w:t>
            </w:r>
          </w:p>
        </w:tc>
        <w:tc>
          <w:tcPr>
            <w:tcW w:type="dxa" w:w="850"/>
          </w:tcPr>
          <w:p>
            <w:r>
              <w:rPr>
                <w:rFonts w:ascii="Times New Roman" w:hAnsi="Times New Roman" w:eastAsia="SimSun"/>
                <w:b w:val="0"/>
                <w:sz w:val="20"/>
              </w:rPr>
              <w:t>图9</w:t>
            </w:r>
          </w:p>
        </w:tc>
        <w:tc>
          <w:tcPr>
            <w:tcW w:type="dxa" w:w="1984"/>
          </w:tcPr>
          <w:p>
            <w:r>
              <w:rPr>
                <w:rFonts w:ascii="Times New Roman" w:hAnsi="Times New Roman" w:eastAsia="SimSun"/>
                <w:b w:val="0"/>
                <w:sz w:val="20"/>
              </w:rPr>
              <w:t>箱线图+小提琴图</w:t>
            </w:r>
          </w:p>
        </w:tc>
        <w:tc>
          <w:tcPr>
            <w:tcW w:type="dxa" w:w="3685"/>
          </w:tcPr>
          <w:p>
            <w:r>
              <w:rPr>
                <w:rFonts w:ascii="Times New Roman" w:hAnsi="Times New Roman" w:eastAsia="SimSun"/>
                <w:b w:val="0"/>
                <w:sz w:val="20"/>
              </w:rPr>
              <w:t>周期阶段收益分布对比</w:t>
            </w:r>
          </w:p>
        </w:tc>
      </w:tr>
      <w:tr>
        <w:tc>
          <w:tcPr>
            <w:tcW w:type="dxa" w:w="1417"/>
          </w:tcPr>
          <w:p>
            <w:r>
              <w:rPr>
                <w:rFonts w:ascii="Times New Roman" w:hAnsi="Times New Roman" w:eastAsia="SimSun"/>
                <w:b w:val="0"/>
                <w:sz w:val="20"/>
              </w:rPr>
            </w:r>
          </w:p>
        </w:tc>
        <w:tc>
          <w:tcPr>
            <w:tcW w:type="dxa" w:w="850"/>
          </w:tcPr>
          <w:p>
            <w:r>
              <w:rPr>
                <w:rFonts w:ascii="Times New Roman" w:hAnsi="Times New Roman" w:eastAsia="SimSun"/>
                <w:b w:val="0"/>
                <w:sz w:val="20"/>
              </w:rPr>
              <w:t>图10</w:t>
            </w:r>
          </w:p>
        </w:tc>
        <w:tc>
          <w:tcPr>
            <w:tcW w:type="dxa" w:w="1984"/>
          </w:tcPr>
          <w:p>
            <w:r>
              <w:rPr>
                <w:rFonts w:ascii="Times New Roman" w:hAnsi="Times New Roman" w:eastAsia="SimSun"/>
                <w:b w:val="0"/>
                <w:sz w:val="20"/>
              </w:rPr>
              <w:t>桑基图</w:t>
            </w:r>
          </w:p>
        </w:tc>
        <w:tc>
          <w:tcPr>
            <w:tcW w:type="dxa" w:w="3685"/>
          </w:tcPr>
          <w:p>
            <w:r>
              <w:rPr>
                <w:rFonts w:ascii="Times New Roman" w:hAnsi="Times New Roman" w:eastAsia="SimSun"/>
                <w:b w:val="0"/>
                <w:sz w:val="20"/>
              </w:rPr>
              <w:t>行业配置决策链</w:t>
            </w:r>
          </w:p>
        </w:tc>
      </w:tr>
      <w:tr>
        <w:tc>
          <w:tcPr>
            <w:tcW w:type="dxa" w:w="1417"/>
          </w:tcPr>
          <w:p>
            <w:r>
              <w:rPr>
                <w:rFonts w:ascii="Times New Roman" w:hAnsi="Times New Roman" w:eastAsia="SimSun"/>
                <w:b w:val="0"/>
                <w:sz w:val="20"/>
              </w:rPr>
            </w:r>
          </w:p>
        </w:tc>
        <w:tc>
          <w:tcPr>
            <w:tcW w:type="dxa" w:w="850"/>
          </w:tcPr>
          <w:p>
            <w:r>
              <w:rPr>
                <w:rFonts w:ascii="Times New Roman" w:hAnsi="Times New Roman" w:eastAsia="SimSun"/>
                <w:b w:val="0"/>
                <w:sz w:val="20"/>
              </w:rPr>
              <w:t>图11</w:t>
            </w:r>
          </w:p>
        </w:tc>
        <w:tc>
          <w:tcPr>
            <w:tcW w:type="dxa" w:w="1984"/>
          </w:tcPr>
          <w:p>
            <w:r>
              <w:rPr>
                <w:rFonts w:ascii="Times New Roman" w:hAnsi="Times New Roman" w:eastAsia="SimSun"/>
                <w:b w:val="0"/>
                <w:sz w:val="20"/>
              </w:rPr>
              <w:t>热力图</w:t>
            </w:r>
          </w:p>
        </w:tc>
        <w:tc>
          <w:tcPr>
            <w:tcW w:type="dxa" w:w="3685"/>
          </w:tcPr>
          <w:p>
            <w:r>
              <w:rPr>
                <w:rFonts w:ascii="Times New Roman" w:hAnsi="Times New Roman" w:eastAsia="SimSun"/>
                <w:b w:val="0"/>
                <w:sz w:val="20"/>
              </w:rPr>
              <w:t>极端情景压力测试</w:t>
            </w:r>
          </w:p>
        </w:tc>
      </w:tr>
      <w:tr>
        <w:tc>
          <w:tcPr>
            <w:tcW w:type="dxa" w:w="1417"/>
          </w:tcPr>
          <w:p>
            <w:r>
              <w:rPr>
                <w:rFonts w:ascii="Times New Roman" w:hAnsi="Times New Roman" w:eastAsia="SimSun"/>
                <w:b w:val="0"/>
                <w:sz w:val="20"/>
              </w:rPr>
            </w:r>
          </w:p>
        </w:tc>
        <w:tc>
          <w:tcPr>
            <w:tcW w:type="dxa" w:w="850"/>
          </w:tcPr>
          <w:p>
            <w:r>
              <w:rPr>
                <w:rFonts w:ascii="Times New Roman" w:hAnsi="Times New Roman" w:eastAsia="SimSun"/>
                <w:b w:val="0"/>
                <w:sz w:val="20"/>
              </w:rPr>
              <w:t>图12</w:t>
            </w:r>
          </w:p>
        </w:tc>
        <w:tc>
          <w:tcPr>
            <w:tcW w:type="dxa" w:w="1984"/>
          </w:tcPr>
          <w:p>
            <w:r>
              <w:rPr>
                <w:rFonts w:ascii="Times New Roman" w:hAnsi="Times New Roman" w:eastAsia="SimSun"/>
                <w:b w:val="0"/>
                <w:sz w:val="20"/>
              </w:rPr>
              <w:t>卡片网格</w:t>
            </w:r>
          </w:p>
        </w:tc>
        <w:tc>
          <w:tcPr>
            <w:tcW w:type="dxa" w:w="3685"/>
          </w:tcPr>
          <w:p>
            <w:r>
              <w:rPr>
                <w:rFonts w:ascii="Times New Roman" w:hAnsi="Times New Roman" w:eastAsia="SimSun"/>
                <w:b w:val="0"/>
                <w:sz w:val="20"/>
              </w:rPr>
              <w:t>多维度异常信号综合监控</w:t>
            </w:r>
          </w:p>
        </w:tc>
      </w:tr>
    </w:tbl>
    <w:p/>
    <w:p>
      <w:pPr>
        <w:pStyle w:val="Heading2"/>
      </w:pPr>
      <w:r>
        <w:rPr>
          <w:rFonts w:ascii="Times New Roman" w:hAnsi="Times New Roman" w:eastAsia="SimHei"/>
          <w:b/>
          <w:sz w:val="26"/>
        </w:rPr>
        <w:t>3.2 配色与视觉设计</w:t>
      </w:r>
    </w:p>
    <w:p>
      <w:pPr>
        <w:spacing w:line="360" w:lineRule="auto"/>
        <w:ind w:firstLine="420"/>
        <w:jc w:val="both"/>
      </w:pPr>
      <w:r>
        <w:rPr>
          <w:rFonts w:ascii="Times New Roman" w:hAnsi="Times New Roman" w:eastAsia="SimSun"/>
          <w:b w:val="0"/>
          <w:sz w:val="24"/>
        </w:rPr>
        <w:t>采用金融终端暗色主题（TradingView/Bloomberg风格），以深蓝黑(#0f1923)为画布底色、#1a2332为绘图区底色，降低视觉疲劳，突出数据本身。核心编码规则遵循A股交易习惯——红涨绿跌。宏观经济四周期分别使用蓝(复苏)、红(过热)、橙(滞胀)、靛青(衰退)区分。因子归因层使用专用色板，拥挤度监控采用绿-黄-红三色递减预警。图表统一使用Plotly的plotly_dark模板，通过dark_figure()/dark_layout()函数初始化。</w:t>
      </w:r>
    </w:p>
    <w:p>
      <w:pPr>
        <w:pStyle w:val="Heading2"/>
      </w:pPr>
      <w:r>
        <w:rPr>
          <w:rFonts w:ascii="Times New Roman" w:hAnsi="Times New Roman" w:eastAsia="SimHei"/>
          <w:b/>
          <w:sz w:val="26"/>
        </w:rPr>
        <w:t>3.3 交互设计</w:t>
      </w:r>
    </w:p>
    <w:p>
      <w:pPr>
        <w:spacing w:line="360" w:lineRule="auto"/>
        <w:ind w:firstLine="420"/>
        <w:jc w:val="both"/>
      </w:pPr>
      <w:r>
        <w:rPr>
          <w:rFonts w:ascii="Times New Roman" w:hAnsi="Times New Roman" w:eastAsia="SimSun"/>
          <w:b w:val="0"/>
          <w:sz w:val="24"/>
        </w:rPr>
        <w:t>所有图表支持hover提示（显示精确数值）。滚动可缩放与平移。动态气泡图使用动画帧自动播放行业随时间迁移。图表提供下拉菜单（切换行业/时间周期）、滑块（时间轴选择）等交互控件。综合仪表盘提供侧边栏导航、搜索过滤和键盘快捷键（↑↓键切换图表、1-9键快速跳转），支持跨图跳转（URL参数传参）。</w:t>
      </w:r>
    </w:p>
    <w:p>
      <w:r>
        <w:br w:type="page"/>
      </w:r>
    </w:p>
    <w:p>
      <w:pPr>
        <w:pStyle w:val="Heading1"/>
      </w:pPr>
      <w:r>
        <w:rPr>
          <w:rFonts w:ascii="Times New Roman" w:hAnsi="Times New Roman" w:eastAsia="SimHei"/>
          <w:b/>
          <w:sz w:val="28"/>
        </w:rPr>
        <w:t>4 实验结果</w:t>
      </w:r>
    </w:p>
    <w:p>
      <w:pPr>
        <w:spacing w:line="360" w:lineRule="auto"/>
        <w:jc w:val="both"/>
      </w:pPr>
      <w:r>
        <w:rPr>
          <w:rFonts w:ascii="Times New Roman" w:hAnsi="Times New Roman" w:eastAsia="SimSun"/>
          <w:b w:val="0"/>
          <w:sz w:val="24"/>
        </w:rPr>
        <w:t>本章逐图展示12张可视化成果，每张图附中文解读和英文图注。</w:t>
      </w:r>
    </w:p>
    <w:p>
      <w:r>
        <w:br w:type="page"/>
      </w:r>
    </w:p>
    <w:p>
      <w:pPr>
        <w:pStyle w:val="Heading2"/>
      </w:pPr>
      <w:r>
        <w:rPr>
          <w:rFonts w:ascii="Times New Roman" w:hAnsi="Times New Roman" w:eastAsia="SimHei"/>
          <w:b/>
          <w:sz w:val="26"/>
        </w:rPr>
        <w:t>4.1 图1 宏观经济周期仪表盘</w:t>
      </w:r>
    </w:p>
    <w:p>
      <w:r>
        <w:rPr>
          <w:rFonts w:ascii="Times New Roman" w:hAnsi="Times New Roman" w:eastAsia="Times New Roman"/>
          <w:b/>
          <w:sz w:val="24"/>
        </w:rPr>
        <w:t>Figure 1: Macroeconomic Cycle Dashboard</w:t>
      </w:r>
    </w:p>
    <w:p>
      <w:pPr>
        <w:spacing w:line="360" w:lineRule="auto"/>
        <w:ind w:firstLine="420"/>
        <w:jc w:val="both"/>
      </w:pPr>
      <w:r>
        <w:rPr>
          <w:rFonts w:ascii="Times New Roman" w:hAnsi="Times New Roman" w:eastAsia="SimSun"/>
          <w:b w:val="0"/>
          <w:sz w:val="22"/>
        </w:rPr>
        <w:t>仪表盘上半部分为PMI实时仪表，指针指向当前PMI数值，绿区(50-60)为扩张区、红区(40-50)为收缩区，直观反映经济冷暖。下半部分展示PMI、CPI、M2三条宏观指标的时间走势，背景色带标识出美林时钟四阶段。从走势图可见：2022年PMI多次下探荣枯线以下（疫情封控冲击），对应衰退期；2023年PMI反弹至扩张区间，进入复苏期；2024—2025年PMI在50附近震荡，周期切换频繁。</w:t>
      </w:r>
    </w:p>
    <w:p>
      <w:pPr>
        <w:spacing w:line="360" w:lineRule="auto"/>
        <w:jc w:val="both"/>
      </w:pPr>
      <w:r>
        <w:rPr>
          <w:rFonts w:ascii="Times New Roman" w:hAnsi="Times New Roman" w:eastAsia="Times New Roman"/>
          <w:b w:val="0"/>
          <w:sz w:val="20"/>
        </w:rPr>
        <w:t>Caption: Gauge dashboard showing PMI with green/red zones, time series of PMI/CPI/M2, and Merrill Lynch Clock phase bands.</w:t>
      </w:r>
    </w:p>
    <w:p/>
    <w:p>
      <w:r>
        <w:br w:type="page"/>
      </w:r>
    </w:p>
    <w:p>
      <w:pPr>
        <w:pStyle w:val="Heading2"/>
      </w:pPr>
      <w:r>
        <w:rPr>
          <w:rFonts w:ascii="Times New Roman" w:hAnsi="Times New Roman" w:eastAsia="SimHei"/>
          <w:b/>
          <w:sz w:val="26"/>
        </w:rPr>
        <w:t>4.2 图2 市场风格轮动四象限图</w:t>
      </w:r>
    </w:p>
    <w:p>
      <w:r>
        <w:rPr>
          <w:rFonts w:ascii="Times New Roman" w:hAnsi="Times New Roman" w:eastAsia="Times New Roman"/>
          <w:b/>
          <w:sz w:val="24"/>
        </w:rPr>
        <w:t>Figure 2: Style Rotation Quadrant Chart</w:t>
      </w:r>
    </w:p>
    <w:p>
      <w:pPr>
        <w:spacing w:line="360" w:lineRule="auto"/>
        <w:ind w:firstLine="420"/>
        <w:jc w:val="both"/>
      </w:pPr>
      <w:r>
        <w:rPr>
          <w:rFonts w:ascii="Times New Roman" w:hAnsi="Times New Roman" w:eastAsia="SimSun"/>
          <w:b w:val="0"/>
          <w:sz w:val="22"/>
        </w:rPr>
        <w:t>以大小盘溢价为X轴、价值成长溢价为Y轴，将风格空间划分为四个象限。2022年数据点集中在大盘价值象限（市场避险情绪主导）；2023-2024年向小盘成长方向迁移（AI主题驱动）；2025年呈现小盘价值特征。风格漂移呈现顺时针旋转模式，与宏观周期切换基本同步。</w:t>
      </w:r>
    </w:p>
    <w:p>
      <w:pPr>
        <w:spacing w:line="360" w:lineRule="auto"/>
        <w:jc w:val="both"/>
      </w:pPr>
      <w:r>
        <w:rPr>
          <w:rFonts w:ascii="Times New Roman" w:hAnsi="Times New Roman" w:eastAsia="Times New Roman"/>
          <w:b w:val="0"/>
          <w:sz w:val="20"/>
        </w:rPr>
        <w:t>Caption: Scatter quadrant chart showing style drift: X=size premium, Y=value-growth premium.</w:t>
      </w:r>
    </w:p>
    <w:p/>
    <w:p>
      <w:r>
        <w:br w:type="page"/>
      </w:r>
    </w:p>
    <w:p>
      <w:pPr>
        <w:pStyle w:val="Heading2"/>
      </w:pPr>
      <w:r>
        <w:rPr>
          <w:rFonts w:ascii="Times New Roman" w:hAnsi="Times New Roman" w:eastAsia="SimHei"/>
          <w:b/>
          <w:sz w:val="26"/>
        </w:rPr>
        <w:t>4.3 图3 日历热力图</w:t>
      </w:r>
    </w:p>
    <w:p>
      <w:r>
        <w:rPr>
          <w:rFonts w:ascii="Times New Roman" w:hAnsi="Times New Roman" w:eastAsia="Times New Roman"/>
          <w:b/>
          <w:sz w:val="24"/>
        </w:rPr>
        <w:t>Figure 3: Calendar Heatmap</w:t>
      </w:r>
    </w:p>
    <w:p>
      <w:pPr>
        <w:spacing w:line="360" w:lineRule="auto"/>
        <w:ind w:firstLine="420"/>
        <w:jc w:val="both"/>
      </w:pPr>
      <w:r>
        <w:rPr>
          <w:rFonts w:ascii="Times New Roman" w:hAnsi="Times New Roman" w:eastAsia="SimSun"/>
          <w:b w:val="0"/>
          <w:sz w:val="22"/>
        </w:rPr>
        <w:t>以行业为行（31个申万一级行业）、月份为列、颜色编码月收益率（红涨绿跌）。2023年的传媒、通信（受益于AI和游戏版号放开）形成明显红色水平带。2022年4月和10月出现大面积深绿色（系统性下跌），对应疫情封控和加息恐慌期。</w:t>
      </w:r>
    </w:p>
    <w:p>
      <w:pPr>
        <w:spacing w:line="360" w:lineRule="auto"/>
        <w:jc w:val="both"/>
      </w:pPr>
      <w:r>
        <w:rPr>
          <w:rFonts w:ascii="Times New Roman" w:hAnsi="Times New Roman" w:eastAsia="Times New Roman"/>
          <w:b w:val="0"/>
          <w:sz w:val="20"/>
        </w:rPr>
        <w:t>Caption: Calendar heatmap with industries as rows, months as columns, color-coded by monthly return.</w:t>
      </w:r>
    </w:p>
    <w:p/>
    <w:p>
      <w:r>
        <w:br w:type="page"/>
      </w:r>
    </w:p>
    <w:p>
      <w:pPr>
        <w:pStyle w:val="Heading2"/>
      </w:pPr>
      <w:r>
        <w:rPr>
          <w:rFonts w:ascii="Times New Roman" w:hAnsi="Times New Roman" w:eastAsia="SimHei"/>
          <w:b/>
          <w:sz w:val="26"/>
        </w:rPr>
        <w:t>4.4 图4 动态气泡图</w:t>
      </w:r>
    </w:p>
    <w:p>
      <w:r>
        <w:rPr>
          <w:rFonts w:ascii="Times New Roman" w:hAnsi="Times New Roman" w:eastAsia="Times New Roman"/>
          <w:b/>
          <w:sz w:val="24"/>
        </w:rPr>
        <w:t>Figure 4: Dynamic Bubble Chart</w:t>
      </w:r>
    </w:p>
    <w:p>
      <w:pPr>
        <w:spacing w:line="360" w:lineRule="auto"/>
        <w:ind w:firstLine="420"/>
        <w:jc w:val="both"/>
      </w:pPr>
      <w:r>
        <w:rPr>
          <w:rFonts w:ascii="Times New Roman" w:hAnsi="Times New Roman" w:eastAsia="SimSun"/>
          <w:b w:val="0"/>
          <w:sz w:val="22"/>
        </w:rPr>
        <w:t>以季度为动画帧，X轴为年化波动率，Y轴为季度累计收益，气泡大小代表总市值。高收益行业往往伴随高波动，气泡呈现右上-左下倾斜分布。2024年后部分行业（银行、公用事业）表现出低波动+稳健正收益特征。</w:t>
      </w:r>
    </w:p>
    <w:p>
      <w:pPr>
        <w:spacing w:line="360" w:lineRule="auto"/>
        <w:jc w:val="both"/>
      </w:pPr>
      <w:r>
        <w:rPr>
          <w:rFonts w:ascii="Times New Roman" w:hAnsi="Times New Roman" w:eastAsia="Times New Roman"/>
          <w:b w:val="0"/>
          <w:sz w:val="20"/>
        </w:rPr>
        <w:t>Caption: Animated bubble chart showing industry migration in risk-return space over quarters.</w:t>
      </w:r>
    </w:p>
    <w:p/>
    <w:p>
      <w:r>
        <w:br w:type="page"/>
      </w:r>
    </w:p>
    <w:p>
      <w:pPr>
        <w:pStyle w:val="Heading2"/>
      </w:pPr>
      <w:r>
        <w:rPr>
          <w:rFonts w:ascii="Times New Roman" w:hAnsi="Times New Roman" w:eastAsia="SimHei"/>
          <w:b/>
          <w:sz w:val="26"/>
        </w:rPr>
        <w:t>4.5 图5 行业相关性网络图</w:t>
      </w:r>
    </w:p>
    <w:p>
      <w:r>
        <w:rPr>
          <w:rFonts w:ascii="Times New Roman" w:hAnsi="Times New Roman" w:eastAsia="Times New Roman"/>
          <w:b/>
          <w:sz w:val="24"/>
        </w:rPr>
        <w:t>Figure 5: Industry Correlation Network</w:t>
      </w:r>
    </w:p>
    <w:p>
      <w:pPr>
        <w:spacing w:line="360" w:lineRule="auto"/>
        <w:ind w:firstLine="420"/>
        <w:jc w:val="both"/>
      </w:pPr>
      <w:r>
        <w:rPr>
          <w:rFonts w:ascii="Times New Roman" w:hAnsi="Times New Roman" w:eastAsia="SimSun"/>
          <w:b w:val="0"/>
          <w:sz w:val="22"/>
        </w:rPr>
        <w:t>力导向布局展示了31个行业之间的收益率相关性结构（相关性&gt;0.45）。识别出四个稳定的行业群落：金融周期群、科技成长群、大消费群、上游资源群。群落内部行业高度联动，群落之间相关性较低，为分散化配置提供依据。</w:t>
      </w:r>
    </w:p>
    <w:p>
      <w:pPr>
        <w:spacing w:line="360" w:lineRule="auto"/>
        <w:jc w:val="both"/>
      </w:pPr>
      <w:r>
        <w:rPr>
          <w:rFonts w:ascii="Times New Roman" w:hAnsi="Times New Roman" w:eastAsia="Times New Roman"/>
          <w:b w:val="0"/>
          <w:sz w:val="20"/>
        </w:rPr>
        <w:t>Caption: Force-directed network graph of industry correlations with community clusters highlighted.</w:t>
      </w:r>
    </w:p>
    <w:p/>
    <w:p>
      <w:r>
        <w:br w:type="page"/>
      </w:r>
    </w:p>
    <w:p>
      <w:pPr>
        <w:pStyle w:val="Heading2"/>
      </w:pPr>
      <w:r>
        <w:rPr>
          <w:rFonts w:ascii="Times New Roman" w:hAnsi="Times New Roman" w:eastAsia="SimHei"/>
          <w:b/>
          <w:sz w:val="26"/>
        </w:rPr>
        <w:t>4.6 图6 平行坐标图</w:t>
      </w:r>
    </w:p>
    <w:p>
      <w:r>
        <w:rPr>
          <w:rFonts w:ascii="Times New Roman" w:hAnsi="Times New Roman" w:eastAsia="Times New Roman"/>
          <w:b/>
          <w:sz w:val="24"/>
        </w:rPr>
        <w:t>Figure 6: Parallel Coordinates</w:t>
      </w:r>
    </w:p>
    <w:p>
      <w:pPr>
        <w:spacing w:line="360" w:lineRule="auto"/>
        <w:ind w:firstLine="420"/>
        <w:jc w:val="both"/>
      </w:pPr>
      <w:r>
        <w:rPr>
          <w:rFonts w:ascii="Times New Roman" w:hAnsi="Times New Roman" w:eastAsia="SimSun"/>
          <w:b w:val="0"/>
          <w:sz w:val="22"/>
        </w:rPr>
        <w:t>展示最新季度各行业在8个标准化因子维度上的暴露轮廓。识别出三类典型特征：高成长型（电子、计算机）PE/PB高、动量强、波动大；价值型（银行、煤炭）PE/PB极低、市值大、换手率低；中小盘型市值偏小、波动率居中。支持社区着色和维度刷选。</w:t>
      </w:r>
    </w:p>
    <w:p>
      <w:pPr>
        <w:spacing w:line="360" w:lineRule="auto"/>
        <w:jc w:val="both"/>
      </w:pPr>
      <w:r>
        <w:rPr>
          <w:rFonts w:ascii="Times New Roman" w:hAnsi="Times New Roman" w:eastAsia="Times New Roman"/>
          <w:b w:val="0"/>
          <w:sz w:val="20"/>
        </w:rPr>
        <w:t>Caption: Parallel coordinates showing industry exposures across 8 standardized factor dimensions.</w:t>
      </w:r>
    </w:p>
    <w:p/>
    <w:p>
      <w:r>
        <w:br w:type="page"/>
      </w:r>
    </w:p>
    <w:p>
      <w:pPr>
        <w:pStyle w:val="Heading2"/>
      </w:pPr>
      <w:r>
        <w:rPr>
          <w:rFonts w:ascii="Times New Roman" w:hAnsi="Times New Roman" w:eastAsia="SimHei"/>
          <w:b/>
          <w:sz w:val="26"/>
        </w:rPr>
        <w:t>4.7 图7 因子收益瀑布图</w:t>
      </w:r>
    </w:p>
    <w:p>
      <w:r>
        <w:rPr>
          <w:rFonts w:ascii="Times New Roman" w:hAnsi="Times New Roman" w:eastAsia="Times New Roman"/>
          <w:b/>
          <w:sz w:val="24"/>
        </w:rPr>
        <w:t>Figure 7: Factor Return Waterfall Chart</w:t>
      </w:r>
    </w:p>
    <w:p>
      <w:pPr>
        <w:spacing w:line="360" w:lineRule="auto"/>
        <w:ind w:firstLine="420"/>
        <w:jc w:val="both"/>
      </w:pPr>
      <w:r>
        <w:rPr>
          <w:rFonts w:ascii="Times New Roman" w:hAnsi="Times New Roman" w:eastAsia="SimSun"/>
          <w:b w:val="0"/>
          <w:sz w:val="22"/>
        </w:rPr>
        <w:t>将行业超额收益拆解为规模(SMB)→价值(HML)→动量(MOM)→特质收益(Alpha)→超额收益。绿柱正向贡献，红柱负向贡献，蓝柱为超额收益总和。支持下拉菜单切换31个行业查看各自的因子归因结构。</w:t>
      </w:r>
    </w:p>
    <w:p>
      <w:pPr>
        <w:spacing w:line="360" w:lineRule="auto"/>
        <w:jc w:val="both"/>
      </w:pPr>
      <w:r>
        <w:rPr>
          <w:rFonts w:ascii="Times New Roman" w:hAnsi="Times New Roman" w:eastAsia="Times New Roman"/>
          <w:b w:val="0"/>
          <w:sz w:val="20"/>
        </w:rPr>
        <w:t>Caption: Waterfall chart decomposing excess returns into factor contributions (SMB, HML, MOM, Alpha).</w:t>
      </w:r>
    </w:p>
    <w:p/>
    <w:p>
      <w:r>
        <w:br w:type="page"/>
      </w:r>
    </w:p>
    <w:p>
      <w:pPr>
        <w:pStyle w:val="Heading2"/>
      </w:pPr>
      <w:r>
        <w:rPr>
          <w:rFonts w:ascii="Times New Roman" w:hAnsi="Times New Roman" w:eastAsia="SimHei"/>
          <w:b/>
          <w:sz w:val="26"/>
        </w:rPr>
        <w:t>4.8 图8 因子拥挤度监控仪表盘</w:t>
      </w:r>
    </w:p>
    <w:p>
      <w:r>
        <w:rPr>
          <w:rFonts w:ascii="Times New Roman" w:hAnsi="Times New Roman" w:eastAsia="Times New Roman"/>
          <w:b/>
          <w:sz w:val="24"/>
        </w:rPr>
        <w:t>Figure 8: Factor Crowding Gauge Dashboard</w:t>
      </w:r>
    </w:p>
    <w:p>
      <w:pPr>
        <w:spacing w:line="360" w:lineRule="auto"/>
        <w:ind w:firstLine="420"/>
        <w:jc w:val="both"/>
      </w:pPr>
      <w:r>
        <w:rPr>
          <w:rFonts w:ascii="Times New Roman" w:hAnsi="Times New Roman" w:eastAsia="SimSun"/>
          <w:b w:val="0"/>
          <w:sz w:val="22"/>
        </w:rPr>
        <w:t>四个仪表盘实时监控估值拥挤度、交易拥挤度、因子相关性、综合拥挤度。指针颜色（绿-黄-红三区）直观显示拥挤程度。底部历史趋势折线展示综合拥挤度的时间演变，标注了历史上危险和警示事件。</w:t>
      </w:r>
    </w:p>
    <w:p>
      <w:pPr>
        <w:spacing w:line="360" w:lineRule="auto"/>
        <w:jc w:val="both"/>
      </w:pPr>
      <w:r>
        <w:rPr>
          <w:rFonts w:ascii="Times New Roman" w:hAnsi="Times New Roman" w:eastAsia="Times New Roman"/>
          <w:b w:val="0"/>
          <w:sz w:val="20"/>
        </w:rPr>
        <w:t>Caption: 2×2 gauge panel monitoring factor crowding with historical trend chart.</w:t>
      </w:r>
    </w:p>
    <w:p/>
    <w:p>
      <w:r>
        <w:br w:type="page"/>
      </w:r>
    </w:p>
    <w:p>
      <w:pPr>
        <w:pStyle w:val="Heading2"/>
      </w:pPr>
      <w:r>
        <w:rPr>
          <w:rFonts w:ascii="Times New Roman" w:hAnsi="Times New Roman" w:eastAsia="SimHei"/>
          <w:b/>
          <w:sz w:val="26"/>
        </w:rPr>
        <w:t>4.9 图9 牛熊周期箱线图</w:t>
      </w:r>
    </w:p>
    <w:p>
      <w:r>
        <w:rPr>
          <w:rFonts w:ascii="Times New Roman" w:hAnsi="Times New Roman" w:eastAsia="Times New Roman"/>
          <w:b/>
          <w:sz w:val="24"/>
        </w:rPr>
        <w:t>Figure 9: Bull-Bear Regime Boxplot</w:t>
      </w:r>
    </w:p>
    <w:p>
      <w:pPr>
        <w:spacing w:line="360" w:lineRule="auto"/>
        <w:ind w:firstLine="420"/>
        <w:jc w:val="both"/>
      </w:pPr>
      <w:r>
        <w:rPr>
          <w:rFonts w:ascii="Times New Roman" w:hAnsi="Times New Roman" w:eastAsia="SimSun"/>
          <w:b w:val="0"/>
          <w:sz w:val="22"/>
        </w:rPr>
        <w:t>按美林时钟四阶段分组展示各行业月度收益率分布，叠加小提琴图显示完整分布形态。复苏期中位数收益率最高；过热期资源类收益率极高但方差大；滞胀期几乎所有行业中位数收益为负；衰退期部分逆周期行业（医药、必选消费）可获正收益。支持牛/熊/震荡三分类切换。</w:t>
      </w:r>
    </w:p>
    <w:p>
      <w:pPr>
        <w:spacing w:line="360" w:lineRule="auto"/>
        <w:jc w:val="both"/>
      </w:pPr>
      <w:r>
        <w:rPr>
          <w:rFonts w:ascii="Times New Roman" w:hAnsi="Times New Roman" w:eastAsia="Times New Roman"/>
          <w:b w:val="0"/>
          <w:sz w:val="20"/>
        </w:rPr>
        <w:t>Caption: Violin+boxplot overlay comparing industry return distributions across macroeconomic phases.</w:t>
      </w:r>
    </w:p>
    <w:p/>
    <w:p>
      <w:r>
        <w:br w:type="page"/>
      </w:r>
    </w:p>
    <w:p>
      <w:pPr>
        <w:pStyle w:val="Heading2"/>
      </w:pPr>
      <w:r>
        <w:rPr>
          <w:rFonts w:ascii="Times New Roman" w:hAnsi="Times New Roman" w:eastAsia="SimHei"/>
          <w:b/>
          <w:sz w:val="26"/>
        </w:rPr>
        <w:t>4.10 图10 行业配置桑基图</w:t>
      </w:r>
    </w:p>
    <w:p>
      <w:r>
        <w:rPr>
          <w:rFonts w:ascii="Times New Roman" w:hAnsi="Times New Roman" w:eastAsia="Times New Roman"/>
          <w:b/>
          <w:sz w:val="24"/>
        </w:rPr>
        <w:t>Figure 10: Industry Allocation Sankey Diagram</w:t>
      </w:r>
    </w:p>
    <w:p>
      <w:pPr>
        <w:spacing w:line="360" w:lineRule="auto"/>
        <w:ind w:firstLine="420"/>
        <w:jc w:val="both"/>
      </w:pPr>
      <w:r>
        <w:rPr>
          <w:rFonts w:ascii="Times New Roman" w:hAnsi="Times New Roman" w:eastAsia="SimSun"/>
          <w:b w:val="0"/>
          <w:sz w:val="22"/>
        </w:rPr>
        <w:t>三阶段决策链路：宏观周期阶段→策略风格→推荐行业。链接宽度表示配置强度，当前周期路径高亮显示。复苏期→大盘成长→电子/计算机；过热期→小盘价值→有色金属/煤炭；滞胀期→大盘价值→银行/公用事业；衰退期→大盘成长+小盘价值。</w:t>
      </w:r>
    </w:p>
    <w:p>
      <w:pPr>
        <w:spacing w:line="360" w:lineRule="auto"/>
        <w:jc w:val="both"/>
      </w:pPr>
      <w:r>
        <w:rPr>
          <w:rFonts w:ascii="Times New Roman" w:hAnsi="Times New Roman" w:eastAsia="Times New Roman"/>
          <w:b w:val="0"/>
          <w:sz w:val="20"/>
        </w:rPr>
        <w:t>Caption: Sankey diagram showing decision chain: Macro Cycle → Strategy Style → Industries.</w:t>
      </w:r>
    </w:p>
    <w:p/>
    <w:p>
      <w:r>
        <w:br w:type="page"/>
      </w:r>
    </w:p>
    <w:p>
      <w:pPr>
        <w:pStyle w:val="Heading2"/>
      </w:pPr>
      <w:r>
        <w:rPr>
          <w:rFonts w:ascii="Times New Roman" w:hAnsi="Times New Roman" w:eastAsia="SimHei"/>
          <w:b/>
          <w:sz w:val="26"/>
        </w:rPr>
        <w:t>4.11 图11 压力测试热图</w:t>
      </w:r>
    </w:p>
    <w:p>
      <w:r>
        <w:rPr>
          <w:rFonts w:ascii="Times New Roman" w:hAnsi="Times New Roman" w:eastAsia="Times New Roman"/>
          <w:b/>
          <w:sz w:val="24"/>
        </w:rPr>
        <w:t>Figure 11: Stress Test Heatmap</w:t>
      </w:r>
    </w:p>
    <w:p>
      <w:pPr>
        <w:spacing w:line="360" w:lineRule="auto"/>
        <w:ind w:firstLine="420"/>
        <w:jc w:val="both"/>
      </w:pPr>
      <w:r>
        <w:rPr>
          <w:rFonts w:ascii="Times New Roman" w:hAnsi="Times New Roman" w:eastAsia="SimSun"/>
          <w:b w:val="0"/>
          <w:sz w:val="22"/>
        </w:rPr>
        <w:t>展示5种极端历史情景下31个行业的收益表现：疫情封控、市场探底、量化风暴、政策组合拳、关税冲击。防御型行业（公用事业、银行、交通运输）在多数情景下表现韧性；高beta行业（电子、计算机）对正面政策冲击弹性最大。每行业标注最脆弱情景。</w:t>
      </w:r>
    </w:p>
    <w:p>
      <w:pPr>
        <w:spacing w:line="360" w:lineRule="auto"/>
        <w:jc w:val="both"/>
      </w:pPr>
      <w:r>
        <w:rPr>
          <w:rFonts w:ascii="Times New Roman" w:hAnsi="Times New Roman" w:eastAsia="Times New Roman"/>
          <w:b w:val="0"/>
          <w:sz w:val="20"/>
        </w:rPr>
        <w:t>Caption: Heatmap showing industry performance under 5 extreme historical scenarios.</w:t>
      </w:r>
    </w:p>
    <w:p/>
    <w:p>
      <w:r>
        <w:br w:type="page"/>
      </w:r>
    </w:p>
    <w:p>
      <w:pPr>
        <w:pStyle w:val="Heading2"/>
      </w:pPr>
      <w:r>
        <w:rPr>
          <w:rFonts w:ascii="Times New Roman" w:hAnsi="Times New Roman" w:eastAsia="SimHei"/>
          <w:b/>
          <w:sz w:val="26"/>
        </w:rPr>
        <w:t>4.12 图12 实时监控预警仪表盘</w:t>
      </w:r>
    </w:p>
    <w:p>
      <w:r>
        <w:rPr>
          <w:rFonts w:ascii="Times New Roman" w:hAnsi="Times New Roman" w:eastAsia="Times New Roman"/>
          <w:b/>
          <w:sz w:val="24"/>
        </w:rPr>
        <w:t>Figure 12: Real-time Alert Dashboard</w:t>
      </w:r>
    </w:p>
    <w:p>
      <w:pPr>
        <w:spacing w:line="360" w:lineRule="auto"/>
        <w:ind w:firstLine="420"/>
        <w:jc w:val="both"/>
      </w:pPr>
      <w:r>
        <w:rPr>
          <w:rFonts w:ascii="Times New Roman" w:hAnsi="Times New Roman" w:eastAsia="SimSun"/>
          <w:b w:val="0"/>
          <w:sz w:val="22"/>
        </w:rPr>
        <w:t>3×2卡片网格集成六个维度：行业轮动信号、因子失效预警、拥挤交易监控、风格切换预警、流动性异常、尾部风险指标。每张卡片顶部状态灯（绿/黄/红），主体迷你趋势折线图。红色预警卡片有CSS闪烁动画，支持三档阈值切换。</w:t>
      </w:r>
    </w:p>
    <w:p>
      <w:pPr>
        <w:spacing w:line="360" w:lineRule="auto"/>
        <w:jc w:val="both"/>
      </w:pPr>
      <w:r>
        <w:rPr>
          <w:rFonts w:ascii="Times New Roman" w:hAnsi="Times New Roman" w:eastAsia="Times New Roman"/>
          <w:b w:val="0"/>
          <w:sz w:val="20"/>
        </w:rPr>
        <w:t>Caption: 3×2 card grid dashboard with status lights, mini sparklines, and CSS danger flash.</w:t>
      </w:r>
    </w:p>
    <w:p/>
    <w:p>
      <w:r>
        <w:br w:type="page"/>
      </w:r>
    </w:p>
    <w:p>
      <w:pPr>
        <w:pStyle w:val="Heading1"/>
      </w:pPr>
      <w:r>
        <w:rPr>
          <w:rFonts w:ascii="Times New Roman" w:hAnsi="Times New Roman" w:eastAsia="SimHei"/>
          <w:b/>
          <w:sz w:val="28"/>
        </w:rPr>
        <w:t>5 结论</w:t>
      </w:r>
    </w:p>
    <w:p>
      <w:pPr>
        <w:pStyle w:val="Heading2"/>
      </w:pPr>
      <w:r>
        <w:rPr>
          <w:rFonts w:ascii="Times New Roman" w:hAnsi="Times New Roman" w:eastAsia="SimHei"/>
          <w:b/>
          <w:sz w:val="26"/>
        </w:rPr>
        <w:t>5.1 主要发现</w:t>
      </w:r>
    </w:p>
    <w:p>
      <w:pPr>
        <w:spacing w:line="360" w:lineRule="auto"/>
        <w:ind w:firstLine="420"/>
        <w:jc w:val="both"/>
      </w:pPr>
      <w:r>
        <w:rPr>
          <w:rFonts w:ascii="Times New Roman" w:hAnsi="Times New Roman" w:eastAsia="SimSun"/>
          <w:b w:val="0"/>
          <w:sz w:val="24"/>
        </w:rPr>
        <w:t>（1）宏观经济周期是行业轮动的核心驱动力。美林时钟框架在A股市场具有显著的行业配置指导价值：复苏期偏好科技成长（电子、计算机），过热期偏好上游资源（有色、煤炭），滞胀期偏好防御价值（银行、公用事业），衰退期偏好逆周期消费（医药、必选消费）。日历热力图和箱线图为这一规律提供了清晰的视觉证据。</w:t>
      </w:r>
    </w:p>
    <w:p>
      <w:pPr>
        <w:spacing w:line="360" w:lineRule="auto"/>
        <w:ind w:firstLine="420"/>
        <w:jc w:val="both"/>
      </w:pPr>
      <w:r>
        <w:rPr>
          <w:rFonts w:ascii="Times New Roman" w:hAnsi="Times New Roman" w:eastAsia="SimSun"/>
          <w:b w:val="0"/>
          <w:sz w:val="24"/>
        </w:rPr>
        <w:t>（2）风格因子（规模、价值、动量）对行业超额收益具有显著解释力。规模因子(SMB)自2023年以来累计上行逾30%，小盘股系统性跑赢大盘股；价值因子(HML)表现出周期性波动，与利率环境高度相关；动量因子(MOM)波动最大且存在动量崩溃风险。因子拥挤度指标可提前2-3个月预警风格切换。</w:t>
      </w:r>
    </w:p>
    <w:p>
      <w:pPr>
        <w:spacing w:line="360" w:lineRule="auto"/>
        <w:ind w:firstLine="420"/>
        <w:jc w:val="both"/>
      </w:pPr>
      <w:r>
        <w:rPr>
          <w:rFonts w:ascii="Times New Roman" w:hAnsi="Times New Roman" w:eastAsia="SimSun"/>
          <w:b w:val="0"/>
          <w:sz w:val="24"/>
        </w:rPr>
        <w:t>（3）行业间存在稳定的群落结构。相关性网络图识别出金融周期群、科技成长群、大消费群、上游资源群四个稳定的群落。群落内部高度联动，群落之间相关性较低，基于群落的分散化配置可有效降低组合波动。</w:t>
      </w:r>
    </w:p>
    <w:p>
      <w:pPr>
        <w:spacing w:line="360" w:lineRule="auto"/>
        <w:ind w:firstLine="420"/>
        <w:jc w:val="both"/>
      </w:pPr>
      <w:r>
        <w:rPr>
          <w:rFonts w:ascii="Times New Roman" w:hAnsi="Times New Roman" w:eastAsia="SimSun"/>
          <w:b w:val="0"/>
          <w:sz w:val="24"/>
        </w:rPr>
        <w:t>（4）极端情景压力测试揭示了行业韧性的非对称性。公用事业、银行等防御型行业在多数极端情景下抗跌，科技行业对正面政策冲击弹性最大。</w:t>
      </w:r>
    </w:p>
    <w:p>
      <w:pPr>
        <w:pStyle w:val="Heading2"/>
      </w:pPr>
      <w:r>
        <w:rPr>
          <w:rFonts w:ascii="Times New Roman" w:hAnsi="Times New Roman" w:eastAsia="SimHei"/>
          <w:b/>
          <w:sz w:val="26"/>
        </w:rPr>
        <w:t>5.2 业务建议</w:t>
      </w:r>
    </w:p>
    <w:p>
      <w:pPr>
        <w:spacing w:line="360" w:lineRule="auto"/>
        <w:ind w:firstLine="420"/>
        <w:jc w:val="both"/>
      </w:pPr>
      <w:r>
        <w:rPr>
          <w:rFonts w:ascii="Times New Roman" w:hAnsi="Times New Roman" w:eastAsia="SimSun"/>
          <w:b w:val="0"/>
          <w:sz w:val="24"/>
        </w:rPr>
        <w:t>（1）实施宏观择时+行业轮动策略：基于PMI和CPI信号判断美林时钟阶段，动态调整行业配置权重。当PMI&lt;50且下降时超配防御型行业；当PMI&gt;50且上升时超配成长型行业。</w:t>
      </w:r>
    </w:p>
    <w:p>
      <w:pPr>
        <w:spacing w:line="360" w:lineRule="auto"/>
        <w:ind w:firstLine="420"/>
        <w:jc w:val="both"/>
      </w:pPr>
      <w:r>
        <w:rPr>
          <w:rFonts w:ascii="Times New Roman" w:hAnsi="Times New Roman" w:eastAsia="SimSun"/>
          <w:b w:val="0"/>
          <w:sz w:val="24"/>
        </w:rPr>
        <w:t>（2）结合因子拥挤度进行风险控制：当拥挤度评分进入警示或危险区间时，降低相应因子暴露，等待拥挤度回归正常区间后再恢复配置。</w:t>
      </w:r>
    </w:p>
    <w:p>
      <w:pPr>
        <w:spacing w:line="360" w:lineRule="auto"/>
        <w:ind w:firstLine="420"/>
        <w:jc w:val="both"/>
      </w:pPr>
      <w:r>
        <w:rPr>
          <w:rFonts w:ascii="Times New Roman" w:hAnsi="Times New Roman" w:eastAsia="SimSun"/>
          <w:b w:val="0"/>
          <w:sz w:val="24"/>
        </w:rPr>
        <w:t>（3）利用行业群落构建分散化组合：确保组合在不同群落间合理分配，避免过度集中单一群落。</w:t>
      </w:r>
    </w:p>
    <w:p>
      <w:pPr>
        <w:spacing w:line="360" w:lineRule="auto"/>
        <w:ind w:firstLine="420"/>
        <w:jc w:val="both"/>
      </w:pPr>
      <w:r>
        <w:rPr>
          <w:rFonts w:ascii="Times New Roman" w:hAnsi="Times New Roman" w:eastAsia="SimSun"/>
          <w:b w:val="0"/>
          <w:sz w:val="24"/>
        </w:rPr>
        <w:t>（4）将可视化仪表盘纳入日常投研流程：综合仪表盘可作为投研团队的日常监控工具，快速浏览12个维度的市场信号。</w:t>
      </w:r>
    </w:p>
    <w:p>
      <w:pPr>
        <w:pStyle w:val="Heading2"/>
      </w:pPr>
      <w:r>
        <w:rPr>
          <w:rFonts w:ascii="Times New Roman" w:hAnsi="Times New Roman" w:eastAsia="SimHei"/>
          <w:b/>
          <w:sz w:val="26"/>
        </w:rPr>
        <w:t>5.3 局限性及改进方向</w:t>
      </w:r>
    </w:p>
    <w:p>
      <w:pPr>
        <w:spacing w:line="360" w:lineRule="auto"/>
        <w:ind w:firstLine="420"/>
        <w:jc w:val="both"/>
      </w:pPr>
      <w:r>
        <w:rPr>
          <w:rFonts w:ascii="Times New Roman" w:hAnsi="Times New Roman" w:eastAsia="SimSun"/>
          <w:b w:val="0"/>
          <w:sz w:val="24"/>
        </w:rPr>
        <w:t>（1）数据周期有限：当前分析仅覆盖2022—2025年共4年48个月的数据，样本量有限。某些宏观周期（如过热期）在分析期内出现次数较少，结论的统计显著性有待更长周期数据验证。</w:t>
      </w:r>
    </w:p>
    <w:p>
      <w:pPr>
        <w:spacing w:line="360" w:lineRule="auto"/>
        <w:ind w:firstLine="420"/>
        <w:jc w:val="both"/>
      </w:pPr>
      <w:r>
        <w:rPr>
          <w:rFonts w:ascii="Times New Roman" w:hAnsi="Times New Roman" w:eastAsia="SimSun"/>
          <w:b w:val="0"/>
          <w:sz w:val="24"/>
        </w:rPr>
        <w:t>（2）因子模型简化：采用Fama-French三因子加动量因子的简约模型。未纳入更多潜在因子（如质量因子QMJ、低波动因子BAB等），可能遗漏了部分解释力。</w:t>
      </w:r>
    </w:p>
    <w:p>
      <w:pPr>
        <w:spacing w:line="360" w:lineRule="auto"/>
        <w:ind w:firstLine="420"/>
        <w:jc w:val="both"/>
      </w:pPr>
      <w:r>
        <w:rPr>
          <w:rFonts w:ascii="Times New Roman" w:hAnsi="Times New Roman" w:eastAsia="SimSun"/>
          <w:b w:val="0"/>
          <w:sz w:val="24"/>
        </w:rPr>
        <w:t>（3）行业分类粒度：申万一级行业31个分类对某些细分赛道的区分不够精细。</w:t>
      </w:r>
    </w:p>
    <w:p>
      <w:pPr>
        <w:spacing w:line="360" w:lineRule="auto"/>
        <w:ind w:firstLine="420"/>
        <w:jc w:val="both"/>
      </w:pPr>
      <w:r>
        <w:rPr>
          <w:rFonts w:ascii="Times New Roman" w:hAnsi="Times New Roman" w:eastAsia="SimSun"/>
          <w:b w:val="0"/>
          <w:sz w:val="24"/>
        </w:rPr>
        <w:t>（4）交互体验可进一步优化：当前图表为独立HTML文件，图表间缺乏联动。未来可实现跨图表的刷选联动，提升分析深度。</w:t>
      </w:r>
    </w:p>
    <w:p/>
    <w:p>
      <w:pPr>
        <w:pStyle w:val="Heading1"/>
      </w:pPr>
      <w:r>
        <w:rPr>
          <w:rFonts w:ascii="Times New Roman" w:hAnsi="Times New Roman" w:eastAsia="SimHei"/>
          <w:b/>
          <w:sz w:val="28"/>
        </w:rPr>
        <w:t>Conclusion</w:t>
      </w:r>
    </w:p>
    <w:p>
      <w:pPr>
        <w:spacing w:line="360" w:lineRule="auto"/>
        <w:jc w:val="both"/>
      </w:pPr>
      <w:r>
        <w:rPr>
          <w:rFonts w:ascii="Times New Roman" w:hAnsi="Times New Roman" w:eastAsia="Times New Roman"/>
          <w:b w:val="0"/>
          <w:sz w:val="24"/>
        </w:rPr>
        <w:t>This project presents a comprehensive visualization study of industry rotation and factor returns in China’s A-share market from 2022 to 2025. Through a four-layer analytical framework and 12 interactive Plotly charts, we demonstrate that macroeconomic cycles are the primary driver of industry rotation, style factors exhibit strong explanatory power for excess returns, stable industry communities enable effective diversification, and factor crowding indicators can provide advance warning of style rotations. The visualization system integrates 12 interactive charts into a unified dashboard, providing investors with a scientific and intuitive decision-making framework for industry allocation.</w:t>
      </w:r>
    </w:p>
    <w:p>
      <w:r>
        <w:br w:type="page"/>
      </w:r>
    </w:p>
    <w:p>
      <w:pPr>
        <w:pStyle w:val="Heading1"/>
      </w:pPr>
      <w:r>
        <w:rPr>
          <w:rFonts w:ascii="Times New Roman" w:hAnsi="Times New Roman" w:eastAsia="SimHei"/>
          <w:b/>
          <w:sz w:val="28"/>
        </w:rPr>
        <w:t>参考文献 References</w:t>
      </w:r>
    </w:p>
    <w:p>
      <w:pPr>
        <w:spacing w:line="360" w:lineRule="auto"/>
        <w:jc w:val="both"/>
      </w:pPr>
      <w:r>
        <w:rPr>
          <w:rFonts w:ascii="Times New Roman" w:hAnsi="Times New Roman" w:eastAsia="Times New Roman"/>
          <w:b w:val="0"/>
          <w:sz w:val="22"/>
        </w:rPr>
        <w:t>[1] Fama, E. F., &amp; French, K. R. (1993). Common risk factors in the returns on stocks and bonds. Journal of Financial Economics, 33(1), 3–56.</w:t>
      </w:r>
    </w:p>
    <w:p>
      <w:pPr>
        <w:spacing w:line="360" w:lineRule="auto"/>
        <w:jc w:val="both"/>
      </w:pPr>
      <w:r>
        <w:rPr>
          <w:rFonts w:ascii="Times New Roman" w:hAnsi="Times New Roman" w:eastAsia="Times New Roman"/>
          <w:b w:val="0"/>
          <w:sz w:val="22"/>
        </w:rPr>
        <w:t>[2] Fama, E. F., &amp; French, K. R. (2015). A five-factor asset pricing model. Journal of Financial Economics, 116(1), 1–22.</w:t>
      </w:r>
    </w:p>
    <w:p>
      <w:pPr>
        <w:spacing w:line="360" w:lineRule="auto"/>
        <w:jc w:val="both"/>
      </w:pPr>
      <w:r>
        <w:rPr>
          <w:rFonts w:ascii="Times New Roman" w:hAnsi="Times New Roman" w:eastAsia="Times New Roman"/>
          <w:b w:val="0"/>
          <w:sz w:val="22"/>
        </w:rPr>
        <w:t>[3] Jegadeesh, N., &amp; Titman, S. (1993). Returns to buying winners and selling losers: Implications for stock market efficiency. Journal of Finance, 48(1), 65–91.</w:t>
      </w:r>
    </w:p>
    <w:p>
      <w:pPr>
        <w:spacing w:line="360" w:lineRule="auto"/>
        <w:jc w:val="both"/>
      </w:pPr>
      <w:r>
        <w:rPr>
          <w:rFonts w:ascii="Times New Roman" w:hAnsi="Times New Roman" w:eastAsia="Times New Roman"/>
          <w:b w:val="0"/>
          <w:sz w:val="22"/>
        </w:rPr>
        <w:t>[4] Tushare Pro API Documentation. https://tushare.pro</w:t>
      </w:r>
    </w:p>
    <w:p>
      <w:pPr>
        <w:spacing w:line="360" w:lineRule="auto"/>
        <w:jc w:val="both"/>
      </w:pPr>
      <w:r>
        <w:rPr>
          <w:rFonts w:ascii="Times New Roman" w:hAnsi="Times New Roman" w:eastAsia="Times New Roman"/>
          <w:b w:val="0"/>
          <w:sz w:val="22"/>
        </w:rPr>
        <w:t>[5] Merrill Lynch. (2004). The Investment Clock. Merrill Lynch Research Report.</w:t>
      </w:r>
    </w:p>
    <w:p/>
    <w:p/>
    <w:p>
      <w:pPr>
        <w:jc w:val="center"/>
      </w:pPr>
      <w:r>
        <w:rPr>
          <w:rFonts w:ascii="Times New Roman" w:hAnsi="Times New Roman" w:eastAsia="SimSun"/>
          <w:b w:val="0"/>
          <w:sz w:val="22"/>
        </w:rPr>
        <w:t>— 报告完 —</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