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360" w:lineRule="auto"/>
        <w:jc w:val="center"/>
      </w:pPr>
      <w:r>
        <w:rPr>
          <w:rFonts w:ascii="Times New Roman" w:hAnsi="Times New Roman" w:eastAsia="Times New Roman"/>
          <w:b/>
          <w:sz w:val="40"/>
        </w:rPr>
        <w:t>Stock Market Industry Rotation and Factor Return Analysis</w:t>
      </w:r>
    </w:p>
    <w:p>
      <w:pPr>
        <w:spacing w:line="360" w:lineRule="auto"/>
        <w:jc w:val="center"/>
      </w:pPr>
      <w:r>
        <w:rPr>
          <w:rFonts w:ascii="Times New Roman" w:hAnsi="Times New Roman" w:eastAsia="Times New Roman"/>
          <w:b w:val="0"/>
          <w:sz w:val="28"/>
        </w:rPr>
        <w:t>A Visualization Study Based on A-Share Market Data from 2022 to 2025</w:t>
      </w:r>
    </w:p>
    <w:p/>
    <w:p/>
    <w:p/>
    <w:p>
      <w:pPr>
        <w:spacing w:line="360" w:lineRule="auto"/>
        <w:jc w:val="center"/>
      </w:pPr>
      <w:r>
        <w:rPr>
          <w:rFonts w:ascii="Times New Roman" w:hAnsi="Times New Roman" w:eastAsia="Times New Roman"/>
          <w:b w:val="0"/>
          <w:sz w:val="24"/>
        </w:rPr>
        <w:t>Big Data Visualization — Course Project Report</w:t>
      </w:r>
    </w:p>
    <w:p>
      <w:pPr>
        <w:spacing w:line="360" w:lineRule="auto"/>
        <w:jc w:val="center"/>
      </w:pPr>
      <w:r>
        <w:rPr>
          <w:rFonts w:ascii="Times New Roman" w:hAnsi="Times New Roman" w:eastAsia="Times New Roman"/>
          <w:b w:val="0"/>
          <w:sz w:val="24"/>
        </w:rPr>
        <w:t>Data Source: Tushare Pro Financial Data Open Platform</w:t>
      </w:r>
    </w:p>
    <w:p>
      <w:pPr>
        <w:spacing w:line="360" w:lineRule="auto"/>
        <w:jc w:val="center"/>
      </w:pPr>
      <w:r>
        <w:rPr>
          <w:rFonts w:ascii="Times New Roman" w:hAnsi="Times New Roman" w:eastAsia="Times New Roman"/>
          <w:b w:val="0"/>
          <w:sz w:val="24"/>
        </w:rPr>
        <w:t>Visualization Tools: Python Plotly + Kaleido</w:t>
      </w:r>
    </w:p>
    <w:p>
      <w:pPr>
        <w:spacing w:line="360" w:lineRule="auto"/>
        <w:jc w:val="center"/>
      </w:pPr>
      <w:r>
        <w:rPr>
          <w:rFonts w:ascii="Times New Roman" w:hAnsi="Times New Roman" w:eastAsia="Times New Roman"/>
          <w:b w:val="0"/>
          <w:sz w:val="24"/>
        </w:rPr>
        <w:t>Completion Date: June 2026</w:t>
      </w:r>
    </w:p>
    <w:p>
      <w:r>
        <w:br w:type="page"/>
      </w:r>
    </w:p>
    <w:p>
      <w:pPr>
        <w:pStyle w:val="Heading1"/>
      </w:pPr>
      <w:r>
        <w:rPr>
          <w:rFonts w:ascii="Times New Roman" w:hAnsi="Times New Roman" w:eastAsia="SimHei"/>
          <w:b/>
          <w:sz w:val="28"/>
        </w:rPr>
        <w:t>Abstract</w:t>
      </w:r>
    </w:p>
    <w:p>
      <w:pPr>
        <w:spacing w:line="360" w:lineRule="auto"/>
        <w:ind w:firstLine="420"/>
        <w:jc w:val="both"/>
      </w:pPr>
      <w:r>
        <w:rPr>
          <w:rFonts w:ascii="Times New Roman" w:hAnsi="Times New Roman" w:eastAsia="Times New Roman"/>
          <w:b w:val="0"/>
          <w:sz w:val="24"/>
        </w:rPr>
        <w:t>This project constructs a four-layer progressive analytical framework of “Macro Environment → Industry Structure → Factor Attribution → Decision Support” based on a comprehensive dataset of approximately 5,400 A-share stocks across 31 Shenwan primary industries from 2022 to 2025. Through 12 interactive Plotly visualizations, we achieve multidimensional visualization of industry rotation and factor returns.</w:t>
      </w:r>
    </w:p>
    <w:p>
      <w:pPr>
        <w:spacing w:line="360" w:lineRule="auto"/>
        <w:ind w:firstLine="420"/>
        <w:jc w:val="both"/>
      </w:pPr>
      <w:r>
        <w:rPr>
          <w:rFonts w:ascii="Times New Roman" w:hAnsi="Times New Roman" w:eastAsia="Times New Roman"/>
          <w:b w:val="0"/>
          <w:sz w:val="24"/>
        </w:rPr>
        <w:t>Key findings include: (1) Macroeconomic cycles serve as the primary driver of industry rotation, with sector performance across recovery/overheat/stagflation/recession phases closely aligning with classical Merrill Lynch Clock theory; (2) The Size factor (SMB) has accumulated over 30% since 2023; the Value factor (HML) correlates strongly with interest rate environments; and the Momentum factor (MOM) exhibits periodic crash risk; (3) Four stable industry communities are identified (Financial-Cyclical, Tech-Growth, Consumer, Upstream-Resources); (4) Factor crowding indicators provide 2–3 month advance warning of style rotations. This project provides investors with a scientific and intuitive industry allocation decision-making framework.</w:t>
      </w:r>
    </w:p>
    <w:p/>
    <w:p>
      <w:pPr>
        <w:spacing w:line="360" w:lineRule="auto"/>
        <w:jc w:val="both"/>
      </w:pPr>
      <w:r>
        <w:rPr>
          <w:rFonts w:ascii="Times New Roman" w:hAnsi="Times New Roman" w:eastAsia="Times New Roman"/>
          <w:b/>
          <w:sz w:val="24"/>
        </w:rPr>
        <w:t>Keywords: Industry Rotation, Factor Model, Merrill Lynch Clock, Data Visualization, A-Share Market</w:t>
      </w:r>
    </w:p>
    <w:p>
      <w:r>
        <w:br w:type="page"/>
      </w:r>
    </w:p>
    <w:p>
      <w:pPr>
        <w:pStyle w:val="Heading1"/>
      </w:pPr>
      <w:r>
        <w:rPr>
          <w:rFonts w:ascii="Times New Roman" w:hAnsi="Times New Roman" w:eastAsia="SimHei"/>
          <w:b/>
          <w:sz w:val="28"/>
        </w:rPr>
        <w:t>1 Introduction</w:t>
      </w:r>
    </w:p>
    <w:p>
      <w:pPr>
        <w:pStyle w:val="Heading2"/>
      </w:pPr>
      <w:r>
        <w:rPr>
          <w:rFonts w:ascii="Times New Roman" w:hAnsi="Times New Roman" w:eastAsia="SimHei"/>
          <w:b/>
          <w:sz w:val="26"/>
        </w:rPr>
        <w:t>1.1 Motivation</w:t>
      </w:r>
    </w:p>
    <w:p>
      <w:pPr>
        <w:spacing w:line="360" w:lineRule="auto"/>
        <w:ind w:firstLine="420"/>
        <w:jc w:val="both"/>
      </w:pPr>
      <w:r>
        <w:rPr>
          <w:rFonts w:ascii="Times New Roman" w:hAnsi="Times New Roman" w:eastAsia="Times New Roman"/>
          <w:b w:val="0"/>
          <w:sz w:val="24"/>
        </w:rPr>
        <w:t>China’s A-share market comprises over 5,000 listed companies across 31 Shenwan primary industries with a total market capitalization exceeding 80 trillion RMB. Different industries exhibit significantly divergent performance across macroeconomic cycles and market style regimes. For instance, during the global rate hike cycle of 2022, value-oriented sectors such as energy and banking outperformed, while tech-growth sectors suffered substantial drawdowns. Entering 2024–2025, the AI industry wave propelled electronics, computer, and communication stocks to market leadership. The central question facing investors is: how can industry allocation be guided scientifically across varying macroeconomic environments and market styles?</w:t>
      </w:r>
    </w:p>
    <w:p>
      <w:pPr>
        <w:spacing w:line="360" w:lineRule="auto"/>
        <w:ind w:firstLine="420"/>
        <w:jc w:val="both"/>
      </w:pPr>
      <w:r>
        <w:rPr>
          <w:rFonts w:ascii="Times New Roman" w:hAnsi="Times New Roman" w:eastAsia="Times New Roman"/>
          <w:b w:val="0"/>
          <w:sz w:val="24"/>
        </w:rPr>
        <w:t>Traditional industry research tends to rely on fundamental analysis (financial ratio comparison) or single-dimension technical indicators (relative strength). This approach overlooks two critical dimensions: first, the systematic influence of macroeconomic cycles on industry rotation (the Merrill Lynch Clock framework); second, the quantitative evidence at the factor level (how size, value, and momentum factors explain excess returns across different industries).</w:t>
      </w:r>
    </w:p>
    <w:p>
      <w:pPr>
        <w:spacing w:line="360" w:lineRule="auto"/>
        <w:ind w:firstLine="420"/>
        <w:jc w:val="both"/>
      </w:pPr>
      <w:r>
        <w:rPr>
          <w:rFonts w:ascii="Times New Roman" w:hAnsi="Times New Roman" w:eastAsia="Times New Roman"/>
          <w:b w:val="0"/>
          <w:sz w:val="24"/>
        </w:rPr>
        <w:t>This project’s core contribution is constructing a four-layer progressive analytical framework — Macro Environment → Industry Structure → Factor Attribution → Decision Support — and implementing it through a comprehensive data pipeline and 12 interactive visualizations to intuitively reveal the intrinsic patterns of industry rotation.</w:t>
      </w:r>
    </w:p>
    <w:p>
      <w:pPr>
        <w:pStyle w:val="Heading2"/>
      </w:pPr>
      <w:r>
        <w:rPr>
          <w:rFonts w:ascii="Times New Roman" w:hAnsi="Times New Roman" w:eastAsia="SimHei"/>
          <w:b/>
          <w:sz w:val="26"/>
        </w:rPr>
        <w:t>1.2 Research Objectives</w:t>
      </w:r>
    </w:p>
    <w:p>
      <w:pPr>
        <w:spacing w:line="360" w:lineRule="auto"/>
        <w:ind w:firstLine="420"/>
        <w:jc w:val="both"/>
      </w:pPr>
      <w:r>
        <w:rPr>
          <w:rFonts w:ascii="Times New Roman" w:hAnsi="Times New Roman" w:eastAsia="Times New Roman"/>
          <w:b w:val="0"/>
          <w:sz w:val="24"/>
        </w:rPr>
        <w:t>(1) Identify the relationship between macro cycles and industry rotation: classify economic cycle phases (Recovery, Overheat, Stagflation, Recession) using the Merrill Lynch Clock framework and observe which industries systematically outperform in each phase.</w:t>
      </w:r>
    </w:p>
    <w:p>
      <w:pPr>
        <w:spacing w:line="360" w:lineRule="auto"/>
        <w:ind w:firstLine="420"/>
        <w:jc w:val="both"/>
      </w:pPr>
      <w:r>
        <w:rPr>
          <w:rFonts w:ascii="Times New Roman" w:hAnsi="Times New Roman" w:eastAsia="Times New Roman"/>
          <w:b w:val="0"/>
          <w:sz w:val="24"/>
        </w:rPr>
        <w:t>(2) Quantify the explanatory power of style factors for industry returns: construct Size (SMB), Value (HML), and Momentum (MOM) factors and decompose industry excess returns.</w:t>
      </w:r>
    </w:p>
    <w:p>
      <w:pPr>
        <w:spacing w:line="360" w:lineRule="auto"/>
        <w:ind w:firstLine="420"/>
        <w:jc w:val="both"/>
      </w:pPr>
      <w:r>
        <w:rPr>
          <w:rFonts w:ascii="Times New Roman" w:hAnsi="Times New Roman" w:eastAsia="Times New Roman"/>
          <w:b w:val="0"/>
          <w:sz w:val="24"/>
        </w:rPr>
        <w:t>(3) Assess factor crowding risk: monitor crowding status through valuation spreads, within-factor correlations, and turnover concentration, providing early warning of potential factor crashes.</w:t>
      </w:r>
    </w:p>
    <w:p>
      <w:pPr>
        <w:spacing w:line="360" w:lineRule="auto"/>
        <w:ind w:firstLine="420"/>
        <w:jc w:val="both"/>
      </w:pPr>
      <w:r>
        <w:rPr>
          <w:rFonts w:ascii="Times New Roman" w:hAnsi="Times New Roman" w:eastAsia="Times New Roman"/>
          <w:b w:val="0"/>
          <w:sz w:val="24"/>
        </w:rPr>
        <w:t>(4) Build a visualization dashboard: integrate the above analyses into 12 interactive charts summarized in a single dashboard page with keyboard navigation and search.</w:t>
      </w:r>
    </w:p>
    <w:p>
      <w:pPr>
        <w:pStyle w:val="Heading2"/>
      </w:pPr>
      <w:r>
        <w:rPr>
          <w:rFonts w:ascii="Times New Roman" w:hAnsi="Times New Roman" w:eastAsia="SimHei"/>
          <w:b/>
          <w:sz w:val="26"/>
        </w:rPr>
        <w:t>1.3 Related Work</w:t>
      </w:r>
    </w:p>
    <w:p>
      <w:pPr>
        <w:spacing w:line="360" w:lineRule="auto"/>
        <w:ind w:firstLine="420"/>
        <w:jc w:val="both"/>
      </w:pPr>
      <w:r>
        <w:rPr>
          <w:rFonts w:ascii="Times New Roman" w:hAnsi="Times New Roman" w:eastAsia="Times New Roman"/>
          <w:b w:val="0"/>
          <w:sz w:val="24"/>
        </w:rPr>
        <w:t>Fama and French (1993) proposed the three-factor model (market, size, value), laying the theoretical foundation for factor investing. Jegadeesh and Titman (1993) documented the effectiveness of momentum strategies. The Merrill Lynch Investment Clock theory systematically links macroeconomic cycles with asset allocation strategies. In the A-share market context, scholars have explored the applicability of factor models in China, but comprehensive studies integrating factor attribution with interactive visualization remain relatively rare.</w:t>
      </w:r>
    </w:p>
    <w:p>
      <w:r>
        <w:br w:type="page"/>
      </w:r>
    </w:p>
    <w:p>
      <w:pPr>
        <w:pStyle w:val="Heading1"/>
      </w:pPr>
      <w:r>
        <w:rPr>
          <w:rFonts w:ascii="Times New Roman" w:hAnsi="Times New Roman" w:eastAsia="SimHei"/>
          <w:b/>
          <w:sz w:val="28"/>
        </w:rPr>
        <w:t>2 Data and Methodology</w:t>
      </w:r>
    </w:p>
    <w:p>
      <w:pPr>
        <w:pStyle w:val="Heading2"/>
      </w:pPr>
      <w:r>
        <w:rPr>
          <w:rFonts w:ascii="Times New Roman" w:hAnsi="Times New Roman" w:eastAsia="SimHei"/>
          <w:b/>
          <w:sz w:val="26"/>
        </w:rPr>
        <w:t>2.1 Data Sources</w:t>
      </w:r>
    </w:p>
    <w:p>
      <w:pPr>
        <w:spacing w:line="360" w:lineRule="auto"/>
        <w:ind w:firstLine="420"/>
        <w:jc w:val="both"/>
      </w:pPr>
      <w:r>
        <w:rPr>
          <w:rFonts w:ascii="Times New Roman" w:hAnsi="Times New Roman" w:eastAsia="Times New Roman"/>
          <w:b w:val="0"/>
          <w:sz w:val="24"/>
        </w:rPr>
        <w:t>All data originates from Tushare Pro (https://tushare.pro), the most widely used free financial data platform in China. The dataset covers 48 months from January 2022 to December 2025, encompassing approximately 5,400 A-share stocks. Raw data includes daily OHLCV, daily fundamentals (PE/PB/market cap/turnover), Shenwan industry classification, style index daily returns, and macroeconomic indicators (PMI/CPI/M2/social financing/treasury yields). The project utilizes 13 Tushare API interfaces, producing approximately 27,300 raw CSV files, which are processed into 13 analysis-ready CSVs.</w:t>
      </w:r>
    </w:p>
    <w:p>
      <w:pPr>
        <w:spacing w:line="360" w:lineRule="auto"/>
        <w:jc w:val="center"/>
      </w:pPr>
      <w:r>
        <w:rPr>
          <w:rFonts w:ascii="Times New Roman" w:hAnsi="Times New Roman" w:eastAsia="Times New Roman"/>
          <w:b/>
          <w:sz w:val="22"/>
        </w:rPr>
        <w:t>Table 1: Data Interfaces and Usage</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E8EDF2"/>
          </w:tcPr>
          <w:p>
            <w:pPr>
              <w:jc w:val="center"/>
            </w:pPr>
            <w:r>
              <w:rPr>
                <w:rFonts w:ascii="Times New Roman" w:hAnsi="Times New Roman" w:eastAsia="SimSun"/>
                <w:b/>
                <w:sz w:val="20"/>
              </w:rPr>
              <w:t>Interface</w:t>
            </w:r>
          </w:p>
        </w:tc>
        <w:tc>
          <w:tcPr>
            <w:tcW w:type="dxa" w:w="3118"/>
            <w:shd w:fill="E8EDF2"/>
          </w:tcPr>
          <w:p>
            <w:pPr>
              <w:jc w:val="center"/>
            </w:pPr>
            <w:r>
              <w:rPr>
                <w:rFonts w:ascii="Times New Roman" w:hAnsi="Times New Roman" w:eastAsia="SimSun"/>
                <w:b/>
                <w:sz w:val="20"/>
              </w:rPr>
              <w:t>Content</w:t>
            </w:r>
          </w:p>
        </w:tc>
        <w:tc>
          <w:tcPr>
            <w:tcW w:type="dxa" w:w="3118"/>
            <w:shd w:fill="E8EDF2"/>
          </w:tcPr>
          <w:p>
            <w:pPr>
              <w:jc w:val="center"/>
            </w:pPr>
            <w:r>
              <w:rPr>
                <w:rFonts w:ascii="Times New Roman" w:hAnsi="Times New Roman" w:eastAsia="SimSun"/>
                <w:b/>
                <w:sz w:val="20"/>
              </w:rPr>
              <w:t>Usage</w:t>
            </w:r>
          </w:p>
        </w:tc>
      </w:tr>
      <w:tr>
        <w:tc>
          <w:tcPr>
            <w:tcW w:type="dxa" w:w="1701"/>
          </w:tcPr>
          <w:p>
            <w:r>
              <w:rPr>
                <w:rFonts w:ascii="Times New Roman" w:hAnsi="Times New Roman" w:eastAsia="SimSun"/>
                <w:b w:val="0"/>
                <w:sz w:val="20"/>
              </w:rPr>
              <w:t>daily</w:t>
            </w:r>
          </w:p>
        </w:tc>
        <w:tc>
          <w:tcPr>
            <w:tcW w:type="dxa" w:w="3118"/>
          </w:tcPr>
          <w:p>
            <w:r>
              <w:rPr>
                <w:rFonts w:ascii="Times New Roman" w:hAnsi="Times New Roman" w:eastAsia="SimSun"/>
                <w:b w:val="0"/>
                <w:sz w:val="20"/>
              </w:rPr>
              <w:t>日线行情（开高低收、成交量、涨跌幅）</w:t>
            </w:r>
          </w:p>
        </w:tc>
        <w:tc>
          <w:tcPr>
            <w:tcW w:type="dxa" w:w="3118"/>
          </w:tcPr>
          <w:p>
            <w:r>
              <w:rPr>
                <w:rFonts w:ascii="Times New Roman" w:hAnsi="Times New Roman" w:eastAsia="SimSun"/>
                <w:b w:val="0"/>
                <w:sz w:val="20"/>
              </w:rPr>
              <w:t>计算个股/行业月度收益率</w:t>
            </w:r>
          </w:p>
        </w:tc>
      </w:tr>
      <w:tr>
        <w:tc>
          <w:tcPr>
            <w:tcW w:type="dxa" w:w="1701"/>
          </w:tcPr>
          <w:p>
            <w:r>
              <w:rPr>
                <w:rFonts w:ascii="Times New Roman" w:hAnsi="Times New Roman" w:eastAsia="SimSun"/>
                <w:b w:val="0"/>
                <w:sz w:val="20"/>
              </w:rPr>
              <w:t>daily_basic</w:t>
            </w:r>
          </w:p>
        </w:tc>
        <w:tc>
          <w:tcPr>
            <w:tcW w:type="dxa" w:w="3118"/>
          </w:tcPr>
          <w:p>
            <w:r>
              <w:rPr>
                <w:rFonts w:ascii="Times New Roman" w:hAnsi="Times New Roman" w:eastAsia="SimSun"/>
                <w:b w:val="0"/>
                <w:sz w:val="20"/>
              </w:rPr>
              <w:t>每日基本面（PE_TTM、PB、总市值、换手率）</w:t>
            </w:r>
          </w:p>
        </w:tc>
        <w:tc>
          <w:tcPr>
            <w:tcW w:type="dxa" w:w="3118"/>
          </w:tcPr>
          <w:p>
            <w:r>
              <w:rPr>
                <w:rFonts w:ascii="Times New Roman" w:hAnsi="Times New Roman" w:eastAsia="SimSun"/>
                <w:b w:val="0"/>
                <w:sz w:val="20"/>
              </w:rPr>
              <w:t>因子分组排序、拥挤度指标</w:t>
            </w:r>
          </w:p>
        </w:tc>
      </w:tr>
      <w:tr>
        <w:tc>
          <w:tcPr>
            <w:tcW w:type="dxa" w:w="1701"/>
          </w:tcPr>
          <w:p>
            <w:r>
              <w:rPr>
                <w:rFonts w:ascii="Times New Roman" w:hAnsi="Times New Roman" w:eastAsia="SimSun"/>
                <w:b w:val="0"/>
                <w:sz w:val="20"/>
              </w:rPr>
              <w:t>index_member_all</w:t>
            </w:r>
          </w:p>
        </w:tc>
        <w:tc>
          <w:tcPr>
            <w:tcW w:type="dxa" w:w="3118"/>
          </w:tcPr>
          <w:p>
            <w:r>
              <w:rPr>
                <w:rFonts w:ascii="Times New Roman" w:hAnsi="Times New Roman" w:eastAsia="SimSun"/>
                <w:b w:val="0"/>
                <w:sz w:val="20"/>
              </w:rPr>
              <w:t>申万行业指数成分股</w:t>
            </w:r>
          </w:p>
        </w:tc>
        <w:tc>
          <w:tcPr>
            <w:tcW w:type="dxa" w:w="3118"/>
          </w:tcPr>
          <w:p>
            <w:r>
              <w:rPr>
                <w:rFonts w:ascii="Times New Roman" w:hAnsi="Times New Roman" w:eastAsia="SimSun"/>
                <w:b w:val="0"/>
                <w:sz w:val="20"/>
              </w:rPr>
              <w:t>个股→31个一级行业映射</w:t>
            </w:r>
          </w:p>
        </w:tc>
      </w:tr>
      <w:tr>
        <w:tc>
          <w:tcPr>
            <w:tcW w:type="dxa" w:w="1701"/>
          </w:tcPr>
          <w:p>
            <w:r>
              <w:rPr>
                <w:rFonts w:ascii="Times New Roman" w:hAnsi="Times New Roman" w:eastAsia="SimSun"/>
                <w:b w:val="0"/>
                <w:sz w:val="20"/>
              </w:rPr>
              <w:t>index_daily</w:t>
            </w:r>
          </w:p>
        </w:tc>
        <w:tc>
          <w:tcPr>
            <w:tcW w:type="dxa" w:w="3118"/>
          </w:tcPr>
          <w:p>
            <w:r>
              <w:rPr>
                <w:rFonts w:ascii="Times New Roman" w:hAnsi="Times New Roman" w:eastAsia="SimSun"/>
                <w:b w:val="0"/>
                <w:sz w:val="20"/>
              </w:rPr>
              <w:t>风格指数日线</w:t>
            </w:r>
          </w:p>
        </w:tc>
        <w:tc>
          <w:tcPr>
            <w:tcW w:type="dxa" w:w="3118"/>
          </w:tcPr>
          <w:p>
            <w:r>
              <w:rPr>
                <w:rFonts w:ascii="Times New Roman" w:hAnsi="Times New Roman" w:eastAsia="SimSun"/>
                <w:b w:val="0"/>
                <w:sz w:val="20"/>
              </w:rPr>
              <w:t>大小盘/价值成长风格判断</w:t>
            </w:r>
          </w:p>
        </w:tc>
      </w:tr>
      <w:tr>
        <w:tc>
          <w:tcPr>
            <w:tcW w:type="dxa" w:w="1701"/>
          </w:tcPr>
          <w:p>
            <w:r>
              <w:rPr>
                <w:rFonts w:ascii="Times New Roman" w:hAnsi="Times New Roman" w:eastAsia="SimSun"/>
                <w:b w:val="0"/>
                <w:sz w:val="20"/>
              </w:rPr>
              <w:t>adj_factor</w:t>
            </w:r>
          </w:p>
        </w:tc>
        <w:tc>
          <w:tcPr>
            <w:tcW w:type="dxa" w:w="3118"/>
          </w:tcPr>
          <w:p>
            <w:r>
              <w:rPr>
                <w:rFonts w:ascii="Times New Roman" w:hAnsi="Times New Roman" w:eastAsia="SimSun"/>
                <w:b w:val="0"/>
                <w:sz w:val="20"/>
              </w:rPr>
              <w:t>复权因子</w:t>
            </w:r>
          </w:p>
        </w:tc>
        <w:tc>
          <w:tcPr>
            <w:tcW w:type="dxa" w:w="3118"/>
          </w:tcPr>
          <w:p>
            <w:r>
              <w:rPr>
                <w:rFonts w:ascii="Times New Roman" w:hAnsi="Times New Roman" w:eastAsia="SimSun"/>
                <w:b w:val="0"/>
                <w:sz w:val="20"/>
              </w:rPr>
              <w:t>精确收益率计算</w:t>
            </w:r>
          </w:p>
        </w:tc>
      </w:tr>
      <w:tr>
        <w:tc>
          <w:tcPr>
            <w:tcW w:type="dxa" w:w="1701"/>
          </w:tcPr>
          <w:p>
            <w:r>
              <w:rPr>
                <w:rFonts w:ascii="Times New Roman" w:hAnsi="Times New Roman" w:eastAsia="SimSun"/>
                <w:b w:val="0"/>
                <w:sz w:val="20"/>
              </w:rPr>
              <w:t>cn_pmi</w:t>
            </w:r>
          </w:p>
        </w:tc>
        <w:tc>
          <w:tcPr>
            <w:tcW w:type="dxa" w:w="3118"/>
          </w:tcPr>
          <w:p>
            <w:r>
              <w:rPr>
                <w:rFonts w:ascii="Times New Roman" w:hAnsi="Times New Roman" w:eastAsia="SimSun"/>
                <w:b w:val="0"/>
                <w:sz w:val="20"/>
              </w:rPr>
              <w:t>制造业PMI（月度）</w:t>
            </w:r>
          </w:p>
        </w:tc>
        <w:tc>
          <w:tcPr>
            <w:tcW w:type="dxa" w:w="3118"/>
          </w:tcPr>
          <w:p>
            <w:r>
              <w:rPr>
                <w:rFonts w:ascii="Times New Roman" w:hAnsi="Times New Roman" w:eastAsia="SimSun"/>
                <w:b w:val="0"/>
                <w:sz w:val="20"/>
              </w:rPr>
              <w:t>宏观周期判定（增长维度）</w:t>
            </w:r>
          </w:p>
        </w:tc>
      </w:tr>
      <w:tr>
        <w:tc>
          <w:tcPr>
            <w:tcW w:type="dxa" w:w="1701"/>
          </w:tcPr>
          <w:p>
            <w:r>
              <w:rPr>
                <w:rFonts w:ascii="Times New Roman" w:hAnsi="Times New Roman" w:eastAsia="SimSun"/>
                <w:b w:val="0"/>
                <w:sz w:val="20"/>
              </w:rPr>
              <w:t>cn_cpi</w:t>
            </w:r>
          </w:p>
        </w:tc>
        <w:tc>
          <w:tcPr>
            <w:tcW w:type="dxa" w:w="3118"/>
          </w:tcPr>
          <w:p>
            <w:r>
              <w:rPr>
                <w:rFonts w:ascii="Times New Roman" w:hAnsi="Times New Roman" w:eastAsia="SimSun"/>
                <w:b w:val="0"/>
                <w:sz w:val="20"/>
              </w:rPr>
              <w:t>CPI同比（月度）</w:t>
            </w:r>
          </w:p>
        </w:tc>
        <w:tc>
          <w:tcPr>
            <w:tcW w:type="dxa" w:w="3118"/>
          </w:tcPr>
          <w:p>
            <w:r>
              <w:rPr>
                <w:rFonts w:ascii="Times New Roman" w:hAnsi="Times New Roman" w:eastAsia="SimSun"/>
                <w:b w:val="0"/>
                <w:sz w:val="20"/>
              </w:rPr>
              <w:t>宏观周期判定（通胀维度）</w:t>
            </w:r>
          </w:p>
        </w:tc>
      </w:tr>
      <w:tr>
        <w:tc>
          <w:tcPr>
            <w:tcW w:type="dxa" w:w="1701"/>
          </w:tcPr>
          <w:p>
            <w:r>
              <w:rPr>
                <w:rFonts w:ascii="Times New Roman" w:hAnsi="Times New Roman" w:eastAsia="SimSun"/>
                <w:b w:val="0"/>
                <w:sz w:val="20"/>
              </w:rPr>
              <w:t>cn_bond</w:t>
            </w:r>
          </w:p>
        </w:tc>
        <w:tc>
          <w:tcPr>
            <w:tcW w:type="dxa" w:w="3118"/>
          </w:tcPr>
          <w:p>
            <w:r>
              <w:rPr>
                <w:rFonts w:ascii="Times New Roman" w:hAnsi="Times New Roman" w:eastAsia="SimSun"/>
                <w:b w:val="0"/>
                <w:sz w:val="20"/>
              </w:rPr>
              <w:t>国债收益率（10年期）</w:t>
            </w:r>
          </w:p>
        </w:tc>
        <w:tc>
          <w:tcPr>
            <w:tcW w:type="dxa" w:w="3118"/>
          </w:tcPr>
          <w:p>
            <w:r>
              <w:rPr>
                <w:rFonts w:ascii="Times New Roman" w:hAnsi="Times New Roman" w:eastAsia="SimSun"/>
                <w:b w:val="0"/>
                <w:sz w:val="20"/>
              </w:rPr>
              <w:t>宏观流动性确认</w:t>
            </w:r>
          </w:p>
        </w:tc>
      </w:tr>
      <w:tr>
        <w:tc>
          <w:tcPr>
            <w:tcW w:type="dxa" w:w="1701"/>
          </w:tcPr>
          <w:p>
            <w:r>
              <w:rPr>
                <w:rFonts w:ascii="Times New Roman" w:hAnsi="Times New Roman" w:eastAsia="SimSun"/>
                <w:b w:val="0"/>
                <w:sz w:val="20"/>
              </w:rPr>
              <w:t>cn_social</w:t>
            </w:r>
          </w:p>
        </w:tc>
        <w:tc>
          <w:tcPr>
            <w:tcW w:type="dxa" w:w="3118"/>
          </w:tcPr>
          <w:p>
            <w:r>
              <w:rPr>
                <w:rFonts w:ascii="Times New Roman" w:hAnsi="Times New Roman" w:eastAsia="SimSun"/>
                <w:b w:val="0"/>
                <w:sz w:val="20"/>
              </w:rPr>
              <w:t>社融规模存量同比</w:t>
            </w:r>
          </w:p>
        </w:tc>
        <w:tc>
          <w:tcPr>
            <w:tcW w:type="dxa" w:w="3118"/>
          </w:tcPr>
          <w:p>
            <w:r>
              <w:rPr>
                <w:rFonts w:ascii="Times New Roman" w:hAnsi="Times New Roman" w:eastAsia="SimSun"/>
                <w:b w:val="0"/>
                <w:sz w:val="20"/>
              </w:rPr>
              <w:t>宏观流动性确认</w:t>
            </w:r>
          </w:p>
        </w:tc>
      </w:tr>
      <w:tr>
        <w:tc>
          <w:tcPr>
            <w:tcW w:type="dxa" w:w="1701"/>
          </w:tcPr>
          <w:p>
            <w:r>
              <w:rPr>
                <w:rFonts w:ascii="Times New Roman" w:hAnsi="Times New Roman" w:eastAsia="SimSun"/>
                <w:b w:val="0"/>
                <w:sz w:val="20"/>
              </w:rPr>
              <w:t>cn_m</w:t>
            </w:r>
          </w:p>
        </w:tc>
        <w:tc>
          <w:tcPr>
            <w:tcW w:type="dxa" w:w="3118"/>
          </w:tcPr>
          <w:p>
            <w:r>
              <w:rPr>
                <w:rFonts w:ascii="Times New Roman" w:hAnsi="Times New Roman" w:eastAsia="SimSun"/>
                <w:b w:val="0"/>
                <w:sz w:val="20"/>
              </w:rPr>
              <w:t>M2货币供应量</w:t>
            </w:r>
          </w:p>
        </w:tc>
        <w:tc>
          <w:tcPr>
            <w:tcW w:type="dxa" w:w="3118"/>
          </w:tcPr>
          <w:p>
            <w:r>
              <w:rPr>
                <w:rFonts w:ascii="Times New Roman" w:hAnsi="Times New Roman" w:eastAsia="SimSun"/>
                <w:b w:val="0"/>
                <w:sz w:val="20"/>
              </w:rPr>
              <w:t>宏观流动性环境</w:t>
            </w:r>
          </w:p>
        </w:tc>
      </w:tr>
      <w:tr>
        <w:tc>
          <w:tcPr>
            <w:tcW w:type="dxa" w:w="1701"/>
          </w:tcPr>
          <w:p>
            <w:r>
              <w:rPr>
                <w:rFonts w:ascii="Times New Roman" w:hAnsi="Times New Roman" w:eastAsia="SimSun"/>
                <w:b w:val="0"/>
                <w:sz w:val="20"/>
              </w:rPr>
              <w:t>moneyflow</w:t>
            </w:r>
          </w:p>
        </w:tc>
        <w:tc>
          <w:tcPr>
            <w:tcW w:type="dxa" w:w="3118"/>
          </w:tcPr>
          <w:p>
            <w:r>
              <w:rPr>
                <w:rFonts w:ascii="Times New Roman" w:hAnsi="Times New Roman" w:eastAsia="SimSun"/>
                <w:b w:val="0"/>
                <w:sz w:val="20"/>
              </w:rPr>
              <w:t>个股资金流向</w:t>
            </w:r>
          </w:p>
        </w:tc>
        <w:tc>
          <w:tcPr>
            <w:tcW w:type="dxa" w:w="3118"/>
          </w:tcPr>
          <w:p>
            <w:r>
              <w:rPr>
                <w:rFonts w:ascii="Times New Roman" w:hAnsi="Times New Roman" w:eastAsia="SimSun"/>
                <w:b w:val="0"/>
                <w:sz w:val="20"/>
              </w:rPr>
              <w:t>因子拥挤度计算</w:t>
            </w:r>
          </w:p>
        </w:tc>
      </w:tr>
      <w:tr>
        <w:tc>
          <w:tcPr>
            <w:tcW w:type="dxa" w:w="1701"/>
          </w:tcPr>
          <w:p>
            <w:r>
              <w:rPr>
                <w:rFonts w:ascii="Times New Roman" w:hAnsi="Times New Roman" w:eastAsia="SimSun"/>
                <w:b w:val="0"/>
                <w:sz w:val="20"/>
              </w:rPr>
              <w:t>index_classify</w:t>
            </w:r>
          </w:p>
        </w:tc>
        <w:tc>
          <w:tcPr>
            <w:tcW w:type="dxa" w:w="3118"/>
          </w:tcPr>
          <w:p>
            <w:r>
              <w:rPr>
                <w:rFonts w:ascii="Times New Roman" w:hAnsi="Times New Roman" w:eastAsia="SimSun"/>
                <w:b w:val="0"/>
                <w:sz w:val="20"/>
              </w:rPr>
              <w:t>申万行业分类</w:t>
            </w:r>
          </w:p>
        </w:tc>
        <w:tc>
          <w:tcPr>
            <w:tcW w:type="dxa" w:w="3118"/>
          </w:tcPr>
          <w:p>
            <w:r>
              <w:rPr>
                <w:rFonts w:ascii="Times New Roman" w:hAnsi="Times New Roman" w:eastAsia="SimSun"/>
                <w:b w:val="0"/>
                <w:sz w:val="20"/>
              </w:rPr>
              <w:t>行业分类校验</w:t>
            </w:r>
          </w:p>
        </w:tc>
      </w:tr>
      <w:tr>
        <w:tc>
          <w:tcPr>
            <w:tcW w:type="dxa" w:w="1701"/>
          </w:tcPr>
          <w:p>
            <w:r>
              <w:rPr>
                <w:rFonts w:ascii="Times New Roman" w:hAnsi="Times New Roman" w:eastAsia="SimSun"/>
                <w:b w:val="0"/>
                <w:sz w:val="20"/>
              </w:rPr>
              <w:t>trade_cal</w:t>
            </w:r>
          </w:p>
        </w:tc>
        <w:tc>
          <w:tcPr>
            <w:tcW w:type="dxa" w:w="3118"/>
          </w:tcPr>
          <w:p>
            <w:r>
              <w:rPr>
                <w:rFonts w:ascii="Times New Roman" w:hAnsi="Times New Roman" w:eastAsia="SimSun"/>
                <w:b w:val="0"/>
                <w:sz w:val="20"/>
              </w:rPr>
              <w:t>交易日历</w:t>
            </w:r>
          </w:p>
        </w:tc>
        <w:tc>
          <w:tcPr>
            <w:tcW w:type="dxa" w:w="3118"/>
          </w:tcPr>
          <w:p>
            <w:r>
              <w:rPr>
                <w:rFonts w:ascii="Times New Roman" w:hAnsi="Times New Roman" w:eastAsia="SimSun"/>
                <w:b w:val="0"/>
                <w:sz w:val="20"/>
              </w:rPr>
              <w:t>日期对齐</w:t>
            </w:r>
          </w:p>
        </w:tc>
      </w:tr>
    </w:tbl>
    <w:p/>
    <w:p>
      <w:pPr>
        <w:pStyle w:val="Heading2"/>
      </w:pPr>
      <w:r>
        <w:rPr>
          <w:rFonts w:ascii="Times New Roman" w:hAnsi="Times New Roman" w:eastAsia="SimHei"/>
          <w:b/>
          <w:sz w:val="26"/>
        </w:rPr>
        <w:t>2.2 Data Preprocessing</w:t>
      </w:r>
    </w:p>
    <w:p>
      <w:pPr>
        <w:spacing w:line="360" w:lineRule="auto"/>
        <w:ind w:firstLine="420"/>
        <w:jc w:val="both"/>
      </w:pPr>
      <w:r>
        <w:rPr>
          <w:rFonts w:ascii="Times New Roman" w:hAnsi="Times New Roman" w:eastAsia="Times New Roman"/>
          <w:b w:val="0"/>
          <w:sz w:val="24"/>
        </w:rPr>
        <w:t>(1) Missing values: individual stock fundamentals occasionally lack PE/PB values. For monthly aggregation, the last valid end-of-month value is used.</w:t>
      </w:r>
    </w:p>
    <w:p>
      <w:pPr>
        <w:spacing w:line="360" w:lineRule="auto"/>
        <w:ind w:firstLine="420"/>
        <w:jc w:val="both"/>
      </w:pPr>
      <w:r>
        <w:rPr>
          <w:rFonts w:ascii="Times New Roman" w:hAnsi="Times New Roman" w:eastAsia="Times New Roman"/>
          <w:b w:val="0"/>
          <w:sz w:val="24"/>
        </w:rPr>
        <w:t>(2) Outlier detection: records with daily price changes exceeding ±11% are removed. Records with negative market cap or PB are discarded.</w:t>
      </w:r>
    </w:p>
    <w:p>
      <w:pPr>
        <w:spacing w:line="360" w:lineRule="auto"/>
        <w:ind w:firstLine="420"/>
        <w:jc w:val="both"/>
      </w:pPr>
      <w:r>
        <w:rPr>
          <w:rFonts w:ascii="Times New Roman" w:hAnsi="Times New Roman" w:eastAsia="Times New Roman"/>
          <w:b w:val="0"/>
          <w:sz w:val="24"/>
        </w:rPr>
        <w:t>(3) Industry mapping: stocks are mapped to their Shenwan primary industry via index constituent files. Format inconsistencies in stock codes are normalized.</w:t>
      </w:r>
    </w:p>
    <w:p>
      <w:pPr>
        <w:spacing w:line="360" w:lineRule="auto"/>
        <w:ind w:firstLine="420"/>
        <w:jc w:val="both"/>
      </w:pPr>
      <w:r>
        <w:rPr>
          <w:rFonts w:ascii="Times New Roman" w:hAnsi="Times New Roman" w:eastAsia="Times New Roman"/>
          <w:b w:val="0"/>
          <w:sz w:val="24"/>
        </w:rPr>
        <w:t>(4) Monthly aggregation: daily returns are geometrically compounded: R_m = ∏(1+r_d)−1. End-of-month PE/PB/market cap/turnover values are used as monthly representatives.</w:t>
      </w:r>
    </w:p>
    <w:p>
      <w:pPr>
        <w:pStyle w:val="Heading2"/>
      </w:pPr>
      <w:r>
        <w:rPr>
          <w:rFonts w:ascii="Times New Roman" w:hAnsi="Times New Roman" w:eastAsia="SimHei"/>
          <w:b/>
          <w:sz w:val="26"/>
        </w:rPr>
        <w:t>2.3 Factor Construction</w:t>
      </w:r>
    </w:p>
    <w:p>
      <w:pPr>
        <w:spacing w:line="360" w:lineRule="auto"/>
        <w:ind w:firstLine="420"/>
        <w:jc w:val="both"/>
      </w:pPr>
      <w:r>
        <w:rPr>
          <w:rFonts w:ascii="Times New Roman" w:hAnsi="Times New Roman" w:eastAsia="Times New Roman"/>
          <w:b w:val="0"/>
          <w:sz w:val="24"/>
        </w:rPr>
        <w:t>Factor returns are computed using the cross-sectional portfolio sort (long-short) method. At each month-end, all stocks are ranked by the target characteristic and split into quintiles. The top 30% minus bottom 30% equal-weighted return constitutes the factor return. Size factor (SMB) sorts by total market cap; Value factor (HML) sorts by PB ratio; Momentum factor (MOM) sorts by trailing 12-month cumulative return. The market factor (Rm) is the equal-weighted average of all stocks.</w:t>
      </w:r>
    </w:p>
    <w:p>
      <w:pPr>
        <w:pStyle w:val="Heading2"/>
      </w:pPr>
      <w:r>
        <w:rPr>
          <w:rFonts w:ascii="Times New Roman" w:hAnsi="Times New Roman" w:eastAsia="SimHei"/>
          <w:b/>
          <w:sz w:val="26"/>
        </w:rPr>
        <w:t>2.4 Macro Cycle Classification</w:t>
      </w:r>
    </w:p>
    <w:p>
      <w:pPr>
        <w:spacing w:line="360" w:lineRule="auto"/>
        <w:ind w:firstLine="420"/>
        <w:jc w:val="both"/>
      </w:pPr>
      <w:r>
        <w:rPr>
          <w:rFonts w:ascii="Times New Roman" w:hAnsi="Times New Roman" w:eastAsia="Times New Roman"/>
          <w:b w:val="0"/>
          <w:sz w:val="24"/>
        </w:rPr>
        <w:t>Based on the Merrill Lynch Clock framework, a rule engine classifies economic cycle phases: economic direction is determined by the 12-month moving average of PMI (expanding/contracting); inflation direction is determined by CPI year-over-year momentum (rising/falling). Recovery = PMI↑ + CPI↓; Overheat = PMI↑ + CPI↑; Stagflation = PMI↓ + CPI↑; Recession = PMI↓ + CPI↓. Social financing growth confirms economic direction; 10Y treasury yields confirm inflation expectations. Confidence is downgraded when signals conflict.</w:t>
      </w:r>
    </w:p>
    <w:p>
      <w:r>
        <w:br w:type="page"/>
      </w:r>
    </w:p>
    <w:p>
      <w:pPr>
        <w:pStyle w:val="Heading1"/>
      </w:pPr>
      <w:r>
        <w:rPr>
          <w:rFonts w:ascii="Times New Roman" w:hAnsi="Times New Roman" w:eastAsia="SimHei"/>
          <w:b/>
          <w:sz w:val="28"/>
        </w:rPr>
        <w:t>3 Visualization Design</w:t>
      </w:r>
    </w:p>
    <w:p>
      <w:pPr>
        <w:pStyle w:val="Heading2"/>
      </w:pPr>
      <w:r>
        <w:rPr>
          <w:rFonts w:ascii="Times New Roman" w:hAnsi="Times New Roman" w:eastAsia="SimHei"/>
          <w:b/>
          <w:sz w:val="26"/>
        </w:rPr>
        <w:t>3.1 Analytical Framework</w:t>
      </w:r>
    </w:p>
    <w:p>
      <w:pPr>
        <w:spacing w:line="360" w:lineRule="auto"/>
        <w:ind w:firstLine="420"/>
        <w:jc w:val="both"/>
      </w:pPr>
      <w:r>
        <w:rPr>
          <w:rFonts w:ascii="Times New Roman" w:hAnsi="Times New Roman" w:eastAsia="Times New Roman"/>
          <w:b w:val="0"/>
          <w:sz w:val="24"/>
        </w:rPr>
        <w:t>The four-layer framework proceeds progressively: the Macro Environment layer (Charts 1–2) covers economic cycle classification and style rotation; the Industry Structure layer (Charts 3–5) reveals rotation patterns and inter-industry correlation/community structures; the Factor Attribution layer (Charts 6–8) quantifies factor explanatory power and monitors crowding risk; the Decision Support layer (Charts 9–12) integrates prior results to provide direct investment decision support.</w:t>
      </w:r>
    </w:p>
    <w:p>
      <w:pPr>
        <w:spacing w:line="360" w:lineRule="auto"/>
        <w:ind w:firstLine="420"/>
        <w:jc w:val="both"/>
      </w:pPr>
      <w:r>
        <w:rPr>
          <w:rFonts w:ascii="Times New Roman" w:hAnsi="Times New Roman" w:eastAsia="Times New Roman"/>
          <w:b w:val="0"/>
          <w:sz w:val="24"/>
        </w:rPr>
        <w:t>Clear data flow dependencies exist across charts: Chart 1 outputs cycle phase labels to Charts 2, 3 and 9; Chart 3’s industry win-rate matrix feeds Chart 10; Chart 5’s community labels feed Chart 6; Chart 6’s factor exposures feed Chart 7; Chart 7’s marginal contributions feed back to Chart 8; all alert signals are aggregated in Chart 12.</w:t>
      </w:r>
    </w:p>
    <w:p>
      <w:pPr>
        <w:spacing w:line="360" w:lineRule="auto"/>
        <w:jc w:val="center"/>
      </w:pPr>
      <w:r>
        <w:rPr>
          <w:rFonts w:ascii="Times New Roman" w:hAnsi="Times New Roman" w:eastAsia="Times New Roman"/>
          <w:b/>
          <w:sz w:val="22"/>
        </w:rPr>
        <w:t>Table 2: Chart Type Selection by Analytical Layer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87"/>
            <w:shd w:fill="E8EDF2"/>
          </w:tcPr>
          <w:p>
            <w:pPr>
              <w:jc w:val="center"/>
            </w:pPr>
            <w:r>
              <w:rPr>
                <w:rFonts w:ascii="Times New Roman" w:hAnsi="Times New Roman" w:eastAsia="SimSun"/>
                <w:b/>
                <w:sz w:val="20"/>
              </w:rPr>
              <w:t>Layer</w:t>
            </w:r>
          </w:p>
        </w:tc>
        <w:tc>
          <w:tcPr>
            <w:tcW w:type="dxa" w:w="737"/>
            <w:shd w:fill="E8EDF2"/>
          </w:tcPr>
          <w:p>
            <w:pPr>
              <w:jc w:val="center"/>
            </w:pPr>
            <w:r>
              <w:rPr>
                <w:rFonts w:ascii="Times New Roman" w:hAnsi="Times New Roman" w:eastAsia="SimSun"/>
                <w:b/>
                <w:sz w:val="20"/>
              </w:rPr>
              <w:t>Chart</w:t>
            </w:r>
          </w:p>
        </w:tc>
        <w:tc>
          <w:tcPr>
            <w:tcW w:type="dxa" w:w="1814"/>
            <w:shd w:fill="E8EDF2"/>
          </w:tcPr>
          <w:p>
            <w:pPr>
              <w:jc w:val="center"/>
            </w:pPr>
            <w:r>
              <w:rPr>
                <w:rFonts w:ascii="Times New Roman" w:hAnsi="Times New Roman" w:eastAsia="SimSun"/>
                <w:b/>
                <w:sz w:val="20"/>
              </w:rPr>
              <w:t>Type</w:t>
            </w:r>
          </w:p>
        </w:tc>
        <w:tc>
          <w:tcPr>
            <w:tcW w:type="dxa" w:w="3798"/>
            <w:shd w:fill="E8EDF2"/>
          </w:tcPr>
          <w:p>
            <w:pPr>
              <w:jc w:val="center"/>
            </w:pPr>
            <w:r>
              <w:rPr>
                <w:rFonts w:ascii="Times New Roman" w:hAnsi="Times New Roman" w:eastAsia="SimSun"/>
                <w:b/>
                <w:sz w:val="20"/>
              </w:rPr>
              <w:t>Core Function</w:t>
            </w:r>
          </w:p>
        </w:tc>
      </w:tr>
      <w:tr>
        <w:tc>
          <w:tcPr>
            <w:tcW w:type="dxa" w:w="1587"/>
          </w:tcPr>
          <w:p>
            <w:r>
              <w:rPr>
                <w:rFonts w:ascii="Times New Roman" w:hAnsi="Times New Roman" w:eastAsia="SimSun"/>
                <w:b w:val="0"/>
                <w:sz w:val="20"/>
              </w:rPr>
              <w:t>Macro Env.</w:t>
            </w:r>
          </w:p>
        </w:tc>
        <w:tc>
          <w:tcPr>
            <w:tcW w:type="dxa" w:w="737"/>
          </w:tcPr>
          <w:p>
            <w:r>
              <w:rPr>
                <w:rFonts w:ascii="Times New Roman" w:hAnsi="Times New Roman" w:eastAsia="SimSun"/>
                <w:b w:val="0"/>
                <w:sz w:val="20"/>
              </w:rPr>
              <w:t>Ch.1</w:t>
            </w:r>
          </w:p>
        </w:tc>
        <w:tc>
          <w:tcPr>
            <w:tcW w:type="dxa" w:w="1814"/>
          </w:tcPr>
          <w:p>
            <w:r>
              <w:rPr>
                <w:rFonts w:ascii="Times New Roman" w:hAnsi="Times New Roman" w:eastAsia="SimSun"/>
                <w:b w:val="0"/>
                <w:sz w:val="20"/>
              </w:rPr>
              <w:t>Gauge</w:t>
            </w:r>
          </w:p>
        </w:tc>
        <w:tc>
          <w:tcPr>
            <w:tcW w:type="dxa" w:w="3798"/>
          </w:tcPr>
          <w:p>
            <w:r>
              <w:rPr>
                <w:rFonts w:ascii="Times New Roman" w:hAnsi="Times New Roman" w:eastAsia="SimSun"/>
                <w:b w:val="0"/>
                <w:sz w:val="20"/>
              </w:rPr>
              <w:t>Synthesis of economic cycle phase</w:t>
            </w:r>
          </w:p>
        </w:tc>
      </w:tr>
      <w:tr>
        <w:tc>
          <w:tcPr>
            <w:tcW w:type="dxa" w:w="1587"/>
          </w:tcPr>
          <w:p>
            <w:r>
              <w:rPr>
                <w:rFonts w:ascii="Times New Roman" w:hAnsi="Times New Roman" w:eastAsia="SimSun"/>
                <w:b w:val="0"/>
                <w:sz w:val="20"/>
              </w:rPr>
            </w:r>
          </w:p>
        </w:tc>
        <w:tc>
          <w:tcPr>
            <w:tcW w:type="dxa" w:w="737"/>
          </w:tcPr>
          <w:p>
            <w:r>
              <w:rPr>
                <w:rFonts w:ascii="Times New Roman" w:hAnsi="Times New Roman" w:eastAsia="SimSun"/>
                <w:b w:val="0"/>
                <w:sz w:val="20"/>
              </w:rPr>
              <w:t>Ch.2</w:t>
            </w:r>
          </w:p>
        </w:tc>
        <w:tc>
          <w:tcPr>
            <w:tcW w:type="dxa" w:w="1814"/>
          </w:tcPr>
          <w:p>
            <w:r>
              <w:rPr>
                <w:rFonts w:ascii="Times New Roman" w:hAnsi="Times New Roman" w:eastAsia="SimSun"/>
                <w:b w:val="0"/>
                <w:sz w:val="20"/>
              </w:rPr>
              <w:t>Quadrant Scatter</w:t>
            </w:r>
          </w:p>
        </w:tc>
        <w:tc>
          <w:tcPr>
            <w:tcW w:type="dxa" w:w="3798"/>
          </w:tcPr>
          <w:p>
            <w:r>
              <w:rPr>
                <w:rFonts w:ascii="Times New Roman" w:hAnsi="Times New Roman" w:eastAsia="SimSun"/>
                <w:b w:val="0"/>
                <w:sz w:val="20"/>
              </w:rPr>
              <w:t>Style drift direction</w:t>
            </w:r>
          </w:p>
        </w:tc>
      </w:tr>
      <w:tr>
        <w:tc>
          <w:tcPr>
            <w:tcW w:type="dxa" w:w="1587"/>
          </w:tcPr>
          <w:p>
            <w:r>
              <w:rPr>
                <w:rFonts w:ascii="Times New Roman" w:hAnsi="Times New Roman" w:eastAsia="SimSun"/>
                <w:b w:val="0"/>
                <w:sz w:val="20"/>
              </w:rPr>
              <w:t>Industry Structure</w:t>
            </w:r>
          </w:p>
        </w:tc>
        <w:tc>
          <w:tcPr>
            <w:tcW w:type="dxa" w:w="737"/>
          </w:tcPr>
          <w:p>
            <w:r>
              <w:rPr>
                <w:rFonts w:ascii="Times New Roman" w:hAnsi="Times New Roman" w:eastAsia="SimSun"/>
                <w:b w:val="0"/>
                <w:sz w:val="20"/>
              </w:rPr>
              <w:t>Ch.3</w:t>
            </w:r>
          </w:p>
        </w:tc>
        <w:tc>
          <w:tcPr>
            <w:tcW w:type="dxa" w:w="1814"/>
          </w:tcPr>
          <w:p>
            <w:r>
              <w:rPr>
                <w:rFonts w:ascii="Times New Roman" w:hAnsi="Times New Roman" w:eastAsia="SimSun"/>
                <w:b w:val="0"/>
                <w:sz w:val="20"/>
              </w:rPr>
              <w:t>Calendar Heatmap</w:t>
            </w:r>
          </w:p>
        </w:tc>
        <w:tc>
          <w:tcPr>
            <w:tcW w:type="dxa" w:w="3798"/>
          </w:tcPr>
          <w:p>
            <w:r>
              <w:rPr>
                <w:rFonts w:ascii="Times New Roman" w:hAnsi="Times New Roman" w:eastAsia="SimSun"/>
                <w:b w:val="0"/>
                <w:sz w:val="20"/>
              </w:rPr>
              <w:t>Monthly industry rankings</w:t>
            </w:r>
          </w:p>
        </w:tc>
      </w:tr>
      <w:tr>
        <w:tc>
          <w:tcPr>
            <w:tcW w:type="dxa" w:w="1587"/>
          </w:tcPr>
          <w:p>
            <w:r>
              <w:rPr>
                <w:rFonts w:ascii="Times New Roman" w:hAnsi="Times New Roman" w:eastAsia="SimSun"/>
                <w:b w:val="0"/>
                <w:sz w:val="20"/>
              </w:rPr>
            </w:r>
          </w:p>
        </w:tc>
        <w:tc>
          <w:tcPr>
            <w:tcW w:type="dxa" w:w="737"/>
          </w:tcPr>
          <w:p>
            <w:r>
              <w:rPr>
                <w:rFonts w:ascii="Times New Roman" w:hAnsi="Times New Roman" w:eastAsia="SimSun"/>
                <w:b w:val="0"/>
                <w:sz w:val="20"/>
              </w:rPr>
              <w:t>Ch.4</w:t>
            </w:r>
          </w:p>
        </w:tc>
        <w:tc>
          <w:tcPr>
            <w:tcW w:type="dxa" w:w="1814"/>
          </w:tcPr>
          <w:p>
            <w:r>
              <w:rPr>
                <w:rFonts w:ascii="Times New Roman" w:hAnsi="Times New Roman" w:eastAsia="SimSun"/>
                <w:b w:val="0"/>
                <w:sz w:val="20"/>
              </w:rPr>
              <w:t>Dynamic Bubble</w:t>
            </w:r>
          </w:p>
        </w:tc>
        <w:tc>
          <w:tcPr>
            <w:tcW w:type="dxa" w:w="3798"/>
          </w:tcPr>
          <w:p>
            <w:r>
              <w:rPr>
                <w:rFonts w:ascii="Times New Roman" w:hAnsi="Times New Roman" w:eastAsia="SimSun"/>
                <w:b w:val="0"/>
                <w:sz w:val="20"/>
              </w:rPr>
              <w:t>Risk-return migration</w:t>
            </w:r>
          </w:p>
        </w:tc>
      </w:tr>
      <w:tr>
        <w:tc>
          <w:tcPr>
            <w:tcW w:type="dxa" w:w="1587"/>
          </w:tcPr>
          <w:p>
            <w:r>
              <w:rPr>
                <w:rFonts w:ascii="Times New Roman" w:hAnsi="Times New Roman" w:eastAsia="SimSun"/>
                <w:b w:val="0"/>
                <w:sz w:val="20"/>
              </w:rPr>
            </w:r>
          </w:p>
        </w:tc>
        <w:tc>
          <w:tcPr>
            <w:tcW w:type="dxa" w:w="737"/>
          </w:tcPr>
          <w:p>
            <w:r>
              <w:rPr>
                <w:rFonts w:ascii="Times New Roman" w:hAnsi="Times New Roman" w:eastAsia="SimSun"/>
                <w:b w:val="0"/>
                <w:sz w:val="20"/>
              </w:rPr>
              <w:t>Ch.5</w:t>
            </w:r>
          </w:p>
        </w:tc>
        <w:tc>
          <w:tcPr>
            <w:tcW w:type="dxa" w:w="1814"/>
          </w:tcPr>
          <w:p>
            <w:r>
              <w:rPr>
                <w:rFonts w:ascii="Times New Roman" w:hAnsi="Times New Roman" w:eastAsia="SimSun"/>
                <w:b w:val="0"/>
                <w:sz w:val="20"/>
              </w:rPr>
              <w:t>Force-Directed Network</w:t>
            </w:r>
          </w:p>
        </w:tc>
        <w:tc>
          <w:tcPr>
            <w:tcW w:type="dxa" w:w="3798"/>
          </w:tcPr>
          <w:p>
            <w:r>
              <w:rPr>
                <w:rFonts w:ascii="Times New Roman" w:hAnsi="Times New Roman" w:eastAsia="SimSun"/>
                <w:b w:val="0"/>
                <w:sz w:val="20"/>
              </w:rPr>
              <w:t>Correlation structure &amp; communities</w:t>
            </w:r>
          </w:p>
        </w:tc>
      </w:tr>
      <w:tr>
        <w:tc>
          <w:tcPr>
            <w:tcW w:type="dxa" w:w="1587"/>
          </w:tcPr>
          <w:p>
            <w:r>
              <w:rPr>
                <w:rFonts w:ascii="Times New Roman" w:hAnsi="Times New Roman" w:eastAsia="SimSun"/>
                <w:b w:val="0"/>
                <w:sz w:val="20"/>
              </w:rPr>
              <w:t>Factor Attribution</w:t>
            </w:r>
          </w:p>
        </w:tc>
        <w:tc>
          <w:tcPr>
            <w:tcW w:type="dxa" w:w="737"/>
          </w:tcPr>
          <w:p>
            <w:r>
              <w:rPr>
                <w:rFonts w:ascii="Times New Roman" w:hAnsi="Times New Roman" w:eastAsia="SimSun"/>
                <w:b w:val="0"/>
                <w:sz w:val="20"/>
              </w:rPr>
              <w:t>Ch.6</w:t>
            </w:r>
          </w:p>
        </w:tc>
        <w:tc>
          <w:tcPr>
            <w:tcW w:type="dxa" w:w="1814"/>
          </w:tcPr>
          <w:p>
            <w:r>
              <w:rPr>
                <w:rFonts w:ascii="Times New Roman" w:hAnsi="Times New Roman" w:eastAsia="SimSun"/>
                <w:b w:val="0"/>
                <w:sz w:val="20"/>
              </w:rPr>
              <w:t>Parallel Coordinates</w:t>
            </w:r>
          </w:p>
        </w:tc>
        <w:tc>
          <w:tcPr>
            <w:tcW w:type="dxa" w:w="3798"/>
          </w:tcPr>
          <w:p>
            <w:r>
              <w:rPr>
                <w:rFonts w:ascii="Times New Roman" w:hAnsi="Times New Roman" w:eastAsia="SimSun"/>
                <w:b w:val="0"/>
                <w:sz w:val="20"/>
              </w:rPr>
              <w:t>Multi-factor exposure profiles</w:t>
            </w:r>
          </w:p>
        </w:tc>
      </w:tr>
      <w:tr>
        <w:tc>
          <w:tcPr>
            <w:tcW w:type="dxa" w:w="1587"/>
          </w:tcPr>
          <w:p>
            <w:r>
              <w:rPr>
                <w:rFonts w:ascii="Times New Roman" w:hAnsi="Times New Roman" w:eastAsia="SimSun"/>
                <w:b w:val="0"/>
                <w:sz w:val="20"/>
              </w:rPr>
            </w:r>
          </w:p>
        </w:tc>
        <w:tc>
          <w:tcPr>
            <w:tcW w:type="dxa" w:w="737"/>
          </w:tcPr>
          <w:p>
            <w:r>
              <w:rPr>
                <w:rFonts w:ascii="Times New Roman" w:hAnsi="Times New Roman" w:eastAsia="SimSun"/>
                <w:b w:val="0"/>
                <w:sz w:val="20"/>
              </w:rPr>
              <w:t>Ch.7</w:t>
            </w:r>
          </w:p>
        </w:tc>
        <w:tc>
          <w:tcPr>
            <w:tcW w:type="dxa" w:w="1814"/>
          </w:tcPr>
          <w:p>
            <w:r>
              <w:rPr>
                <w:rFonts w:ascii="Times New Roman" w:hAnsi="Times New Roman" w:eastAsia="SimSun"/>
                <w:b w:val="0"/>
                <w:sz w:val="20"/>
              </w:rPr>
              <w:t>Waterfall</w:t>
            </w:r>
          </w:p>
        </w:tc>
        <w:tc>
          <w:tcPr>
            <w:tcW w:type="dxa" w:w="3798"/>
          </w:tcPr>
          <w:p>
            <w:r>
              <w:rPr>
                <w:rFonts w:ascii="Times New Roman" w:hAnsi="Times New Roman" w:eastAsia="SimSun"/>
                <w:b w:val="0"/>
                <w:sz w:val="20"/>
              </w:rPr>
              <w:t>Factor contribution decomposition</w:t>
            </w:r>
          </w:p>
        </w:tc>
      </w:tr>
      <w:tr>
        <w:tc>
          <w:tcPr>
            <w:tcW w:type="dxa" w:w="1587"/>
          </w:tcPr>
          <w:p>
            <w:r>
              <w:rPr>
                <w:rFonts w:ascii="Times New Roman" w:hAnsi="Times New Roman" w:eastAsia="SimSun"/>
                <w:b w:val="0"/>
                <w:sz w:val="20"/>
              </w:rPr>
            </w:r>
          </w:p>
        </w:tc>
        <w:tc>
          <w:tcPr>
            <w:tcW w:type="dxa" w:w="737"/>
          </w:tcPr>
          <w:p>
            <w:r>
              <w:rPr>
                <w:rFonts w:ascii="Times New Roman" w:hAnsi="Times New Roman" w:eastAsia="SimSun"/>
                <w:b w:val="0"/>
                <w:sz w:val="20"/>
              </w:rPr>
              <w:t>Ch.8</w:t>
            </w:r>
          </w:p>
        </w:tc>
        <w:tc>
          <w:tcPr>
            <w:tcW w:type="dxa" w:w="1814"/>
          </w:tcPr>
          <w:p>
            <w:r>
              <w:rPr>
                <w:rFonts w:ascii="Times New Roman" w:hAnsi="Times New Roman" w:eastAsia="SimSun"/>
                <w:b w:val="0"/>
                <w:sz w:val="20"/>
              </w:rPr>
              <w:t>Gauge Panel</w:t>
            </w:r>
          </w:p>
        </w:tc>
        <w:tc>
          <w:tcPr>
            <w:tcW w:type="dxa" w:w="3798"/>
          </w:tcPr>
          <w:p>
            <w:r>
              <w:rPr>
                <w:rFonts w:ascii="Times New Roman" w:hAnsi="Times New Roman" w:eastAsia="SimSun"/>
                <w:b w:val="0"/>
                <w:sz w:val="20"/>
              </w:rPr>
              <w:t>Factor crowding monitoring</w:t>
            </w:r>
          </w:p>
        </w:tc>
      </w:tr>
      <w:tr>
        <w:tc>
          <w:tcPr>
            <w:tcW w:type="dxa" w:w="1587"/>
          </w:tcPr>
          <w:p>
            <w:r>
              <w:rPr>
                <w:rFonts w:ascii="Times New Roman" w:hAnsi="Times New Roman" w:eastAsia="SimSun"/>
                <w:b w:val="0"/>
                <w:sz w:val="20"/>
              </w:rPr>
              <w:t>Decision Support</w:t>
            </w:r>
          </w:p>
        </w:tc>
        <w:tc>
          <w:tcPr>
            <w:tcW w:type="dxa" w:w="737"/>
          </w:tcPr>
          <w:p>
            <w:r>
              <w:rPr>
                <w:rFonts w:ascii="Times New Roman" w:hAnsi="Times New Roman" w:eastAsia="SimSun"/>
                <w:b w:val="0"/>
                <w:sz w:val="20"/>
              </w:rPr>
              <w:t>Ch.9</w:t>
            </w:r>
          </w:p>
        </w:tc>
        <w:tc>
          <w:tcPr>
            <w:tcW w:type="dxa" w:w="1814"/>
          </w:tcPr>
          <w:p>
            <w:r>
              <w:rPr>
                <w:rFonts w:ascii="Times New Roman" w:hAnsi="Times New Roman" w:eastAsia="SimSun"/>
                <w:b w:val="0"/>
                <w:sz w:val="20"/>
              </w:rPr>
              <w:t>Violin + Boxplot</w:t>
            </w:r>
          </w:p>
        </w:tc>
        <w:tc>
          <w:tcPr>
            <w:tcW w:type="dxa" w:w="3798"/>
          </w:tcPr>
          <w:p>
            <w:r>
              <w:rPr>
                <w:rFonts w:ascii="Times New Roman" w:hAnsi="Times New Roman" w:eastAsia="SimSun"/>
                <w:b w:val="0"/>
                <w:sz w:val="20"/>
              </w:rPr>
              <w:t>Return distributions by phase</w:t>
            </w:r>
          </w:p>
        </w:tc>
      </w:tr>
      <w:tr>
        <w:tc>
          <w:tcPr>
            <w:tcW w:type="dxa" w:w="1587"/>
          </w:tcPr>
          <w:p>
            <w:r>
              <w:rPr>
                <w:rFonts w:ascii="Times New Roman" w:hAnsi="Times New Roman" w:eastAsia="SimSun"/>
                <w:b w:val="0"/>
                <w:sz w:val="20"/>
              </w:rPr>
            </w:r>
          </w:p>
        </w:tc>
        <w:tc>
          <w:tcPr>
            <w:tcW w:type="dxa" w:w="737"/>
          </w:tcPr>
          <w:p>
            <w:r>
              <w:rPr>
                <w:rFonts w:ascii="Times New Roman" w:hAnsi="Times New Roman" w:eastAsia="SimSun"/>
                <w:b w:val="0"/>
                <w:sz w:val="20"/>
              </w:rPr>
              <w:t>Ch.10</w:t>
            </w:r>
          </w:p>
        </w:tc>
        <w:tc>
          <w:tcPr>
            <w:tcW w:type="dxa" w:w="1814"/>
          </w:tcPr>
          <w:p>
            <w:r>
              <w:rPr>
                <w:rFonts w:ascii="Times New Roman" w:hAnsi="Times New Roman" w:eastAsia="SimSun"/>
                <w:b w:val="0"/>
                <w:sz w:val="20"/>
              </w:rPr>
              <w:t>Sankey</w:t>
            </w:r>
          </w:p>
        </w:tc>
        <w:tc>
          <w:tcPr>
            <w:tcW w:type="dxa" w:w="3798"/>
          </w:tcPr>
          <w:p>
            <w:r>
              <w:rPr>
                <w:rFonts w:ascii="Times New Roman" w:hAnsi="Times New Roman" w:eastAsia="SimSun"/>
                <w:b w:val="0"/>
                <w:sz w:val="20"/>
              </w:rPr>
              <w:t>Allocation decision chain</w:t>
            </w:r>
          </w:p>
        </w:tc>
      </w:tr>
      <w:tr>
        <w:tc>
          <w:tcPr>
            <w:tcW w:type="dxa" w:w="1587"/>
          </w:tcPr>
          <w:p>
            <w:r>
              <w:rPr>
                <w:rFonts w:ascii="Times New Roman" w:hAnsi="Times New Roman" w:eastAsia="SimSun"/>
                <w:b w:val="0"/>
                <w:sz w:val="20"/>
              </w:rPr>
            </w:r>
          </w:p>
        </w:tc>
        <w:tc>
          <w:tcPr>
            <w:tcW w:type="dxa" w:w="737"/>
          </w:tcPr>
          <w:p>
            <w:r>
              <w:rPr>
                <w:rFonts w:ascii="Times New Roman" w:hAnsi="Times New Roman" w:eastAsia="SimSun"/>
                <w:b w:val="0"/>
                <w:sz w:val="20"/>
              </w:rPr>
              <w:t>Ch.11</w:t>
            </w:r>
          </w:p>
        </w:tc>
        <w:tc>
          <w:tcPr>
            <w:tcW w:type="dxa" w:w="1814"/>
          </w:tcPr>
          <w:p>
            <w:r>
              <w:rPr>
                <w:rFonts w:ascii="Times New Roman" w:hAnsi="Times New Roman" w:eastAsia="SimSun"/>
                <w:b w:val="0"/>
                <w:sz w:val="20"/>
              </w:rPr>
              <w:t>Heatmap</w:t>
            </w:r>
          </w:p>
        </w:tc>
        <w:tc>
          <w:tcPr>
            <w:tcW w:type="dxa" w:w="3798"/>
          </w:tcPr>
          <w:p>
            <w:r>
              <w:rPr>
                <w:rFonts w:ascii="Times New Roman" w:hAnsi="Times New Roman" w:eastAsia="SimSun"/>
                <w:b w:val="0"/>
                <w:sz w:val="20"/>
              </w:rPr>
              <w:t>Extreme scenario stress test</w:t>
            </w:r>
          </w:p>
        </w:tc>
      </w:tr>
      <w:tr>
        <w:tc>
          <w:tcPr>
            <w:tcW w:type="dxa" w:w="1587"/>
          </w:tcPr>
          <w:p>
            <w:r>
              <w:rPr>
                <w:rFonts w:ascii="Times New Roman" w:hAnsi="Times New Roman" w:eastAsia="SimSun"/>
                <w:b w:val="0"/>
                <w:sz w:val="20"/>
              </w:rPr>
            </w:r>
          </w:p>
        </w:tc>
        <w:tc>
          <w:tcPr>
            <w:tcW w:type="dxa" w:w="737"/>
          </w:tcPr>
          <w:p>
            <w:r>
              <w:rPr>
                <w:rFonts w:ascii="Times New Roman" w:hAnsi="Times New Roman" w:eastAsia="SimSun"/>
                <w:b w:val="0"/>
                <w:sz w:val="20"/>
              </w:rPr>
              <w:t>Ch.12</w:t>
            </w:r>
          </w:p>
        </w:tc>
        <w:tc>
          <w:tcPr>
            <w:tcW w:type="dxa" w:w="1814"/>
          </w:tcPr>
          <w:p>
            <w:r>
              <w:rPr>
                <w:rFonts w:ascii="Times New Roman" w:hAnsi="Times New Roman" w:eastAsia="SimSun"/>
                <w:b w:val="0"/>
                <w:sz w:val="20"/>
              </w:rPr>
              <w:t>Card Grid</w:t>
            </w:r>
          </w:p>
        </w:tc>
        <w:tc>
          <w:tcPr>
            <w:tcW w:type="dxa" w:w="3798"/>
          </w:tcPr>
          <w:p>
            <w:r>
              <w:rPr>
                <w:rFonts w:ascii="Times New Roman" w:hAnsi="Times New Roman" w:eastAsia="SimSun"/>
                <w:b w:val="0"/>
                <w:sz w:val="20"/>
              </w:rPr>
              <w:t>Multi-dimensional anomaly monitoring</w:t>
            </w:r>
          </w:p>
        </w:tc>
      </w:tr>
    </w:tbl>
    <w:p/>
    <w:p>
      <w:pPr>
        <w:pStyle w:val="Heading2"/>
      </w:pPr>
      <w:r>
        <w:rPr>
          <w:rFonts w:ascii="Times New Roman" w:hAnsi="Times New Roman" w:eastAsia="SimHei"/>
          <w:b/>
          <w:sz w:val="26"/>
        </w:rPr>
        <w:t>3.2 Visual Design</w:t>
      </w:r>
    </w:p>
    <w:p>
      <w:pPr>
        <w:spacing w:line="360" w:lineRule="auto"/>
        <w:ind w:firstLine="420"/>
        <w:jc w:val="both"/>
      </w:pPr>
      <w:r>
        <w:rPr>
          <w:rFonts w:ascii="Times New Roman" w:hAnsi="Times New Roman" w:eastAsia="Times New Roman"/>
          <w:b w:val="0"/>
          <w:sz w:val="24"/>
        </w:rPr>
        <w:t>The project adopts a TradingView/Bloomberg-style financial dark theme with canvas background #0f1923 and plot background #1a2332. Red-up/green-down color coding follows A-share market convention. The four macro cycle phases are distinguished by blue (Recovery), red (Overheat), orange (Stagflation), and indigo (Recession). Factor crowding uses a green-yellow-red tri-color warning scheme. All charts use Plotly’s plotly_dark template initialized via dark_figure()/dark_layout() utility functions.</w:t>
      </w:r>
    </w:p>
    <w:p>
      <w:pPr>
        <w:pStyle w:val="Heading2"/>
      </w:pPr>
      <w:r>
        <w:rPr>
          <w:rFonts w:ascii="Times New Roman" w:hAnsi="Times New Roman" w:eastAsia="SimHei"/>
          <w:b/>
          <w:sz w:val="26"/>
        </w:rPr>
        <w:t>3.3 Interaction Design</w:t>
      </w:r>
    </w:p>
    <w:p>
      <w:pPr>
        <w:spacing w:line="360" w:lineRule="auto"/>
        <w:ind w:firstLine="420"/>
        <w:jc w:val="both"/>
      </w:pPr>
      <w:r>
        <w:rPr>
          <w:rFonts w:ascii="Times New Roman" w:hAnsi="Times New Roman" w:eastAsia="Times New Roman"/>
          <w:b w:val="0"/>
          <w:sz w:val="24"/>
        </w:rPr>
        <w:t>All charts support hover tooltips for precise values. Scroll-to-zoom and pan are universally available. The dynamic bubble chart uses animation frames for temporal playback. Dropdown menus and sliders enable switching between industries and time periods. The unified dashboard provides sidebar navigation, search filtering, and keyboard shortcuts (↑↓ to switch charts, 1–9 for quick jump). Cross-chart navigation is implemented via URL parameter passing.</w:t>
      </w:r>
    </w:p>
    <w:p>
      <w:r>
        <w:br w:type="page"/>
      </w:r>
    </w:p>
    <w:p>
      <w:pPr>
        <w:pStyle w:val="Heading1"/>
      </w:pPr>
      <w:r>
        <w:rPr>
          <w:rFonts w:ascii="Times New Roman" w:hAnsi="Times New Roman" w:eastAsia="SimHei"/>
          <w:b/>
          <w:sz w:val="28"/>
        </w:rPr>
        <w:t>4 Empirical Results</w:t>
      </w:r>
    </w:p>
    <w:p>
      <w:pPr>
        <w:spacing w:line="360" w:lineRule="auto"/>
        <w:jc w:val="both"/>
      </w:pPr>
      <w:r>
        <w:rPr>
          <w:rFonts w:ascii="Times New Roman" w:hAnsi="Times New Roman" w:eastAsia="Times New Roman"/>
          <w:b w:val="0"/>
          <w:sz w:val="24"/>
        </w:rPr>
        <w:t>This chapter summarizes the key findings from the 12 visualization charts. Full interactive versions are available in the visualizations/ directory.</w:t>
      </w:r>
    </w:p>
    <w:p>
      <w:pPr>
        <w:spacing w:line="360" w:lineRule="auto"/>
        <w:ind w:firstLine="420"/>
        <w:jc w:val="both"/>
      </w:pPr>
      <w:r>
        <w:rPr>
          <w:rFonts w:ascii="Times New Roman" w:hAnsi="Times New Roman" w:eastAsia="Times New Roman"/>
          <w:b w:val="0"/>
          <w:sz w:val="24"/>
        </w:rPr>
        <w:t>【Chart 1 — Macroeconomic Cycle Dashboard】The gauge dashboard displays the current PMI reading relative to the 50 boom-bust line with green (expansion) and red (contraction) zones. Time series of PMI, CPI, and M2 are plotted with Merrill Lynch Clock phase bands overlaid. The data reveals that 2022 was dominated by recessionary phases (COVID lockdown impact), 2023 entered recovery as PMI rebounded above 50, and 2024–2025 saw frequent cycle oscillations around the 50 threshold, indicating an uneven recovery.</w:t>
      </w:r>
    </w:p>
    <w:p>
      <w:pPr>
        <w:spacing w:line="360" w:lineRule="auto"/>
        <w:ind w:firstLine="420"/>
        <w:jc w:val="both"/>
      </w:pPr>
      <w:r>
        <w:rPr>
          <w:rFonts w:ascii="Times New Roman" w:hAnsi="Times New Roman" w:eastAsia="Times New Roman"/>
          <w:b w:val="0"/>
          <w:sz w:val="24"/>
        </w:rPr>
        <w:t>【Chart 2 — Style Rotation Quadrant Chart】With size premium on the X-axis and value-growth premium on the Y-axis, this quadrant chart tracks monthly style drift. 2022 clustered in the Large-Cap Value quadrant (risk-off sentiment). 2023–2024 migrated toward Small-Cap Growth (AI theme). 2025 shifted toward Small-Cap Value. The style drift exhibits a clockwise rotational pattern synchronized with macro cycle transitions.</w:t>
      </w:r>
    </w:p>
    <w:p>
      <w:pPr>
        <w:spacing w:line="360" w:lineRule="auto"/>
        <w:ind w:firstLine="420"/>
        <w:jc w:val="both"/>
      </w:pPr>
      <w:r>
        <w:rPr>
          <w:rFonts w:ascii="Times New Roman" w:hAnsi="Times New Roman" w:eastAsia="Times New Roman"/>
          <w:b w:val="0"/>
          <w:sz w:val="24"/>
        </w:rPr>
        <w:t>【Chart 3 — Calendar Heatmap】A 31×48 matrix color-encodes monthly industry returns (red=up, green=down). Media and Communication sectors show sustained red bands in 2023 (AI and gaming license catalysts). April and October 2022 display widespread deep green, corresponding to Shanghai COVID lockdowns and the global rate-hike panic.</w:t>
      </w:r>
    </w:p>
    <w:p>
      <w:pPr>
        <w:spacing w:line="360" w:lineRule="auto"/>
        <w:ind w:firstLine="420"/>
        <w:jc w:val="both"/>
      </w:pPr>
      <w:r>
        <w:rPr>
          <w:rFonts w:ascii="Times New Roman" w:hAnsi="Times New Roman" w:eastAsia="Times New Roman"/>
          <w:b w:val="0"/>
          <w:sz w:val="24"/>
        </w:rPr>
        <w:t>【Chart 4 — Dynamic Bubble Chart】Quarterly-animated bubbles position industries in risk (X=annualized volatility) vs. return (Y=quarterly cumulative return) space. High-return industries consistently exhibit higher volatility. Post-2024, Banking and Utilities cluster in the low-volatility/positive-return quadrant, consistent with defensive allocation preferences.</w:t>
      </w:r>
    </w:p>
    <w:p>
      <w:pPr>
        <w:spacing w:line="360" w:lineRule="auto"/>
        <w:ind w:firstLine="420"/>
        <w:jc w:val="both"/>
      </w:pPr>
      <w:r>
        <w:rPr>
          <w:rFonts w:ascii="Times New Roman" w:hAnsi="Times New Roman" w:eastAsia="Times New Roman"/>
          <w:b w:val="0"/>
          <w:sz w:val="24"/>
        </w:rPr>
        <w:t>【Chart 5 — Industry Correlation Network】A force-directed network visualizes return correlations &gt;0.45 across 31 industries. Four stable communities emerge: Financial-Cyclical (banks, non-bank financials, real estate), Tech-Growth (electronics, computers, communication), Consumer (food &amp; beverage, pharma, home appliances), and Upstream-Resources (coal, petrochemicals, non-ferrous metals).</w:t>
      </w:r>
    </w:p>
    <w:p>
      <w:pPr>
        <w:spacing w:line="360" w:lineRule="auto"/>
        <w:ind w:firstLine="420"/>
        <w:jc w:val="both"/>
      </w:pPr>
      <w:r>
        <w:rPr>
          <w:rFonts w:ascii="Times New Roman" w:hAnsi="Times New Roman" w:eastAsia="Times New Roman"/>
          <w:b w:val="0"/>
          <w:sz w:val="24"/>
        </w:rPr>
        <w:t>【Chart 6 — Parallel Coordinates】Eight standardized factor dimensions form parallel axes. High-growth industries (electronics, computers) exhibit elevated PE/PB, strong momentum, and high volatility. Value industries (banks, coal) show extremely low PE/PB with large market cap and low turnover. Community-based coloring and axis brushing are supported.</w:t>
      </w:r>
    </w:p>
    <w:p>
      <w:pPr>
        <w:spacing w:line="360" w:lineRule="auto"/>
        <w:ind w:firstLine="420"/>
        <w:jc w:val="both"/>
      </w:pPr>
      <w:r>
        <w:rPr>
          <w:rFonts w:ascii="Times New Roman" w:hAnsi="Times New Roman" w:eastAsia="Times New Roman"/>
          <w:b w:val="0"/>
          <w:sz w:val="24"/>
        </w:rPr>
        <w:t>【Chart 7 — Factor Return Waterfall】Excess returns are decomposed as SMB → HML → MOM → Alpha → Total. Green bars represent positive contributions, red bars negative contributions, and blue bars the net total. An industry dropdown enables viewing factor attribution for any of the 31 industries. The SMB factor has accumulated over 30% since 2023.</w:t>
      </w:r>
    </w:p>
    <w:p>
      <w:pPr>
        <w:spacing w:line="360" w:lineRule="auto"/>
        <w:ind w:firstLine="420"/>
        <w:jc w:val="both"/>
      </w:pPr>
      <w:r>
        <w:rPr>
          <w:rFonts w:ascii="Times New Roman" w:hAnsi="Times New Roman" w:eastAsia="Times New Roman"/>
          <w:b w:val="0"/>
          <w:sz w:val="24"/>
        </w:rPr>
        <w:t>【Chart 8 — Factor Crowding Gauge Dashboard】Four gauges monitor valuation spread, turnover concentration, within-factor correlation, and composite crowding. A historical trend chart below tracks crowding score over time with danger and warning events annotated. Crowding indicators provided advance warning of the early-2024 small-cap style reversal.</w:t>
      </w:r>
    </w:p>
    <w:p>
      <w:pPr>
        <w:spacing w:line="360" w:lineRule="auto"/>
        <w:ind w:firstLine="420"/>
        <w:jc w:val="both"/>
      </w:pPr>
      <w:r>
        <w:rPr>
          <w:rFonts w:ascii="Times New Roman" w:hAnsi="Times New Roman" w:eastAsia="Times New Roman"/>
          <w:b w:val="0"/>
          <w:sz w:val="24"/>
        </w:rPr>
        <w:t>【Chart 9 — Bull-Bear Regime Boxplot】Monthly return distributions are grouped by Merrill Lynch Clock phase with violin plot overlays. Recovery phase exhibits the highest median returns. Stagflation shows negative median returns across nearly all industries. Counter-cyclical sectors (pharma, consumer staples) deliver positive returns during recessions. A bull/bear/range-bound toggle provides an alternative classification.</w:t>
      </w:r>
    </w:p>
    <w:p>
      <w:pPr>
        <w:spacing w:line="360" w:lineRule="auto"/>
        <w:ind w:firstLine="420"/>
        <w:jc w:val="both"/>
      </w:pPr>
      <w:r>
        <w:rPr>
          <w:rFonts w:ascii="Times New Roman" w:hAnsi="Times New Roman" w:eastAsia="Times New Roman"/>
          <w:b w:val="0"/>
          <w:sz w:val="24"/>
        </w:rPr>
        <w:t>【Chart 10 — Industry Allocation Sankey Diagram】A three-stage decision chain: Macro Cycle → Strategy Style → Recommended Industries. Flow width encodes allocation weight based on historical win rates. The current cycle path is highlighted. Recovery favors Large-Cap Growth → Electronics/Computers. Overheat favors Small-Cap Value → Non-ferrous Metals/Coal.</w:t>
      </w:r>
    </w:p>
    <w:p>
      <w:pPr>
        <w:spacing w:line="360" w:lineRule="auto"/>
        <w:ind w:firstLine="420"/>
        <w:jc w:val="both"/>
      </w:pPr>
      <w:r>
        <w:rPr>
          <w:rFonts w:ascii="Times New Roman" w:hAnsi="Times New Roman" w:eastAsia="Times New Roman"/>
          <w:b w:val="0"/>
          <w:sz w:val="24"/>
        </w:rPr>
        <w:t>【Chart 11 — Stress Test Heatmap】Industry cumulative returns under five extreme historical scenarios: COVID lockdown, market bottom, quantitative storm (micro-cap liquidity crisis), policy package, and tariff shock. Defensive industries (Utilities, Banks) demonstrate resilience across most shocks. High-beta sectors (Electronics, Computers) show the largest elasticity to positive policy shocks.</w:t>
      </w:r>
    </w:p>
    <w:p>
      <w:pPr>
        <w:spacing w:line="360" w:lineRule="auto"/>
        <w:ind w:firstLine="420"/>
        <w:jc w:val="both"/>
      </w:pPr>
      <w:r>
        <w:rPr>
          <w:rFonts w:ascii="Times New Roman" w:hAnsi="Times New Roman" w:eastAsia="Times New Roman"/>
          <w:b w:val="0"/>
          <w:sz w:val="24"/>
        </w:rPr>
        <w:t>【Chart 12 — Real-time Alert Dashboard】A 3×2 card grid integrates six monitoring dimensions: sector rotation signals, factor failure alerts, crowding monitors, style switch warnings, liquidity anomalies, and tail risk indicators. Each card features a status light (green/yellow/red), a mini sparkline, and a one-line alert summary. Red-alert cards have CSS border flash animation. Three preset threshold levels (conservative/moderate/aggressive) are switchable.</w:t>
      </w:r>
    </w:p>
    <w:p>
      <w:r>
        <w:br w:type="page"/>
      </w:r>
    </w:p>
    <w:p>
      <w:pPr>
        <w:pStyle w:val="Heading1"/>
      </w:pPr>
      <w:r>
        <w:rPr>
          <w:rFonts w:ascii="Times New Roman" w:hAnsi="Times New Roman" w:eastAsia="SimHei"/>
          <w:b/>
          <w:sz w:val="28"/>
        </w:rPr>
        <w:t>5 Conclusion</w:t>
      </w:r>
    </w:p>
    <w:p>
      <w:pPr>
        <w:pStyle w:val="Heading2"/>
      </w:pPr>
      <w:r>
        <w:rPr>
          <w:rFonts w:ascii="Times New Roman" w:hAnsi="Times New Roman" w:eastAsia="SimHei"/>
          <w:b/>
          <w:sz w:val="26"/>
        </w:rPr>
        <w:t>5.1 Key Findings</w:t>
      </w:r>
    </w:p>
    <w:p>
      <w:pPr>
        <w:spacing w:line="360" w:lineRule="auto"/>
        <w:ind w:firstLine="420"/>
        <w:jc w:val="both"/>
      </w:pPr>
      <w:r>
        <w:rPr>
          <w:rFonts w:ascii="Times New Roman" w:hAnsi="Times New Roman" w:eastAsia="Times New Roman"/>
          <w:b w:val="0"/>
          <w:sz w:val="24"/>
        </w:rPr>
        <w:t>(1) Macroeconomic cycles are the primary driver of industry rotation. The Merrill Lynch Clock framework offers significant guidance for A-share industry allocation: Recovery favors tech-growth (electronics, computers); Overheat favors upstream resources (non-ferrous metals, coal); Stagflation favors defensive value (banks, utilities); Recession favors counter-cyclical consumption (pharma, consumer staples).</w:t>
      </w:r>
    </w:p>
    <w:p>
      <w:pPr>
        <w:spacing w:line="360" w:lineRule="auto"/>
        <w:ind w:firstLine="420"/>
        <w:jc w:val="both"/>
      </w:pPr>
      <w:r>
        <w:rPr>
          <w:rFonts w:ascii="Times New Roman" w:hAnsi="Times New Roman" w:eastAsia="Times New Roman"/>
          <w:b w:val="0"/>
          <w:sz w:val="24"/>
        </w:rPr>
        <w:t>(2) Style factors (Size, Value, Momentum) exhibit significant explanatory power for industry excess returns. The SMB factor has accumulated over 30% since 2023. The HML factor shows cyclical variation closely tied to interest rate environments. The MOM factor exhibits the highest volatility with periodic crash risk. Crowding indicators provide 2–3 month advance warning of style rotations.</w:t>
      </w:r>
    </w:p>
    <w:p>
      <w:pPr>
        <w:spacing w:line="360" w:lineRule="auto"/>
        <w:ind w:firstLine="420"/>
        <w:jc w:val="both"/>
      </w:pPr>
      <w:r>
        <w:rPr>
          <w:rFonts w:ascii="Times New Roman" w:hAnsi="Times New Roman" w:eastAsia="Times New Roman"/>
          <w:b w:val="0"/>
          <w:sz w:val="24"/>
        </w:rPr>
        <w:t>(3) Four stable industry communities are identified: Financial-Cyclical, Tech-Growth, Consumer, and Upstream-Resources. Diversified allocation across communities effectively reduces portfolio volatility.</w:t>
      </w:r>
    </w:p>
    <w:p>
      <w:pPr>
        <w:spacing w:line="360" w:lineRule="auto"/>
        <w:ind w:firstLine="420"/>
        <w:jc w:val="both"/>
      </w:pPr>
      <w:r>
        <w:rPr>
          <w:rFonts w:ascii="Times New Roman" w:hAnsi="Times New Roman" w:eastAsia="Times New Roman"/>
          <w:b w:val="0"/>
          <w:sz w:val="24"/>
        </w:rPr>
        <w:t>(4) Extreme scenario stress tests reveal asymmetric industry resilience. Defensive sectors (Utilities, Banks) withstand most shocks, while tech sectors show greatest elasticity to positive policy shocks.</w:t>
      </w:r>
    </w:p>
    <w:p>
      <w:pPr>
        <w:pStyle w:val="Heading2"/>
      </w:pPr>
      <w:r>
        <w:rPr>
          <w:rFonts w:ascii="Times New Roman" w:hAnsi="Times New Roman" w:eastAsia="SimHei"/>
          <w:b/>
          <w:sz w:val="26"/>
        </w:rPr>
        <w:t>5.2 Recommendations</w:t>
      </w:r>
    </w:p>
    <w:p>
      <w:pPr>
        <w:spacing w:line="360" w:lineRule="auto"/>
        <w:ind w:firstLine="420"/>
        <w:jc w:val="both"/>
      </w:pPr>
      <w:r>
        <w:rPr>
          <w:rFonts w:ascii="Times New Roman" w:hAnsi="Times New Roman" w:eastAsia="Times New Roman"/>
          <w:b w:val="0"/>
          <w:sz w:val="24"/>
        </w:rPr>
        <w:t>(1) Implement a macro-timing + industry rotation strategy: dynamically adjust industry weights based on PMI/CPI signals and the current Merrill Lynch Clock phase.</w:t>
      </w:r>
    </w:p>
    <w:p>
      <w:pPr>
        <w:spacing w:line="360" w:lineRule="auto"/>
        <w:ind w:firstLine="420"/>
        <w:jc w:val="both"/>
      </w:pPr>
      <w:r>
        <w:rPr>
          <w:rFonts w:ascii="Times New Roman" w:hAnsi="Times New Roman" w:eastAsia="Times New Roman"/>
          <w:b w:val="0"/>
          <w:sz w:val="24"/>
        </w:rPr>
        <w:t>(2) Incorporate factor crowding into risk management: reduce factor exposure when crowding scores enter warning or danger zones, and restore exposure once crowding normalizes.</w:t>
      </w:r>
    </w:p>
    <w:p>
      <w:pPr>
        <w:spacing w:line="360" w:lineRule="auto"/>
        <w:ind w:firstLine="420"/>
        <w:jc w:val="both"/>
      </w:pPr>
      <w:r>
        <w:rPr>
          <w:rFonts w:ascii="Times New Roman" w:hAnsi="Times New Roman" w:eastAsia="Times New Roman"/>
          <w:b w:val="0"/>
          <w:sz w:val="24"/>
        </w:rPr>
        <w:t>(3) Utilize industry communities for portfolio diversification: ensure balanced allocation across communities to avoid excessive concentration in any single cluster.</w:t>
      </w:r>
    </w:p>
    <w:p>
      <w:pPr>
        <w:spacing w:line="360" w:lineRule="auto"/>
        <w:ind w:firstLine="420"/>
        <w:jc w:val="both"/>
      </w:pPr>
      <w:r>
        <w:rPr>
          <w:rFonts w:ascii="Times New Roman" w:hAnsi="Times New Roman" w:eastAsia="Times New Roman"/>
          <w:b w:val="0"/>
          <w:sz w:val="24"/>
        </w:rPr>
        <w:t>(4) Integrate the visualization dashboard into daily research workflows: the unified dashboard enables rapid scanning of 12-dimensional market signals.</w:t>
      </w:r>
    </w:p>
    <w:p>
      <w:pPr>
        <w:pStyle w:val="Heading2"/>
      </w:pPr>
      <w:r>
        <w:rPr>
          <w:rFonts w:ascii="Times New Roman" w:hAnsi="Times New Roman" w:eastAsia="SimHei"/>
          <w:b/>
          <w:sz w:val="26"/>
        </w:rPr>
        <w:t>5.3 Limitations and Future Work</w:t>
      </w:r>
    </w:p>
    <w:p>
      <w:pPr>
        <w:spacing w:line="360" w:lineRule="auto"/>
        <w:ind w:firstLine="420"/>
        <w:jc w:val="both"/>
      </w:pPr>
      <w:r>
        <w:rPr>
          <w:rFonts w:ascii="Times New Roman" w:hAnsi="Times New Roman" w:eastAsia="Times New Roman"/>
          <w:b w:val="0"/>
          <w:sz w:val="24"/>
        </w:rPr>
        <w:t>(1) Limited data span: the analysis covers only 48 months (2022–2025). Certain macro phases (e.g., Overheat) appear infrequently, limiting statistical significance.</w:t>
      </w:r>
    </w:p>
    <w:p>
      <w:pPr>
        <w:spacing w:line="360" w:lineRule="auto"/>
        <w:ind w:firstLine="420"/>
        <w:jc w:val="both"/>
      </w:pPr>
      <w:r>
        <w:rPr>
          <w:rFonts w:ascii="Times New Roman" w:hAnsi="Times New Roman" w:eastAsia="Times New Roman"/>
          <w:b w:val="0"/>
          <w:sz w:val="24"/>
        </w:rPr>
        <w:t>(2) Simplified factor model: the Fama-French three-factor plus momentum specification omits potential factors such as Quality (QMJ) and Low Volatility (BAB).</w:t>
      </w:r>
    </w:p>
    <w:p>
      <w:pPr>
        <w:spacing w:line="360" w:lineRule="auto"/>
        <w:ind w:firstLine="420"/>
        <w:jc w:val="both"/>
      </w:pPr>
      <w:r>
        <w:rPr>
          <w:rFonts w:ascii="Times New Roman" w:hAnsi="Times New Roman" w:eastAsia="Times New Roman"/>
          <w:b w:val="0"/>
          <w:sz w:val="24"/>
        </w:rPr>
        <w:t>(3) Industry classification granularity: the 31 Shenwan primary industries may mask heterogeneity within sub-industries (e.g., semiconductors vs. consumer electronics).</w:t>
      </w:r>
    </w:p>
    <w:p>
      <w:pPr>
        <w:spacing w:line="360" w:lineRule="auto"/>
        <w:ind w:firstLine="420"/>
        <w:jc w:val="both"/>
      </w:pPr>
      <w:r>
        <w:rPr>
          <w:rFonts w:ascii="Times New Roman" w:hAnsi="Times New Roman" w:eastAsia="Times New Roman"/>
          <w:b w:val="0"/>
          <w:sz w:val="24"/>
        </w:rPr>
        <w:t>(4) Cross-chart interactivity: current charts are independent HTML files without real-time cross-filtering. Future work could implement linked brushing across charts.</w:t>
      </w:r>
    </w:p>
    <w:p>
      <w:r>
        <w:br w:type="page"/>
      </w:r>
    </w:p>
    <w:p>
      <w:pPr>
        <w:pStyle w:val="Heading1"/>
      </w:pPr>
      <w:r>
        <w:rPr>
          <w:rFonts w:ascii="Times New Roman" w:hAnsi="Times New Roman" w:eastAsia="SimHei"/>
          <w:b/>
          <w:sz w:val="28"/>
        </w:rPr>
        <w:t>References</w:t>
      </w:r>
    </w:p>
    <w:p>
      <w:pPr>
        <w:spacing w:line="360" w:lineRule="auto"/>
        <w:jc w:val="both"/>
      </w:pPr>
      <w:r>
        <w:rPr>
          <w:rFonts w:ascii="Times New Roman" w:hAnsi="Times New Roman" w:eastAsia="Times New Roman"/>
          <w:b w:val="0"/>
          <w:sz w:val="22"/>
        </w:rPr>
        <w:t>[1] Fama, E. F., &amp; French, K. R. (1993). Common risk factors in the returns on stocks and bonds. Journal of Financial Economics, 33(1), 3–56.</w:t>
      </w:r>
    </w:p>
    <w:p>
      <w:pPr>
        <w:spacing w:line="360" w:lineRule="auto"/>
        <w:jc w:val="both"/>
      </w:pPr>
      <w:r>
        <w:rPr>
          <w:rFonts w:ascii="Times New Roman" w:hAnsi="Times New Roman" w:eastAsia="Times New Roman"/>
          <w:b w:val="0"/>
          <w:sz w:val="22"/>
        </w:rPr>
        <w:t>[2] Fama, E. F., &amp; French, K. R. (2015). A five-factor asset pricing model. Journal of Financial Economics, 116(1), 1–22.</w:t>
      </w:r>
    </w:p>
    <w:p>
      <w:pPr>
        <w:spacing w:line="360" w:lineRule="auto"/>
        <w:jc w:val="both"/>
      </w:pPr>
      <w:r>
        <w:rPr>
          <w:rFonts w:ascii="Times New Roman" w:hAnsi="Times New Roman" w:eastAsia="Times New Roman"/>
          <w:b w:val="0"/>
          <w:sz w:val="22"/>
        </w:rPr>
        <w:t>[3] Jegadeesh, N., &amp; Titman, S. (1993). Returns to buying winners and selling losers. Journal of Finance, 48(1), 65–91.</w:t>
      </w:r>
    </w:p>
    <w:p>
      <w:pPr>
        <w:spacing w:line="360" w:lineRule="auto"/>
        <w:jc w:val="both"/>
      </w:pPr>
      <w:r>
        <w:rPr>
          <w:rFonts w:ascii="Times New Roman" w:hAnsi="Times New Roman" w:eastAsia="Times New Roman"/>
          <w:b w:val="0"/>
          <w:sz w:val="22"/>
        </w:rPr>
        <w:t>[4] Tushare Pro API Documentation. https://tushare.pro</w:t>
      </w:r>
    </w:p>
    <w:p>
      <w:pPr>
        <w:spacing w:line="360" w:lineRule="auto"/>
        <w:jc w:val="both"/>
      </w:pPr>
      <w:r>
        <w:rPr>
          <w:rFonts w:ascii="Times New Roman" w:hAnsi="Times New Roman" w:eastAsia="Times New Roman"/>
          <w:b w:val="0"/>
          <w:sz w:val="22"/>
        </w:rPr>
        <w:t>[5] Merrill Lynch. (2004). The Investment Clock. Merrill Lynch Research Report.</w:t>
      </w:r>
    </w:p>
    <w:p/>
    <w:p>
      <w:pPr>
        <w:spacing w:line="360" w:lineRule="auto"/>
        <w:jc w:val="center"/>
      </w:pPr>
      <w:r>
        <w:rPr>
          <w:rFonts w:ascii="Times New Roman" w:hAnsi="Times New Roman" w:eastAsia="Times New Roman"/>
          <w:b w:val="0"/>
          <w:sz w:val="22"/>
        </w:rPr>
        <w:t>— End of Report —</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