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8"/>
          <w:sz w:val="36"/>
          <w:szCs w:val="36"/>
        </w:rPr>
        <w:t xml:space="preserve">CREDIT SPREAD ANALYZER</w:t>
      </w:r>
    </w:p>
    <w:p>
      <w:pPr>
        <w:spacing w:after="240"/>
      </w:pPr>
      <w:r>
        <w:rPr>
          <w:color w:val="2E75B6"/>
          <w:sz w:val="26"/>
          <w:szCs w:val="26"/>
        </w:rPr>
        <w:t xml:space="preserve">Outil d'Analyse et de Visualisation de Spreads de Crédit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80"/>
            </w:tcMar>
          </w:tcPr>
          <w:p>
            <w:r>
              <w:rPr>
                <w:b/>
                <w:bCs/>
                <w:color w:val="1F4E78"/>
                <w:sz w:val="20"/>
                <w:szCs w:val="20"/>
              </w:rPr>
              <w:t xml:space="preserve">Auteur</w:t>
            </w:r>
          </w:p>
        </w:tc>
        <w:tc>
          <w:tcPr>
            <w:tcW w:type="dxa" w:w="268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80"/>
            </w:tcMar>
          </w:tcPr>
          <w:p>
            <w:r>
              <w:rPr>
                <w:b w:val="false"/>
                <w:bCs w:val="false"/>
                <w:color w:val="2D3436"/>
                <w:sz w:val="20"/>
                <w:szCs w:val="20"/>
              </w:rPr>
              <w:t xml:space="preserve">Jivane Ayvadian</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80"/>
            </w:tcMar>
          </w:tcPr>
          <w:p>
            <w:r>
              <w:rPr>
                <w:b/>
                <w:bCs/>
                <w:color w:val="1F4E78"/>
                <w:sz w:val="20"/>
                <w:szCs w:val="20"/>
              </w:rPr>
              <w:t xml:space="preserve">Type</w:t>
            </w:r>
          </w:p>
        </w:tc>
        <w:tc>
          <w:tcPr>
            <w:tcW w:type="dxa" w:w="268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80"/>
            </w:tcMar>
          </w:tcPr>
          <w:p>
            <w:r>
              <w:rPr>
                <w:b w:val="false"/>
                <w:bCs w:val="false"/>
                <w:color w:val="2D3436"/>
                <w:sz w:val="20"/>
                <w:szCs w:val="20"/>
              </w:rPr>
              <w:t xml:space="preserve">Data Analysis Tool</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80"/>
            </w:tcMar>
          </w:tcPr>
          <w:p>
            <w:r>
              <w:rPr>
                <w:b/>
                <w:bCs/>
                <w:color w:val="1F4E78"/>
                <w:sz w:val="20"/>
                <w:szCs w:val="20"/>
              </w:rPr>
              <w:t xml:space="preserve">Formation</w:t>
            </w:r>
          </w:p>
        </w:tc>
        <w:tc>
          <w:tcPr>
            <w:tcW w:type="dxa" w:w="268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80"/>
            </w:tcMar>
          </w:tcPr>
          <w:p>
            <w:r>
              <w:rPr>
                <w:b w:val="false"/>
                <w:bCs w:val="false"/>
                <w:color w:val="2D3436"/>
                <w:sz w:val="20"/>
                <w:szCs w:val="20"/>
              </w:rPr>
              <w:t xml:space="preserve">Grenoble École de Management</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80"/>
            </w:tcMar>
          </w:tcPr>
          <w:p>
            <w:r>
              <w:rPr>
                <w:b/>
                <w:bCs/>
                <w:color w:val="1F4E78"/>
                <w:sz w:val="20"/>
                <w:szCs w:val="20"/>
              </w:rPr>
              <w:t xml:space="preserve">Langage</w:t>
            </w:r>
          </w:p>
        </w:tc>
        <w:tc>
          <w:tcPr>
            <w:tcW w:type="dxa" w:w="268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80"/>
            </w:tcMar>
          </w:tcPr>
          <w:p>
            <w:r>
              <w:rPr>
                <w:b w:val="false"/>
                <w:bCs w:val="false"/>
                <w:color w:val="2D3436"/>
                <w:sz w:val="20"/>
                <w:szCs w:val="20"/>
              </w:rPr>
              <w:t xml:space="preserve">Python 3</w:t>
            </w:r>
          </w:p>
        </w:tc>
      </w:tr>
      <w:tr>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80"/>
            </w:tcMar>
          </w:tcPr>
          <w:p>
            <w:r>
              <w:rPr>
                <w:b/>
                <w:bCs/>
                <w:color w:val="1F4E78"/>
                <w:sz w:val="20"/>
                <w:szCs w:val="20"/>
              </w:rPr>
              <w:t xml:space="preserve">Date</w:t>
            </w:r>
          </w:p>
        </w:tc>
        <w:tc>
          <w:tcPr>
            <w:tcW w:type="dxa" w:w="268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80"/>
            </w:tcMar>
          </w:tcPr>
          <w:p>
            <w:r>
              <w:rPr>
                <w:b w:val="false"/>
                <w:bCs w:val="false"/>
                <w:color w:val="2D3436"/>
                <w:sz w:val="20"/>
                <w:szCs w:val="20"/>
              </w:rPr>
              <w:t xml:space="preserve">Février 2026</w:t>
            </w:r>
          </w:p>
        </w:tc>
        <w:tc>
          <w:tcPr>
            <w:tcW w:type="dxa" w:w="2000"/>
            <w:tcBorders>
              <w:top w:val="single" w:color="2E75B6" w:sz="4"/>
              <w:left w:val="single" w:color="2E75B6" w:sz="4"/>
              <w:bottom w:val="single" w:color="2E75B6" w:sz="4"/>
              <w:right w:val="single" w:color="2E75B6" w:sz="4"/>
            </w:tcBorders>
            <w:shd w:fill="F2F2F2" w:val="clear"/>
            <w:tcMar>
              <w:top w:type="dxa" w:w="80"/>
              <w:left w:type="dxa" w:w="120"/>
              <w:bottom w:type="dxa" w:w="80"/>
              <w:right w:type="dxa" w:w="80"/>
            </w:tcMar>
          </w:tcPr>
          <w:p>
            <w:r>
              <w:rPr>
                <w:b/>
                <w:bCs/>
                <w:color w:val="1F4E78"/>
                <w:sz w:val="20"/>
                <w:szCs w:val="20"/>
              </w:rPr>
              <w:t xml:space="preserve">Niveau</w:t>
            </w:r>
          </w:p>
        </w:tc>
        <w:tc>
          <w:tcPr>
            <w:tcW w:type="dxa" w:w="2680"/>
            <w:tcBorders>
              <w:top w:val="single" w:color="2E75B6" w:sz="4"/>
              <w:left w:val="single" w:color="2E75B6" w:sz="4"/>
              <w:bottom w:val="single" w:color="2E75B6" w:sz="4"/>
              <w:right w:val="single" w:color="2E75B6" w:sz="4"/>
            </w:tcBorders>
            <w:shd w:fill="FFFFFF" w:val="clear"/>
            <w:tcMar>
              <w:top w:type="dxa" w:w="80"/>
              <w:left w:type="dxa" w:w="120"/>
              <w:bottom w:type="dxa" w:w="80"/>
              <w:right w:type="dxa" w:w="80"/>
            </w:tcMar>
          </w:tcPr>
          <w:p>
            <w:r>
              <w:rPr>
                <w:b w:val="false"/>
                <w:bCs w:val="false"/>
                <w:color w:val="2D3436"/>
                <w:sz w:val="20"/>
                <w:szCs w:val="20"/>
              </w:rPr>
              <w:t xml:space="preserve">Intermédiaire</w:t>
            </w:r>
          </w:p>
        </w:tc>
      </w:tr>
    </w:tbl>
    <w:p>
      <w:pPr>
        <w:pStyle w:val="Heading1"/>
      </w:pPr>
      <w:r>
        <w:t xml:space="preserve">Vue d'Ensemble</w:t>
      </w:r>
    </w:p>
    <w:p>
      <w:pPr>
        <w:spacing w:after="160"/>
      </w:pPr>
      <w:r>
        <w:rPr>
          <w:sz w:val="22"/>
          <w:szCs w:val="22"/>
        </w:rPr>
        <w:t xml:space="preserve">Le Credit Spread Analyzer est un outil Python permettant d'analyser l'évolution des spreads de crédit (CDS) pour différents émetteurs. Il automatise le traitement de données, le calcul de statistiques descriptives, et la génération de visualisations professionnelles.</w:t>
      </w:r>
    </w:p>
    <w:p>
      <w:pPr>
        <w:spacing w:after="280"/>
      </w:pPr>
      <w:r>
        <w:rPr>
          <w:b/>
          <w:bCs/>
          <w:sz w:val="22"/>
          <w:szCs w:val="22"/>
        </w:rPr>
        <w:t xml:space="preserve">Objectif du projet : </w:t>
      </w:r>
      <w:r>
        <w:rPr>
          <w:sz w:val="22"/>
          <w:szCs w:val="22"/>
        </w:rPr>
        <w:t xml:space="preserve">Me familiariser avec l'analyse de données de marché crédit et développer un outil pratique de suivi des spreads, en anticipation d'un stage en structuration crédit.</w:t>
      </w:r>
    </w:p>
    <w:p>
      <w:pPr>
        <w:pStyle w:val="Heading1"/>
      </w:pPr>
      <w:r>
        <w:t xml:space="preserve">Fonctionnalités</w:t>
      </w:r>
    </w:p>
    <w:p>
      <w:pPr>
        <w:spacing w:after="140"/>
      </w:pPr>
      <w:r>
        <w:rPr>
          <w:sz w:val="22"/>
          <w:szCs w:val="22"/>
        </w:rPr>
        <w:t xml:space="preserve">L'outil offre les fonctionnalités suivantes :</w:t>
      </w:r>
    </w:p>
    <w:p>
      <w:pPr>
        <w:pStyle w:val="ListParagraph"/>
        <w:numPr>
          <w:ilvl w:val="0"/>
          <w:numId w:val="2"/>
        </w:numPr>
      </w:pPr>
      <w:r>
        <w:rPr>
          <w:sz w:val="22"/>
          <w:szCs w:val="22"/>
        </w:rPr>
        <w:t xml:space="preserve">Import automatique de données CDS depuis Excel</w:t>
      </w:r>
    </w:p>
    <w:p>
      <w:pPr>
        <w:pStyle w:val="ListParagraph"/>
        <w:numPr>
          <w:ilvl w:val="0"/>
          <w:numId w:val="2"/>
        </w:numPr>
      </w:pPr>
      <w:r>
        <w:rPr>
          <w:sz w:val="22"/>
          <w:szCs w:val="22"/>
        </w:rPr>
        <w:t xml:space="preserve">Calcul de statistiques descriptives (moyenne, min/max, volatilité, variations)</w:t>
      </w:r>
    </w:p>
    <w:p>
      <w:pPr>
        <w:pStyle w:val="ListParagraph"/>
        <w:numPr>
          <w:ilvl w:val="0"/>
          <w:numId w:val="2"/>
        </w:numPr>
      </w:pPr>
      <w:r>
        <w:rPr>
          <w:sz w:val="22"/>
          <w:szCs w:val="22"/>
        </w:rPr>
        <w:t xml:space="preserve">Génération automatique de 3 graphiques professionnels (évolution, comparaison, volatilité)</w:t>
      </w:r>
    </w:p>
    <w:p>
      <w:pPr>
        <w:pStyle w:val="ListParagraph"/>
        <w:numPr>
          <w:ilvl w:val="0"/>
          <w:numId w:val="2"/>
        </w:numPr>
      </w:pPr>
      <w:r>
        <w:rPr>
          <w:sz w:val="22"/>
          <w:szCs w:val="22"/>
        </w:rPr>
        <w:t xml:space="preserve">Export d'un dashboard Excel structuré avec statistiques et résumé</w:t>
      </w:r>
    </w:p>
    <w:p>
      <w:pPr>
        <w:pStyle w:val="ListParagraph"/>
        <w:numPr>
          <w:ilvl w:val="0"/>
          <w:numId w:val="2"/>
        </w:numPr>
        <w:spacing w:after="280"/>
      </w:pPr>
      <w:r>
        <w:rPr>
          <w:sz w:val="22"/>
          <w:szCs w:val="22"/>
        </w:rPr>
        <w:t xml:space="preserve">Code modulaire et commenté pour facilité maintenance et évolution</w:t>
      </w:r>
    </w:p>
    <w:p>
      <w:pPr>
        <w:pStyle w:val="Heading1"/>
      </w:pPr>
      <w:r>
        <w:t xml:space="preserve">Technologies Utilisées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2E75B6" w:sz="1"/>
              <w:left w:val="single" w:color="2E75B6" w:sz="1"/>
              <w:bottom w:val="single" w:color="2E75B6" w:sz="1"/>
              <w:right w:val="single" w:color="2E75B6" w:sz="1"/>
            </w:tcBorders>
            <w:shd w:fill="1F4E78" w:val="clear"/>
            <w:tcMar>
              <w:top w:type="dxa" w:w="100"/>
              <w:left w:type="dxa" w:w="140"/>
              <w:bottom w:type="dxa" w:w="100"/>
              <w:right w:type="dxa" w:w="140"/>
            </w:tcMar>
          </w:tcPr>
          <w:p>
            <w:r>
              <w:rPr>
                <w:b/>
                <w:bCs/>
                <w:color w:val="FFFFFF"/>
                <w:sz w:val="20"/>
                <w:szCs w:val="20"/>
              </w:rPr>
              <w:t xml:space="preserve">Technologie</w:t>
            </w:r>
          </w:p>
        </w:tc>
        <w:tc>
          <w:tcPr>
            <w:tcW w:type="dxa" w:w="1800"/>
            <w:tcBorders>
              <w:top w:val="single" w:color="2E75B6" w:sz="1"/>
              <w:left w:val="single" w:color="2E75B6" w:sz="1"/>
              <w:bottom w:val="single" w:color="2E75B6" w:sz="1"/>
              <w:right w:val="single" w:color="2E75B6" w:sz="1"/>
            </w:tcBorders>
            <w:shd w:fill="1F4E78" w:val="clear"/>
            <w:tcMar>
              <w:top w:type="dxa" w:w="100"/>
              <w:left w:type="dxa" w:w="140"/>
              <w:bottom w:type="dxa" w:w="100"/>
              <w:right w:type="dxa" w:w="140"/>
            </w:tcMar>
          </w:tcPr>
          <w:p>
            <w:r>
              <w:rPr>
                <w:b/>
                <w:bCs/>
                <w:color w:val="FFFFFF"/>
                <w:sz w:val="20"/>
                <w:szCs w:val="20"/>
              </w:rPr>
              <w:t xml:space="preserve">Version</w:t>
            </w:r>
          </w:p>
        </w:tc>
        <w:tc>
          <w:tcPr>
            <w:tcW w:type="dxa" w:w="4560"/>
            <w:tcBorders>
              <w:top w:val="single" w:color="2E75B6" w:sz="1"/>
              <w:left w:val="single" w:color="2E75B6" w:sz="1"/>
              <w:bottom w:val="single" w:color="2E75B6" w:sz="1"/>
              <w:right w:val="single" w:color="2E75B6" w:sz="1"/>
            </w:tcBorders>
            <w:shd w:fill="1F4E78" w:val="clear"/>
            <w:tcMar>
              <w:top w:type="dxa" w:w="100"/>
              <w:left w:type="dxa" w:w="140"/>
              <w:bottom w:type="dxa" w:w="100"/>
              <w:right w:type="dxa" w:w="140"/>
            </w:tcMar>
          </w:tcPr>
          <w:p>
            <w:r>
              <w:rPr>
                <w:b/>
                <w:bCs/>
                <w:color w:val="FFFFFF"/>
                <w:sz w:val="20"/>
                <w:szCs w:val="20"/>
              </w:rPr>
              <w:t xml:space="preserve">Utilisation</w:t>
            </w:r>
          </w:p>
        </w:tc>
      </w:tr>
      <w:tr>
        <w:tc>
          <w:tcPr>
            <w:tcW w:type="dxa" w:w="3000"/>
            <w:tcBorders>
              <w:top w:val="single" w:color="2E75B6" w:sz="1"/>
              <w:left w:val="single" w:color="2E75B6" w:sz="1"/>
              <w:bottom w:val="single" w:color="2E75B6" w:sz="1"/>
              <w:right w:val="single" w:color="2E75B6" w:sz="1"/>
            </w:tcBorders>
            <w:shd w:fill="F2F2F2" w:val="clear"/>
            <w:tcMar>
              <w:top w:type="dxa" w:w="100"/>
              <w:left w:type="dxa" w:w="140"/>
              <w:bottom w:type="dxa" w:w="100"/>
              <w:right w:type="dxa" w:w="140"/>
            </w:tcMar>
          </w:tcPr>
          <w:p>
            <w:r>
              <w:rPr>
                <w:b w:val="false"/>
                <w:bCs w:val="false"/>
                <w:color w:val="2D3436"/>
                <w:sz w:val="20"/>
                <w:szCs w:val="20"/>
              </w:rPr>
              <w:t xml:space="preserve">Python</w:t>
            </w:r>
          </w:p>
        </w:tc>
        <w:tc>
          <w:tcPr>
            <w:tcW w:type="dxa" w:w="1800"/>
            <w:tcBorders>
              <w:top w:val="single" w:color="2E75B6" w:sz="1"/>
              <w:left w:val="single" w:color="2E75B6" w:sz="1"/>
              <w:bottom w:val="single" w:color="2E75B6" w:sz="1"/>
              <w:right w:val="single" w:color="2E75B6" w:sz="1"/>
            </w:tcBorders>
            <w:shd w:fill="F2F2F2" w:val="clear"/>
            <w:tcMar>
              <w:top w:type="dxa" w:w="100"/>
              <w:left w:type="dxa" w:w="140"/>
              <w:bottom w:type="dxa" w:w="100"/>
              <w:right w:type="dxa" w:w="140"/>
            </w:tcMar>
          </w:tcPr>
          <w:p>
            <w:r>
              <w:rPr>
                <w:b w:val="false"/>
                <w:bCs w:val="false"/>
                <w:color w:val="2D3436"/>
                <w:sz w:val="20"/>
                <w:szCs w:val="20"/>
              </w:rPr>
              <w:t xml:space="preserve">3.8+</w:t>
            </w:r>
          </w:p>
        </w:tc>
        <w:tc>
          <w:tcPr>
            <w:tcW w:type="dxa" w:w="4560"/>
            <w:tcBorders>
              <w:top w:val="single" w:color="2E75B6" w:sz="1"/>
              <w:left w:val="single" w:color="2E75B6" w:sz="1"/>
              <w:bottom w:val="single" w:color="2E75B6" w:sz="1"/>
              <w:right w:val="single" w:color="2E75B6" w:sz="1"/>
            </w:tcBorders>
            <w:shd w:fill="F2F2F2" w:val="clear"/>
            <w:tcMar>
              <w:top w:type="dxa" w:w="100"/>
              <w:left w:type="dxa" w:w="140"/>
              <w:bottom w:type="dxa" w:w="100"/>
              <w:right w:type="dxa" w:w="140"/>
            </w:tcMar>
          </w:tcPr>
          <w:p>
            <w:r>
              <w:rPr>
                <w:b w:val="false"/>
                <w:bCs w:val="false"/>
                <w:color w:val="2D3436"/>
                <w:sz w:val="20"/>
                <w:szCs w:val="20"/>
              </w:rPr>
              <w:t xml:space="preserve">Langage principal</w:t>
            </w:r>
          </w:p>
        </w:tc>
      </w:tr>
      <w:tr>
        <w:tc>
          <w:tcPr>
            <w:tcW w:type="dxa" w:w="3000"/>
            <w:tcBorders>
              <w:top w:val="single" w:color="2E75B6" w:sz="1"/>
              <w:left w:val="single" w:color="2E75B6" w:sz="1"/>
              <w:bottom w:val="single" w:color="2E75B6" w:sz="1"/>
              <w:right w:val="single" w:color="2E75B6" w:sz="1"/>
            </w:tcBorders>
            <w:shd w:fill="FFFFFF" w:val="clear"/>
            <w:tcMar>
              <w:top w:type="dxa" w:w="100"/>
              <w:left w:type="dxa" w:w="140"/>
              <w:bottom w:type="dxa" w:w="100"/>
              <w:right w:type="dxa" w:w="140"/>
            </w:tcMar>
          </w:tcPr>
          <w:p>
            <w:r>
              <w:rPr>
                <w:b w:val="false"/>
                <w:bCs w:val="false"/>
                <w:color w:val="2D3436"/>
                <w:sz w:val="20"/>
                <w:szCs w:val="20"/>
              </w:rPr>
              <w:t xml:space="preserve">pandas</w:t>
            </w:r>
          </w:p>
        </w:tc>
        <w:tc>
          <w:tcPr>
            <w:tcW w:type="dxa" w:w="1800"/>
            <w:tcBorders>
              <w:top w:val="single" w:color="2E75B6" w:sz="1"/>
              <w:left w:val="single" w:color="2E75B6" w:sz="1"/>
              <w:bottom w:val="single" w:color="2E75B6" w:sz="1"/>
              <w:right w:val="single" w:color="2E75B6" w:sz="1"/>
            </w:tcBorders>
            <w:shd w:fill="FFFFFF" w:val="clear"/>
            <w:tcMar>
              <w:top w:type="dxa" w:w="100"/>
              <w:left w:type="dxa" w:w="140"/>
              <w:bottom w:type="dxa" w:w="100"/>
              <w:right w:type="dxa" w:w="140"/>
            </w:tcMar>
          </w:tcPr>
          <w:p>
            <w:r>
              <w:rPr>
                <w:b w:val="false"/>
                <w:bCs w:val="false"/>
                <w:color w:val="2D3436"/>
                <w:sz w:val="20"/>
                <w:szCs w:val="20"/>
              </w:rPr>
              <w:t xml:space="preserve">1.x</w:t>
            </w:r>
          </w:p>
        </w:tc>
        <w:tc>
          <w:tcPr>
            <w:tcW w:type="dxa" w:w="4560"/>
            <w:tcBorders>
              <w:top w:val="single" w:color="2E75B6" w:sz="1"/>
              <w:left w:val="single" w:color="2E75B6" w:sz="1"/>
              <w:bottom w:val="single" w:color="2E75B6" w:sz="1"/>
              <w:right w:val="single" w:color="2E75B6" w:sz="1"/>
            </w:tcBorders>
            <w:shd w:fill="FFFFFF" w:val="clear"/>
            <w:tcMar>
              <w:top w:type="dxa" w:w="100"/>
              <w:left w:type="dxa" w:w="140"/>
              <w:bottom w:type="dxa" w:w="100"/>
              <w:right w:type="dxa" w:w="140"/>
            </w:tcMar>
          </w:tcPr>
          <w:p>
            <w:r>
              <w:rPr>
                <w:b w:val="false"/>
                <w:bCs w:val="false"/>
                <w:color w:val="2D3436"/>
                <w:sz w:val="20"/>
                <w:szCs w:val="20"/>
              </w:rPr>
              <w:t xml:space="preserve">Manipulation et analyse de données</w:t>
            </w:r>
          </w:p>
        </w:tc>
      </w:tr>
      <w:tr>
        <w:tc>
          <w:tcPr>
            <w:tcW w:type="dxa" w:w="3000"/>
            <w:tcBorders>
              <w:top w:val="single" w:color="2E75B6" w:sz="1"/>
              <w:left w:val="single" w:color="2E75B6" w:sz="1"/>
              <w:bottom w:val="single" w:color="2E75B6" w:sz="1"/>
              <w:right w:val="single" w:color="2E75B6" w:sz="1"/>
            </w:tcBorders>
            <w:shd w:fill="F2F2F2" w:val="clear"/>
            <w:tcMar>
              <w:top w:type="dxa" w:w="100"/>
              <w:left w:type="dxa" w:w="140"/>
              <w:bottom w:type="dxa" w:w="100"/>
              <w:right w:type="dxa" w:w="140"/>
            </w:tcMar>
          </w:tcPr>
          <w:p>
            <w:r>
              <w:rPr>
                <w:b w:val="false"/>
                <w:bCs w:val="false"/>
                <w:color w:val="2D3436"/>
                <w:sz w:val="20"/>
                <w:szCs w:val="20"/>
              </w:rPr>
              <w:t xml:space="preserve">matplotlib</w:t>
            </w:r>
          </w:p>
        </w:tc>
        <w:tc>
          <w:tcPr>
            <w:tcW w:type="dxa" w:w="1800"/>
            <w:tcBorders>
              <w:top w:val="single" w:color="2E75B6" w:sz="1"/>
              <w:left w:val="single" w:color="2E75B6" w:sz="1"/>
              <w:bottom w:val="single" w:color="2E75B6" w:sz="1"/>
              <w:right w:val="single" w:color="2E75B6" w:sz="1"/>
            </w:tcBorders>
            <w:shd w:fill="F2F2F2" w:val="clear"/>
            <w:tcMar>
              <w:top w:type="dxa" w:w="100"/>
              <w:left w:type="dxa" w:w="140"/>
              <w:bottom w:type="dxa" w:w="100"/>
              <w:right w:type="dxa" w:w="140"/>
            </w:tcMar>
          </w:tcPr>
          <w:p>
            <w:r>
              <w:rPr>
                <w:b w:val="false"/>
                <w:bCs w:val="false"/>
                <w:color w:val="2D3436"/>
                <w:sz w:val="20"/>
                <w:szCs w:val="20"/>
              </w:rPr>
              <w:t xml:space="preserve">3.x</w:t>
            </w:r>
          </w:p>
        </w:tc>
        <w:tc>
          <w:tcPr>
            <w:tcW w:type="dxa" w:w="4560"/>
            <w:tcBorders>
              <w:top w:val="single" w:color="2E75B6" w:sz="1"/>
              <w:left w:val="single" w:color="2E75B6" w:sz="1"/>
              <w:bottom w:val="single" w:color="2E75B6" w:sz="1"/>
              <w:right w:val="single" w:color="2E75B6" w:sz="1"/>
            </w:tcBorders>
            <w:shd w:fill="F2F2F2" w:val="clear"/>
            <w:tcMar>
              <w:top w:type="dxa" w:w="100"/>
              <w:left w:type="dxa" w:w="140"/>
              <w:bottom w:type="dxa" w:w="100"/>
              <w:right w:type="dxa" w:w="140"/>
            </w:tcMar>
          </w:tcPr>
          <w:p>
            <w:r>
              <w:rPr>
                <w:b w:val="false"/>
                <w:bCs w:val="false"/>
                <w:color w:val="2D3436"/>
                <w:sz w:val="20"/>
                <w:szCs w:val="20"/>
              </w:rPr>
              <w:t xml:space="preserve">Génération de graphiques</w:t>
            </w:r>
          </w:p>
        </w:tc>
      </w:tr>
      <w:tr>
        <w:tc>
          <w:tcPr>
            <w:tcW w:type="dxa" w:w="3000"/>
            <w:tcBorders>
              <w:top w:val="single" w:color="2E75B6" w:sz="1"/>
              <w:left w:val="single" w:color="2E75B6" w:sz="1"/>
              <w:bottom w:val="single" w:color="2E75B6" w:sz="1"/>
              <w:right w:val="single" w:color="2E75B6" w:sz="1"/>
            </w:tcBorders>
            <w:shd w:fill="FFFFFF" w:val="clear"/>
            <w:tcMar>
              <w:top w:type="dxa" w:w="100"/>
              <w:left w:type="dxa" w:w="140"/>
              <w:bottom w:type="dxa" w:w="100"/>
              <w:right w:type="dxa" w:w="140"/>
            </w:tcMar>
          </w:tcPr>
          <w:p>
            <w:r>
              <w:rPr>
                <w:b w:val="false"/>
                <w:bCs w:val="false"/>
                <w:color w:val="2D3436"/>
                <w:sz w:val="20"/>
                <w:szCs w:val="20"/>
              </w:rPr>
              <w:t xml:space="preserve">openpyxl</w:t>
            </w:r>
          </w:p>
        </w:tc>
        <w:tc>
          <w:tcPr>
            <w:tcW w:type="dxa" w:w="1800"/>
            <w:tcBorders>
              <w:top w:val="single" w:color="2E75B6" w:sz="1"/>
              <w:left w:val="single" w:color="2E75B6" w:sz="1"/>
              <w:bottom w:val="single" w:color="2E75B6" w:sz="1"/>
              <w:right w:val="single" w:color="2E75B6" w:sz="1"/>
            </w:tcBorders>
            <w:shd w:fill="FFFFFF" w:val="clear"/>
            <w:tcMar>
              <w:top w:type="dxa" w:w="100"/>
              <w:left w:type="dxa" w:w="140"/>
              <w:bottom w:type="dxa" w:w="100"/>
              <w:right w:type="dxa" w:w="140"/>
            </w:tcMar>
          </w:tcPr>
          <w:p>
            <w:r>
              <w:rPr>
                <w:b w:val="false"/>
                <w:bCs w:val="false"/>
                <w:color w:val="2D3436"/>
                <w:sz w:val="20"/>
                <w:szCs w:val="20"/>
              </w:rPr>
              <w:t xml:space="preserve">3.x</w:t>
            </w:r>
          </w:p>
        </w:tc>
        <w:tc>
          <w:tcPr>
            <w:tcW w:type="dxa" w:w="4560"/>
            <w:tcBorders>
              <w:top w:val="single" w:color="2E75B6" w:sz="1"/>
              <w:left w:val="single" w:color="2E75B6" w:sz="1"/>
              <w:bottom w:val="single" w:color="2E75B6" w:sz="1"/>
              <w:right w:val="single" w:color="2E75B6" w:sz="1"/>
            </w:tcBorders>
            <w:shd w:fill="FFFFFF" w:val="clear"/>
            <w:tcMar>
              <w:top w:type="dxa" w:w="100"/>
              <w:left w:type="dxa" w:w="140"/>
              <w:bottom w:type="dxa" w:w="100"/>
              <w:right w:type="dxa" w:w="140"/>
            </w:tcMar>
          </w:tcPr>
          <w:p>
            <w:r>
              <w:rPr>
                <w:b w:val="false"/>
                <w:bCs w:val="false"/>
                <w:color w:val="2D3436"/>
                <w:sz w:val="20"/>
                <w:szCs w:val="20"/>
              </w:rPr>
              <w:t xml:space="preserve">Lecture/écriture fichiers Excel</w:t>
            </w:r>
          </w:p>
        </w:tc>
      </w:tr>
      <w:tr>
        <w:tc>
          <w:tcPr>
            <w:tcW w:type="dxa" w:w="3000"/>
            <w:tcBorders>
              <w:top w:val="single" w:color="2E75B6" w:sz="1"/>
              <w:left w:val="single" w:color="2E75B6" w:sz="1"/>
              <w:bottom w:val="single" w:color="2E75B6" w:sz="1"/>
              <w:right w:val="single" w:color="2E75B6" w:sz="1"/>
            </w:tcBorders>
            <w:shd w:fill="F2F2F2" w:val="clear"/>
            <w:tcMar>
              <w:top w:type="dxa" w:w="100"/>
              <w:left w:type="dxa" w:w="140"/>
              <w:bottom w:type="dxa" w:w="100"/>
              <w:right w:type="dxa" w:w="140"/>
            </w:tcMar>
          </w:tcPr>
          <w:p>
            <w:r>
              <w:rPr>
                <w:b w:val="false"/>
                <w:bCs w:val="false"/>
                <w:color w:val="2D3436"/>
                <w:sz w:val="20"/>
                <w:szCs w:val="20"/>
              </w:rPr>
              <w:t xml:space="preserve">NumPy</w:t>
            </w:r>
          </w:p>
        </w:tc>
        <w:tc>
          <w:tcPr>
            <w:tcW w:type="dxa" w:w="1800"/>
            <w:tcBorders>
              <w:top w:val="single" w:color="2E75B6" w:sz="1"/>
              <w:left w:val="single" w:color="2E75B6" w:sz="1"/>
              <w:bottom w:val="single" w:color="2E75B6" w:sz="1"/>
              <w:right w:val="single" w:color="2E75B6" w:sz="1"/>
            </w:tcBorders>
            <w:shd w:fill="F2F2F2" w:val="clear"/>
            <w:tcMar>
              <w:top w:type="dxa" w:w="100"/>
              <w:left w:type="dxa" w:w="140"/>
              <w:bottom w:type="dxa" w:w="100"/>
              <w:right w:type="dxa" w:w="140"/>
            </w:tcMar>
          </w:tcPr>
          <w:p>
            <w:r>
              <w:rPr>
                <w:b w:val="false"/>
                <w:bCs w:val="false"/>
                <w:color w:val="2D3436"/>
                <w:sz w:val="20"/>
                <w:szCs w:val="20"/>
              </w:rPr>
              <w:t xml:space="preserve">1.x</w:t>
            </w:r>
          </w:p>
        </w:tc>
        <w:tc>
          <w:tcPr>
            <w:tcW w:type="dxa" w:w="4560"/>
            <w:tcBorders>
              <w:top w:val="single" w:color="2E75B6" w:sz="1"/>
              <w:left w:val="single" w:color="2E75B6" w:sz="1"/>
              <w:bottom w:val="single" w:color="2E75B6" w:sz="1"/>
              <w:right w:val="single" w:color="2E75B6" w:sz="1"/>
            </w:tcBorders>
            <w:shd w:fill="F2F2F2" w:val="clear"/>
            <w:tcMar>
              <w:top w:type="dxa" w:w="100"/>
              <w:left w:type="dxa" w:w="140"/>
              <w:bottom w:type="dxa" w:w="100"/>
              <w:right w:type="dxa" w:w="140"/>
            </w:tcMar>
          </w:tcPr>
          <w:p>
            <w:r>
              <w:rPr>
                <w:b w:val="false"/>
                <w:bCs w:val="false"/>
                <w:color w:val="2D3436"/>
                <w:sz w:val="20"/>
                <w:szCs w:val="20"/>
              </w:rPr>
              <w:t xml:space="preserve">Calculs statistiques (dépendance pandas)</w:t>
            </w:r>
          </w:p>
        </w:tc>
      </w:tr>
    </w:tbl>
    <w:p>
      <w:pPr>
        <w:pStyle w:val="Heading1"/>
      </w:pPr>
      <w:r>
        <w:t xml:space="preserve">Guide d'Utilisation</w:t>
      </w:r>
    </w:p>
    <w:p>
      <w:pPr>
        <w:pStyle w:val="Heading2"/>
      </w:pPr>
      <w:r>
        <w:t xml:space="preserve">1. Prérequis</w:t>
      </w:r>
    </w:p>
    <w:p>
      <w:pPr>
        <w:spacing w:after="120"/>
      </w:pPr>
      <w:r>
        <w:rPr>
          <w:sz w:val="22"/>
          <w:szCs w:val="22"/>
        </w:rPr>
        <w:t xml:space="preserve">Installation des bibliothèques Python nécessaires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1"/>
              <w:left w:val="single" w:color="2E75B6" w:sz="1"/>
              <w:bottom w:val="single" w:color="2E75B6" w:sz="1"/>
              <w:right w:val="single" w:color="2E75B6" w:sz="1"/>
            </w:tcBorders>
            <w:shd w:fill="F5F5F5" w:val="clear"/>
            <w:tcMar>
              <w:top w:type="dxa" w:w="140"/>
              <w:left w:type="dxa" w:w="200"/>
              <w:bottom w:type="dxa" w:w="140"/>
              <w:right w:type="dxa" w:w="200"/>
            </w:tcMar>
          </w:tcPr>
          <w:p>
            <w:r>
              <w:rPr>
                <w:rFonts w:ascii="Courier New" w:cs="Courier New" w:eastAsia="Courier New" w:hAnsi="Courier New"/>
                <w:color w:val="2D3436"/>
                <w:sz w:val="20"/>
                <w:szCs w:val="20"/>
              </w:rPr>
              <w:t xml:space="preserve">pip install pandas openpyxl matplotlib</w:t>
            </w:r>
          </w:p>
        </w:tc>
      </w:tr>
    </w:tbl>
    <w:p>
      <w:pPr>
        <w:pStyle w:val="Heading2"/>
      </w:pPr>
      <w:r>
        <w:t xml:space="preserve">2. Préparation des Données</w:t>
      </w:r>
    </w:p>
    <w:p>
      <w:pPr>
        <w:spacing w:after="140"/>
      </w:pPr>
      <w:r>
        <w:rPr>
          <w:sz w:val="22"/>
          <w:szCs w:val="22"/>
        </w:rPr>
        <w:t xml:space="preserve">Le fichier Excel d'entrée doit contenir un onglet 'CDS_Data' avec les colonnes suivantes :</w:t>
      </w:r>
    </w:p>
    <w:p>
      <w:pPr>
        <w:pStyle w:val="ListParagraph"/>
        <w:numPr>
          <w:ilvl w:val="0"/>
          <w:numId w:val="2"/>
        </w:numPr>
      </w:pPr>
      <w:r>
        <w:rPr>
          <w:sz w:val="22"/>
          <w:szCs w:val="22"/>
        </w:rPr>
        <w:t xml:space="preserve">Date : Date de cotation (format YYYY-MM-DD)</w:t>
      </w:r>
    </w:p>
    <w:p>
      <w:pPr>
        <w:pStyle w:val="ListParagraph"/>
        <w:numPr>
          <w:ilvl w:val="0"/>
          <w:numId w:val="2"/>
        </w:numPr>
      </w:pPr>
      <w:r>
        <w:rPr>
          <w:sz w:val="22"/>
          <w:szCs w:val="22"/>
        </w:rPr>
        <w:t xml:space="preserve">Emetteur : Nom de l'entreprise/émetteur</w:t>
      </w:r>
    </w:p>
    <w:p>
      <w:pPr>
        <w:pStyle w:val="ListParagraph"/>
        <w:numPr>
          <w:ilvl w:val="0"/>
          <w:numId w:val="2"/>
        </w:numPr>
        <w:spacing w:after="160"/>
      </w:pPr>
      <w:r>
        <w:rPr>
          <w:sz w:val="22"/>
          <w:szCs w:val="22"/>
        </w:rPr>
        <w:t xml:space="preserve">Spread (bps) : Spread CDS en basis points</w:t>
      </w:r>
    </w:p>
    <w:p>
      <w:pPr>
        <w:spacing w:after="280"/>
      </w:pPr>
      <w:r>
        <w:rPr>
          <w:sz w:val="22"/>
          <w:szCs w:val="22"/>
        </w:rPr>
        <w:t xml:space="preserve">Un fichier d'exemple (</w:t>
      </w:r>
      <w:r>
        <w:rPr>
          <w:rFonts w:ascii="Courier New" w:cs="Courier New" w:eastAsia="Courier New" w:hAnsi="Courier New"/>
          <w:color w:val="2E75B6"/>
          <w:sz w:val="22"/>
          <w:szCs w:val="22"/>
        </w:rPr>
        <w:t xml:space="preserve">cds_data_sample.xlsx</w:t>
      </w:r>
      <w:r>
        <w:rPr>
          <w:sz w:val="22"/>
          <w:szCs w:val="22"/>
        </w:rPr>
        <w:t xml:space="preserve">) est fourni avec des données simulées.</w:t>
      </w:r>
    </w:p>
    <w:p>
      <w:pPr>
        <w:pStyle w:val="Heading2"/>
      </w:pPr>
      <w:r>
        <w:t xml:space="preserve">3. Exécution</w:t>
      </w:r>
    </w:p>
    <w:p>
      <w:pPr>
        <w:spacing w:after="120"/>
      </w:pPr>
      <w:r>
        <w:rPr>
          <w:sz w:val="22"/>
          <w:szCs w:val="22"/>
        </w:rPr>
        <w:t xml:space="preserve">Lancer le script Python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1"/>
              <w:left w:val="single" w:color="2E75B6" w:sz="1"/>
              <w:bottom w:val="single" w:color="2E75B6" w:sz="1"/>
              <w:right w:val="single" w:color="2E75B6" w:sz="1"/>
            </w:tcBorders>
            <w:shd w:fill="F5F5F5" w:val="clear"/>
            <w:tcMar>
              <w:top w:type="dxa" w:w="140"/>
              <w:left w:type="dxa" w:w="200"/>
              <w:bottom w:type="dxa" w:w="140"/>
              <w:right w:type="dxa" w:w="200"/>
            </w:tcMar>
          </w:tcPr>
          <w:p>
            <w:r>
              <w:rPr>
                <w:rFonts w:ascii="Courier New" w:cs="Courier New" w:eastAsia="Courier New" w:hAnsi="Courier New"/>
                <w:color w:val="2D3436"/>
                <w:sz w:val="20"/>
                <w:szCs w:val="20"/>
              </w:rPr>
              <w:t xml:space="preserve">python credit_spread_analyzer.py</w:t>
            </w:r>
          </w:p>
        </w:tc>
      </w:tr>
    </w:tbl>
    <w:p>
      <w:pPr>
        <w:spacing w:after="140"/>
      </w:pPr>
      <w:r>
        <w:rPr>
          <w:sz w:val="22"/>
          <w:szCs w:val="22"/>
        </w:rPr>
        <w:t xml:space="preserve">Le script génère automatiquement :</w:t>
      </w:r>
    </w:p>
    <w:p>
      <w:pPr>
        <w:pStyle w:val="ListParagraph"/>
        <w:numPr>
          <w:ilvl w:val="0"/>
          <w:numId w:val="2"/>
        </w:numPr>
      </w:pPr>
      <w:r>
        <w:rPr>
          <w:sz w:val="22"/>
          <w:szCs w:val="22"/>
        </w:rPr>
        <w:t xml:space="preserve">Un dashboard Excel (Credit_Spread_Dashboard.xlsx)</w:t>
      </w:r>
    </w:p>
    <w:p>
      <w:pPr>
        <w:pStyle w:val="ListParagraph"/>
        <w:numPr>
          <w:ilvl w:val="0"/>
          <w:numId w:val="2"/>
        </w:numPr>
        <w:spacing w:after="280"/>
      </w:pPr>
      <w:r>
        <w:rPr>
          <w:sz w:val="22"/>
          <w:szCs w:val="22"/>
        </w:rPr>
        <w:t xml:space="preserve">3 graphiques PNG (évolution, comparaison, volatilité)</w:t>
      </w:r>
    </w:p>
    <w:p>
      <w:pPr>
        <w:pStyle w:val="Heading1"/>
      </w:pPr>
      <w:r>
        <w:t xml:space="preserve">Résultats et Livrables</w:t>
      </w:r>
    </w:p>
    <w:p>
      <w:pPr>
        <w:pStyle w:val="Heading2"/>
      </w:pPr>
      <w:r>
        <w:t xml:space="preserve">Dashboard Excel</w:t>
      </w:r>
    </w:p>
    <w:p>
      <w:pPr>
        <w:spacing w:after="140"/>
      </w:pPr>
      <w:r>
        <w:rPr>
          <w:sz w:val="22"/>
          <w:szCs w:val="22"/>
        </w:rPr>
        <w:t xml:space="preserve">Le fichier Excel généré contient 3 onglets :</w:t>
      </w:r>
    </w:p>
    <w:p>
      <w:pPr>
        <w:pStyle w:val="ListParagraph"/>
        <w:numPr>
          <w:ilvl w:val="0"/>
          <w:numId w:val="2"/>
        </w:numPr>
      </w:pPr>
      <w:r>
        <w:rPr>
          <w:sz w:val="22"/>
          <w:szCs w:val="22"/>
        </w:rPr>
        <w:t xml:space="preserve">Statistiques : Tableau récapitulatif des métriques par émetteur (spread actuel, min/max, moyenne, écart-type, variation 1M, volatilité)</w:t>
      </w:r>
    </w:p>
    <w:p>
      <w:pPr>
        <w:pStyle w:val="ListParagraph"/>
        <w:numPr>
          <w:ilvl w:val="0"/>
          <w:numId w:val="2"/>
        </w:numPr>
      </w:pPr>
      <w:r>
        <w:rPr>
          <w:sz w:val="22"/>
          <w:szCs w:val="22"/>
        </w:rPr>
        <w:t xml:space="preserve">Données : Données brutes importées depuis le fichier source</w:t>
      </w:r>
    </w:p>
    <w:p>
      <w:pPr>
        <w:pStyle w:val="ListParagraph"/>
        <w:numPr>
          <w:ilvl w:val="0"/>
          <w:numId w:val="2"/>
        </w:numPr>
        <w:spacing w:after="280"/>
      </w:pPr>
      <w:r>
        <w:rPr>
          <w:sz w:val="22"/>
          <w:szCs w:val="22"/>
        </w:rPr>
        <w:t xml:space="preserve">Résumé : Vue d'ensemble de l'analyse (nombre d'émetteurs, période, moyennes de marché)</w:t>
      </w:r>
    </w:p>
    <w:p>
      <w:pPr>
        <w:pStyle w:val="Heading2"/>
      </w:pPr>
      <w:r>
        <w:t xml:space="preserve">Graphiques</w:t>
      </w:r>
    </w:p>
    <w:p>
      <w:pPr>
        <w:pStyle w:val="ListParagraph"/>
        <w:numPr>
          <w:ilvl w:val="0"/>
          <w:numId w:val="2"/>
        </w:numPr>
      </w:pPr>
      <w:r>
        <w:rPr>
          <w:sz w:val="22"/>
          <w:szCs w:val="22"/>
        </w:rPr>
        <w:t xml:space="preserve">spread_evolution.png : Évolution temporelle des spreads pour tous les émetteurs</w:t>
      </w:r>
    </w:p>
    <w:p>
      <w:pPr>
        <w:pStyle w:val="ListParagraph"/>
        <w:numPr>
          <w:ilvl w:val="0"/>
          <w:numId w:val="2"/>
        </w:numPr>
      </w:pPr>
      <w:r>
        <w:rPr>
          <w:sz w:val="22"/>
          <w:szCs w:val="22"/>
        </w:rPr>
        <w:t xml:space="preserve">spread_comparison.png : Comparaison des spreads actuels (barres horizontales avec code couleur)</w:t>
      </w:r>
    </w:p>
    <w:p>
      <w:pPr>
        <w:pStyle w:val="ListParagraph"/>
        <w:numPr>
          <w:ilvl w:val="0"/>
          <w:numId w:val="2"/>
        </w:numPr>
        <w:spacing w:after="280"/>
      </w:pPr>
      <w:r>
        <w:rPr>
          <w:sz w:val="22"/>
          <w:szCs w:val="22"/>
        </w:rPr>
        <w:t xml:space="preserve">spread_volatility.png : Analyse de la volatilité par émetteur</w:t>
      </w:r>
    </w:p>
    <w:p>
      <w:pPr>
        <w:pStyle w:val="Heading1"/>
      </w:pPr>
      <w:r>
        <w:t xml:space="preserve">Compétences Démontrées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2E75B6" w:sz="1"/>
              <w:left w:val="single" w:color="2E75B6" w:sz="1"/>
              <w:bottom w:val="single" w:color="2E75B6" w:sz="1"/>
              <w:right w:val="single" w:color="2E75B6" w:sz="1"/>
            </w:tcBorders>
            <w:shd w:fill="70AD47" w:val="clear"/>
            <w:tcMar>
              <w:top w:type="dxa" w:w="100"/>
              <w:left w:type="dxa" w:w="140"/>
              <w:bottom w:type="dxa" w:w="100"/>
              <w:right w:type="dxa" w:w="140"/>
            </w:tcMar>
          </w:tcPr>
          <w:p>
            <w:r>
              <w:rPr>
                <w:b/>
                <w:bCs/>
                <w:color w:val="FFFFFF"/>
                <w:sz w:val="20"/>
                <w:szCs w:val="20"/>
              </w:rPr>
              <w:t xml:space="preserve">Compétence</w:t>
            </w:r>
          </w:p>
        </w:tc>
        <w:tc>
          <w:tcPr>
            <w:tcW w:type="dxa" w:w="6160"/>
            <w:tcBorders>
              <w:top w:val="single" w:color="2E75B6" w:sz="1"/>
              <w:left w:val="single" w:color="2E75B6" w:sz="1"/>
              <w:bottom w:val="single" w:color="2E75B6" w:sz="1"/>
              <w:right w:val="single" w:color="2E75B6" w:sz="1"/>
            </w:tcBorders>
            <w:shd w:fill="70AD47" w:val="clear"/>
            <w:tcMar>
              <w:top w:type="dxa" w:w="100"/>
              <w:left w:type="dxa" w:w="140"/>
              <w:bottom w:type="dxa" w:w="100"/>
              <w:right w:type="dxa" w:w="140"/>
            </w:tcMar>
          </w:tcPr>
          <w:p>
            <w:r>
              <w:rPr>
                <w:b/>
                <w:bCs/>
                <w:color w:val="FFFFFF"/>
                <w:sz w:val="20"/>
                <w:szCs w:val="20"/>
              </w:rPr>
              <w:t xml:space="preserve">Application dans le Projet</w:t>
            </w:r>
          </w:p>
        </w:tc>
      </w:tr>
      <w:tr>
        <w:tc>
          <w:tcPr>
            <w:tcW w:type="dxa" w:w="3200"/>
            <w:tcBorders>
              <w:top w:val="single" w:color="2E75B6" w:sz="1"/>
              <w:left w:val="single" w:color="2E75B6" w:sz="1"/>
              <w:bottom w:val="single" w:color="2E75B6" w:sz="1"/>
              <w:right w:val="single" w:color="2E75B6" w:sz="1"/>
            </w:tcBorders>
            <w:shd w:fill="F2F2F2" w:val="clear"/>
            <w:tcMar>
              <w:top w:type="dxa" w:w="100"/>
              <w:left w:type="dxa" w:w="140"/>
              <w:bottom w:type="dxa" w:w="100"/>
              <w:right w:type="dxa" w:w="140"/>
            </w:tcMar>
          </w:tcPr>
          <w:p>
            <w:r>
              <w:rPr>
                <w:b w:val="false"/>
                <w:bCs w:val="false"/>
                <w:color w:val="2D3436"/>
                <w:sz w:val="20"/>
                <w:szCs w:val="20"/>
              </w:rPr>
              <w:t xml:space="preserve">Python</w:t>
            </w:r>
          </w:p>
        </w:tc>
        <w:tc>
          <w:tcPr>
            <w:tcW w:type="dxa" w:w="6160"/>
            <w:tcBorders>
              <w:top w:val="single" w:color="2E75B6" w:sz="1"/>
              <w:left w:val="single" w:color="2E75B6" w:sz="1"/>
              <w:bottom w:val="single" w:color="2E75B6" w:sz="1"/>
              <w:right w:val="single" w:color="2E75B6" w:sz="1"/>
            </w:tcBorders>
            <w:shd w:fill="F2F2F2" w:val="clear"/>
            <w:tcMar>
              <w:top w:type="dxa" w:w="100"/>
              <w:left w:type="dxa" w:w="140"/>
              <w:bottom w:type="dxa" w:w="100"/>
              <w:right w:type="dxa" w:w="140"/>
            </w:tcMar>
          </w:tcPr>
          <w:p>
            <w:r>
              <w:rPr>
                <w:b w:val="false"/>
                <w:bCs w:val="false"/>
                <w:color w:val="2D3436"/>
                <w:sz w:val="20"/>
                <w:szCs w:val="20"/>
              </w:rPr>
              <w:t xml:space="preserve">Développement d'un script modulaire et orienté objet (classe CreditSpreadAnalyzer)</w:t>
            </w:r>
          </w:p>
        </w:tc>
      </w:tr>
      <w:tr>
        <w:tc>
          <w:tcPr>
            <w:tcW w:type="dxa" w:w="3200"/>
            <w:tcBorders>
              <w:top w:val="single" w:color="2E75B6" w:sz="1"/>
              <w:left w:val="single" w:color="2E75B6" w:sz="1"/>
              <w:bottom w:val="single" w:color="2E75B6" w:sz="1"/>
              <w:right w:val="single" w:color="2E75B6" w:sz="1"/>
            </w:tcBorders>
            <w:shd w:fill="FFFFFF" w:val="clear"/>
            <w:tcMar>
              <w:top w:type="dxa" w:w="100"/>
              <w:left w:type="dxa" w:w="140"/>
              <w:bottom w:type="dxa" w:w="100"/>
              <w:right w:type="dxa" w:w="140"/>
            </w:tcMar>
          </w:tcPr>
          <w:p>
            <w:r>
              <w:rPr>
                <w:b w:val="false"/>
                <w:bCs w:val="false"/>
                <w:color w:val="2D3436"/>
                <w:sz w:val="20"/>
                <w:szCs w:val="20"/>
              </w:rPr>
              <w:t xml:space="preserve">Data Analysis</w:t>
            </w:r>
          </w:p>
        </w:tc>
        <w:tc>
          <w:tcPr>
            <w:tcW w:type="dxa" w:w="6160"/>
            <w:tcBorders>
              <w:top w:val="single" w:color="2E75B6" w:sz="1"/>
              <w:left w:val="single" w:color="2E75B6" w:sz="1"/>
              <w:bottom w:val="single" w:color="2E75B6" w:sz="1"/>
              <w:right w:val="single" w:color="2E75B6" w:sz="1"/>
            </w:tcBorders>
            <w:shd w:fill="FFFFFF" w:val="clear"/>
            <w:tcMar>
              <w:top w:type="dxa" w:w="100"/>
              <w:left w:type="dxa" w:w="140"/>
              <w:bottom w:type="dxa" w:w="100"/>
              <w:right w:type="dxa" w:w="140"/>
            </w:tcMar>
          </w:tcPr>
          <w:p>
            <w:r>
              <w:rPr>
                <w:b w:val="false"/>
                <w:bCs w:val="false"/>
                <w:color w:val="2D3436"/>
                <w:sz w:val="20"/>
                <w:szCs w:val="20"/>
              </w:rPr>
              <w:t xml:space="preserve">Calcul de statistiques descriptives, variations, volatilités</w:t>
            </w:r>
          </w:p>
        </w:tc>
      </w:tr>
      <w:tr>
        <w:tc>
          <w:tcPr>
            <w:tcW w:type="dxa" w:w="3200"/>
            <w:tcBorders>
              <w:top w:val="single" w:color="2E75B6" w:sz="1"/>
              <w:left w:val="single" w:color="2E75B6" w:sz="1"/>
              <w:bottom w:val="single" w:color="2E75B6" w:sz="1"/>
              <w:right w:val="single" w:color="2E75B6" w:sz="1"/>
            </w:tcBorders>
            <w:shd w:fill="F2F2F2" w:val="clear"/>
            <w:tcMar>
              <w:top w:type="dxa" w:w="100"/>
              <w:left w:type="dxa" w:w="140"/>
              <w:bottom w:type="dxa" w:w="100"/>
              <w:right w:type="dxa" w:w="140"/>
            </w:tcMar>
          </w:tcPr>
          <w:p>
            <w:r>
              <w:rPr>
                <w:b w:val="false"/>
                <w:bCs w:val="false"/>
                <w:color w:val="2D3436"/>
                <w:sz w:val="20"/>
                <w:szCs w:val="20"/>
              </w:rPr>
              <w:t xml:space="preserve">Data Visualization</w:t>
            </w:r>
          </w:p>
        </w:tc>
        <w:tc>
          <w:tcPr>
            <w:tcW w:type="dxa" w:w="6160"/>
            <w:tcBorders>
              <w:top w:val="single" w:color="2E75B6" w:sz="1"/>
              <w:left w:val="single" w:color="2E75B6" w:sz="1"/>
              <w:bottom w:val="single" w:color="2E75B6" w:sz="1"/>
              <w:right w:val="single" w:color="2E75B6" w:sz="1"/>
            </w:tcBorders>
            <w:shd w:fill="F2F2F2" w:val="clear"/>
            <w:tcMar>
              <w:top w:type="dxa" w:w="100"/>
              <w:left w:type="dxa" w:w="140"/>
              <w:bottom w:type="dxa" w:w="100"/>
              <w:right w:type="dxa" w:w="140"/>
            </w:tcMar>
          </w:tcPr>
          <w:p>
            <w:r>
              <w:rPr>
                <w:b w:val="false"/>
                <w:bCs w:val="false"/>
                <w:color w:val="2D3436"/>
                <w:sz w:val="20"/>
                <w:szCs w:val="20"/>
              </w:rPr>
              <w:t xml:space="preserve">Création de graphiques professionnels avec matplotlib</w:t>
            </w:r>
          </w:p>
        </w:tc>
      </w:tr>
      <w:tr>
        <w:tc>
          <w:tcPr>
            <w:tcW w:type="dxa" w:w="3200"/>
            <w:tcBorders>
              <w:top w:val="single" w:color="2E75B6" w:sz="1"/>
              <w:left w:val="single" w:color="2E75B6" w:sz="1"/>
              <w:bottom w:val="single" w:color="2E75B6" w:sz="1"/>
              <w:right w:val="single" w:color="2E75B6" w:sz="1"/>
            </w:tcBorders>
            <w:shd w:fill="FFFFFF" w:val="clear"/>
            <w:tcMar>
              <w:top w:type="dxa" w:w="100"/>
              <w:left w:type="dxa" w:w="140"/>
              <w:bottom w:type="dxa" w:w="100"/>
              <w:right w:type="dxa" w:w="140"/>
            </w:tcMar>
          </w:tcPr>
          <w:p>
            <w:r>
              <w:rPr>
                <w:b w:val="false"/>
                <w:bCs w:val="false"/>
                <w:color w:val="2D3436"/>
                <w:sz w:val="20"/>
                <w:szCs w:val="20"/>
              </w:rPr>
              <w:t xml:space="preserve">Excel Automation</w:t>
            </w:r>
          </w:p>
        </w:tc>
        <w:tc>
          <w:tcPr>
            <w:tcW w:type="dxa" w:w="6160"/>
            <w:tcBorders>
              <w:top w:val="single" w:color="2E75B6" w:sz="1"/>
              <w:left w:val="single" w:color="2E75B6" w:sz="1"/>
              <w:bottom w:val="single" w:color="2E75B6" w:sz="1"/>
              <w:right w:val="single" w:color="2E75B6" w:sz="1"/>
            </w:tcBorders>
            <w:shd w:fill="FFFFFF" w:val="clear"/>
            <w:tcMar>
              <w:top w:type="dxa" w:w="100"/>
              <w:left w:type="dxa" w:w="140"/>
              <w:bottom w:type="dxa" w:w="100"/>
              <w:right w:type="dxa" w:w="140"/>
            </w:tcMar>
          </w:tcPr>
          <w:p>
            <w:r>
              <w:rPr>
                <w:b w:val="false"/>
                <w:bCs w:val="false"/>
                <w:color w:val="2D3436"/>
                <w:sz w:val="20"/>
                <w:szCs w:val="20"/>
              </w:rPr>
              <w:t xml:space="preserve">Génération automatique de dashboards Excel structurés</w:t>
            </w:r>
          </w:p>
        </w:tc>
      </w:tr>
      <w:tr>
        <w:tc>
          <w:tcPr>
            <w:tcW w:type="dxa" w:w="3200"/>
            <w:tcBorders>
              <w:top w:val="single" w:color="2E75B6" w:sz="1"/>
              <w:left w:val="single" w:color="2E75B6" w:sz="1"/>
              <w:bottom w:val="single" w:color="2E75B6" w:sz="1"/>
              <w:right w:val="single" w:color="2E75B6" w:sz="1"/>
            </w:tcBorders>
            <w:shd w:fill="F2F2F2" w:val="clear"/>
            <w:tcMar>
              <w:top w:type="dxa" w:w="100"/>
              <w:left w:type="dxa" w:w="140"/>
              <w:bottom w:type="dxa" w:w="100"/>
              <w:right w:type="dxa" w:w="140"/>
            </w:tcMar>
          </w:tcPr>
          <w:p>
            <w:r>
              <w:rPr>
                <w:b w:val="false"/>
                <w:bCs w:val="false"/>
                <w:color w:val="2D3436"/>
                <w:sz w:val="20"/>
                <w:szCs w:val="20"/>
              </w:rPr>
              <w:t xml:space="preserve">Marchés Financiers</w:t>
            </w:r>
          </w:p>
        </w:tc>
        <w:tc>
          <w:tcPr>
            <w:tcW w:type="dxa" w:w="6160"/>
            <w:tcBorders>
              <w:top w:val="single" w:color="2E75B6" w:sz="1"/>
              <w:left w:val="single" w:color="2E75B6" w:sz="1"/>
              <w:bottom w:val="single" w:color="2E75B6" w:sz="1"/>
              <w:right w:val="single" w:color="2E75B6" w:sz="1"/>
            </w:tcBorders>
            <w:shd w:fill="F2F2F2" w:val="clear"/>
            <w:tcMar>
              <w:top w:type="dxa" w:w="100"/>
              <w:left w:type="dxa" w:w="140"/>
              <w:bottom w:type="dxa" w:w="100"/>
              <w:right w:type="dxa" w:w="140"/>
            </w:tcMar>
          </w:tcPr>
          <w:p>
            <w:r>
              <w:rPr>
                <w:b w:val="false"/>
                <w:bCs w:val="false"/>
                <w:color w:val="2D3436"/>
                <w:sz w:val="20"/>
                <w:szCs w:val="20"/>
              </w:rPr>
              <w:t xml:space="preserve">Compréhension des spreads CDS et du risque de crédit</w:t>
            </w:r>
          </w:p>
        </w:tc>
      </w:tr>
      <w:tr>
        <w:tc>
          <w:tcPr>
            <w:tcW w:type="dxa" w:w="3200"/>
            <w:tcBorders>
              <w:top w:val="single" w:color="2E75B6" w:sz="1"/>
              <w:left w:val="single" w:color="2E75B6" w:sz="1"/>
              <w:bottom w:val="single" w:color="2E75B6" w:sz="1"/>
              <w:right w:val="single" w:color="2E75B6" w:sz="1"/>
            </w:tcBorders>
            <w:shd w:fill="FFFFFF" w:val="clear"/>
            <w:tcMar>
              <w:top w:type="dxa" w:w="100"/>
              <w:left w:type="dxa" w:w="140"/>
              <w:bottom w:type="dxa" w:w="100"/>
              <w:right w:type="dxa" w:w="140"/>
            </w:tcMar>
          </w:tcPr>
          <w:p>
            <w:r>
              <w:rPr>
                <w:b w:val="false"/>
                <w:bCs w:val="false"/>
                <w:color w:val="2D3436"/>
                <w:sz w:val="20"/>
                <w:szCs w:val="20"/>
              </w:rPr>
              <w:t xml:space="preserve">Documentation</w:t>
            </w:r>
          </w:p>
        </w:tc>
        <w:tc>
          <w:tcPr>
            <w:tcW w:type="dxa" w:w="6160"/>
            <w:tcBorders>
              <w:top w:val="single" w:color="2E75B6" w:sz="1"/>
              <w:left w:val="single" w:color="2E75B6" w:sz="1"/>
              <w:bottom w:val="single" w:color="2E75B6" w:sz="1"/>
              <w:right w:val="single" w:color="2E75B6" w:sz="1"/>
            </w:tcBorders>
            <w:shd w:fill="FFFFFF" w:val="clear"/>
            <w:tcMar>
              <w:top w:type="dxa" w:w="100"/>
              <w:left w:type="dxa" w:w="140"/>
              <w:bottom w:type="dxa" w:w="100"/>
              <w:right w:type="dxa" w:w="140"/>
            </w:tcMar>
          </w:tcPr>
          <w:p>
            <w:r>
              <w:rPr>
                <w:b w:val="false"/>
                <w:bCs w:val="false"/>
                <w:color w:val="2D3436"/>
                <w:sz w:val="20"/>
                <w:szCs w:val="20"/>
              </w:rPr>
              <w:t xml:space="preserve">Code commenté, docstrings Python, guide utilisateur</w:t>
            </w:r>
          </w:p>
        </w:tc>
      </w:tr>
    </w:tbl>
    <w:p>
      <w:pPr>
        <w:pStyle w:val="Heading1"/>
      </w:pPr>
      <w:r>
        <w:t xml:space="preserve">Évolutions Possibles</w:t>
      </w:r>
    </w:p>
    <w:p>
      <w:pPr>
        <w:spacing w:after="140"/>
      </w:pPr>
      <w:r>
        <w:rPr>
          <w:sz w:val="22"/>
          <w:szCs w:val="22"/>
        </w:rPr>
        <w:t xml:space="preserve">Ce projet constitue une base solide qui pourrait être étendue avec les fonctionnalités suivantes :</w:t>
      </w:r>
    </w:p>
    <w:p>
      <w:pPr>
        <w:pStyle w:val="ListParagraph"/>
        <w:numPr>
          <w:ilvl w:val="0"/>
          <w:numId w:val="2"/>
        </w:numPr>
      </w:pPr>
      <w:r>
        <w:rPr>
          <w:sz w:val="22"/>
          <w:szCs w:val="22"/>
        </w:rPr>
        <w:t xml:space="preserve">Connexion à une API de données de marché (Bloomberg, Refinitiv) pour données temps réel</w:t>
      </w:r>
    </w:p>
    <w:p>
      <w:pPr>
        <w:pStyle w:val="ListParagraph"/>
        <w:numPr>
          <w:ilvl w:val="0"/>
          <w:numId w:val="2"/>
        </w:numPr>
      </w:pPr>
      <w:r>
        <w:rPr>
          <w:sz w:val="22"/>
          <w:szCs w:val="22"/>
        </w:rPr>
        <w:t xml:space="preserve">Ajout d'alertes automatiques si spread dépasse un seuil critique</w:t>
      </w:r>
    </w:p>
    <w:p>
      <w:pPr>
        <w:pStyle w:val="ListParagraph"/>
        <w:numPr>
          <w:ilvl w:val="0"/>
          <w:numId w:val="2"/>
        </w:numPr>
      </w:pPr>
      <w:r>
        <w:rPr>
          <w:sz w:val="22"/>
          <w:szCs w:val="22"/>
        </w:rPr>
        <w:t xml:space="preserve">Calcul de corrélations entre spreads d'émetteurs du même secteur</w:t>
      </w:r>
    </w:p>
    <w:p>
      <w:pPr>
        <w:pStyle w:val="ListParagraph"/>
        <w:numPr>
          <w:ilvl w:val="0"/>
          <w:numId w:val="2"/>
        </w:numPr>
      </w:pPr>
      <w:r>
        <w:rPr>
          <w:sz w:val="22"/>
          <w:szCs w:val="22"/>
        </w:rPr>
        <w:t xml:space="preserve">Interface graphique (GUI) avec Streamlit ou Dash pour utilisation interactive</w:t>
      </w:r>
    </w:p>
    <w:p>
      <w:pPr>
        <w:pStyle w:val="ListParagraph"/>
        <w:numPr>
          <w:ilvl w:val="0"/>
          <w:numId w:val="2"/>
        </w:numPr>
        <w:spacing w:after="280"/>
      </w:pPr>
      <w:r>
        <w:rPr>
          <w:sz w:val="22"/>
          <w:szCs w:val="22"/>
        </w:rPr>
        <w:t xml:space="preserve">Export PDF automatique du rapport d'analyse</w:t>
      </w:r>
    </w:p>
    <w:p>
      <w:pPr>
        <w:pStyle w:val="Heading1"/>
      </w:pPr>
      <w:r>
        <w:t xml:space="preserve">Conclusion</w:t>
      </w:r>
    </w:p>
    <w:p>
      <w:pPr>
        <w:spacing w:after="160"/>
      </w:pPr>
      <w:r>
        <w:rPr>
          <w:sz w:val="22"/>
          <w:szCs w:val="22"/>
        </w:rPr>
        <w:t xml:space="preserve">Ce projet m'a permis de me familiariser avec l'analyse de données de marché crédit et de développer des compétences pratiques en Python, data analysis et visualisation. L'outil créé est fonctionnel, modulaire et facilement adaptable à d'autres types de données financières.</w:t>
      </w:r>
    </w:p>
    <w:p>
      <w:pPr>
        <w:spacing w:after="280"/>
      </w:pPr>
      <w:r>
        <w:rPr>
          <w:sz w:val="22"/>
          <w:szCs w:val="22"/>
        </w:rPr>
        <w:t xml:space="preserve">Il reflète mon approche pragmatique : construire des outils simples mais robustes, bien documentés, et directement applicables dans un contexte professionnel de structuration crédit.</w:t>
      </w:r>
    </w:p>
    <w:p>
      <w:pPr>
        <w:spacing w:before="200" w:after="140"/>
      </w:pPr>
      <w:r>
        <w:rPr>
          <w:sz w:val="20"/>
          <w:szCs w:val="20"/>
        </w:rPr>
        <w:t xml:space="preserve">___</w:t>
      </w:r>
    </w:p>
    <w:p>
      <w:pPr>
        <w:spacing w:after="80"/>
      </w:pPr>
      <w:r>
        <w:rPr>
          <w:b/>
          <w:bCs/>
          <w:sz w:val="20"/>
          <w:szCs w:val="20"/>
        </w:rPr>
        <w:t xml:space="preserve">Auteur : Jivane Ayvadian</w:t>
      </w:r>
    </w:p>
    <w:p>
      <w:pPr>
        <w:spacing w:after="80"/>
      </w:pPr>
      <w:r>
        <w:rPr>
          <w:sz w:val="20"/>
          <w:szCs w:val="20"/>
        </w:rPr>
        <w:t xml:space="preserve">Date : Février 2026</w:t>
      </w:r>
    </w:p>
    <w:p>
      <w:r>
        <w:rPr>
          <w:i/>
          <w:iCs/>
          <w:sz w:val="20"/>
          <w:szCs w:val="20"/>
        </w:rPr>
        <w:t xml:space="preserve">Projet personnel - Grenoble École de Management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8"/>
      </w:pBdr>
      <w:spacing w:before="280" w:after="140"/>
      <w:outlineLvl w:val="0"/>
    </w:pPr>
    <w:rPr>
      <w:rFonts w:ascii="Calibri" w:cs="Calibri" w:eastAsia="Calibri" w:hAnsi="Calibri"/>
      <w:b/>
      <w:bCs/>
      <w:color w:val="1F4E78"/>
      <w:sz w:val="28"/>
      <w:szCs w:val="28"/>
    </w:rPr>
  </w:style>
  <w:style w:type="paragraph" w:styleId="Heading2">
    <w:name w:val="Heading 2"/>
    <w:basedOn w:val="Normal"/>
    <w:next w:val="Normal"/>
    <w:qFormat/>
    <w:pPr>
      <w:spacing w:before="220" w:after="110"/>
      <w:outlineLvl w:val="1"/>
    </w:pPr>
    <w:rPr>
      <w:rFonts w:ascii="Calibri" w:cs="Calibri" w:eastAsia="Calibri" w:hAnsi="Calibri"/>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2026-02-16T12:46:49.035Z</dcterms:created>
  <dcterms:modified xsi:type="dcterms:W3CDTF">2026-02-16T12:46:49.035Z</dcterms:modified>
</cp:coreProperties>
</file>

<file path=docProps/custom.xml><?xml version="1.0" encoding="utf-8"?>
<Properties xmlns="http://schemas.openxmlformats.org/officeDocument/2006/custom-properties" xmlns:vt="http://schemas.openxmlformats.org/officeDocument/2006/docPropsVTypes"/>
</file>