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AI-Powered Telecom Customer Churn</w:t>
        <w:br/>
        <w:t>&amp; Retention Project Report</w:t>
      </w:r>
    </w:p>
    <w:p>
      <w:pPr>
        <w:jc w:val="center"/>
      </w:pPr>
      <w:r>
        <w:rPr>
          <w:i/>
          <w:sz w:val="26"/>
        </w:rPr>
        <w:t>SQL • Python • Machine Learning • Power BI</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Project Type</w:t>
            </w:r>
          </w:p>
        </w:tc>
        <w:tc>
          <w:tcPr>
            <w:tcW w:type="dxa" w:w="4968"/>
            <w:vAlign w:val="center"/>
          </w:tcPr>
          <w:p>
            <w:r>
              <w:t>End-to-End Data Science &amp; Business Intelligence Project</w:t>
            </w:r>
          </w:p>
        </w:tc>
      </w:tr>
      <w:tr>
        <w:tc>
          <w:tcPr>
            <w:tcW w:type="dxa" w:w="4968"/>
            <w:vAlign w:val="center"/>
          </w:tcPr>
          <w:p>
            <w:r>
              <w:t>Dataset</w:t>
            </w:r>
          </w:p>
        </w:tc>
        <w:tc>
          <w:tcPr>
            <w:tcW w:type="dxa" w:w="4968"/>
            <w:vAlign w:val="center"/>
          </w:tcPr>
          <w:p>
            <w:r>
              <w:t>Telecom Customer Churn</w:t>
            </w:r>
          </w:p>
        </w:tc>
      </w:tr>
      <w:tr>
        <w:tc>
          <w:tcPr>
            <w:tcW w:type="dxa" w:w="4968"/>
            <w:vAlign w:val="center"/>
          </w:tcPr>
          <w:p>
            <w:r>
              <w:t>Customers Analyzed</w:t>
            </w:r>
          </w:p>
        </w:tc>
        <w:tc>
          <w:tcPr>
            <w:tcW w:type="dxa" w:w="4968"/>
            <w:vAlign w:val="center"/>
          </w:tcPr>
          <w:p>
            <w:r>
              <w:t>7,032</w:t>
            </w:r>
          </w:p>
        </w:tc>
      </w:tr>
      <w:tr>
        <w:tc>
          <w:tcPr>
            <w:tcW w:type="dxa" w:w="4968"/>
            <w:vAlign w:val="center"/>
          </w:tcPr>
          <w:p>
            <w:r>
              <w:t>Machine Learning Model</w:t>
            </w:r>
          </w:p>
        </w:tc>
        <w:tc>
          <w:tcPr>
            <w:tcW w:type="dxa" w:w="4968"/>
            <w:vAlign w:val="center"/>
          </w:tcPr>
          <w:p>
            <w:r>
              <w:t>Logistic Regression</w:t>
            </w:r>
          </w:p>
        </w:tc>
      </w:tr>
      <w:tr>
        <w:tc>
          <w:tcPr>
            <w:tcW w:type="dxa" w:w="4968"/>
            <w:vAlign w:val="center"/>
          </w:tcPr>
          <w:p>
            <w:r>
              <w:t>Model Accuracy</w:t>
            </w:r>
          </w:p>
        </w:tc>
        <w:tc>
          <w:tcPr>
            <w:tcW w:type="dxa" w:w="4968"/>
            <w:vAlign w:val="center"/>
          </w:tcPr>
          <w:p>
            <w:r>
              <w:t>79.46%</w:t>
            </w:r>
          </w:p>
        </w:tc>
      </w:tr>
    </w:tbl>
    <w:p>
      <w:r>
        <w:br w:type="page"/>
      </w:r>
    </w:p>
    <w:p>
      <w:pPr>
        <w:pStyle w:val="Heading1"/>
      </w:pPr>
      <w:r>
        <w:t>1. Executive Summary</w:t>
      </w:r>
    </w:p>
    <w:p>
      <w:r>
        <w:t>This project analyzes telecom customer behavior to identify the major factors contributing to customer churn and applies machine learning to predict customers who are at risk of leaving. The final cleaned dataset contains 7,032 customers and 25 analytical fields. Among these customers, 1,869 churned and 5,163 remained, producing an overall churn rate of 26.58%. The project combines SQL for data preparation and analysis, Python for machine learning, and Power BI for interactive business intelligence.</w:t>
      </w:r>
    </w:p>
    <w:p>
      <w:r>
        <w:t>A Logistic Regression model was trained using an 80/20 train-test split after categorical encoding and feature scaling. The model achieved 79.46% test accuracy. Machine-learning probabilities were used to segment customers into Low, Medium, and High Risk groups. The final segmentation identified 4,369 Low Risk customers, 1,623 Medium Risk customers, and 1,040 High Risk customers. The dashboard highlights important churn patterns across contract type, internet service, payment method, tenure, and monthly charge bands, allowing retention teams to prioritize customers with the greatest predicted risk.</w:t>
      </w:r>
    </w:p>
    <w:p>
      <w:pPr>
        <w:pStyle w:val="Heading1"/>
      </w:pPr>
      <w:r>
        <w:t>2. Project Objective</w:t>
      </w:r>
    </w:p>
    <w:p>
      <w:r>
        <w:t>The objective of this project is to build an end-to-end churn analytics solution that helps a telecom company understand why customers leave, identify high-risk customer segments, predict individual churn probability, and support targeted retention decisions. The project is designed to connect technical analysis with actionable business recommendations rather than reporting churn counts alone.</w:t>
      </w:r>
    </w:p>
    <w:p>
      <w:pPr>
        <w:pStyle w:val="Heading1"/>
      </w:pPr>
      <w:r>
        <w:t>3. Dataset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customers</w:t>
            </w:r>
          </w:p>
        </w:tc>
        <w:tc>
          <w:tcPr>
            <w:tcW w:type="dxa" w:w="4968"/>
          </w:tcPr>
          <w:p>
            <w:r>
              <w:t>7,032</w:t>
            </w:r>
          </w:p>
        </w:tc>
      </w:tr>
      <w:tr>
        <w:tc>
          <w:tcPr>
            <w:tcW w:type="dxa" w:w="4968"/>
          </w:tcPr>
          <w:p>
            <w:r>
              <w:t>Original analytical columns</w:t>
            </w:r>
          </w:p>
        </w:tc>
        <w:tc>
          <w:tcPr>
            <w:tcW w:type="dxa" w:w="4968"/>
          </w:tcPr>
          <w:p>
            <w:r>
              <w:t>25</w:t>
            </w:r>
          </w:p>
        </w:tc>
      </w:tr>
      <w:tr>
        <w:tc>
          <w:tcPr>
            <w:tcW w:type="dxa" w:w="4968"/>
          </w:tcPr>
          <w:p>
            <w:r>
              <w:t>ML output columns</w:t>
            </w:r>
          </w:p>
        </w:tc>
        <w:tc>
          <w:tcPr>
            <w:tcW w:type="dxa" w:w="4968"/>
          </w:tcPr>
          <w:p>
            <w:r>
              <w:t>27 total after adding probability and risk level</w:t>
            </w:r>
          </w:p>
        </w:tc>
      </w:tr>
      <w:tr>
        <w:tc>
          <w:tcPr>
            <w:tcW w:type="dxa" w:w="4968"/>
          </w:tcPr>
          <w:p>
            <w:r>
              <w:t>Churned customers</w:t>
            </w:r>
          </w:p>
        </w:tc>
        <w:tc>
          <w:tcPr>
            <w:tcW w:type="dxa" w:w="4968"/>
          </w:tcPr>
          <w:p>
            <w:r>
              <w:t>1,869</w:t>
            </w:r>
          </w:p>
        </w:tc>
      </w:tr>
      <w:tr>
        <w:tc>
          <w:tcPr>
            <w:tcW w:type="dxa" w:w="4968"/>
          </w:tcPr>
          <w:p>
            <w:r>
              <w:t>Non-churned customers</w:t>
            </w:r>
          </w:p>
        </w:tc>
        <w:tc>
          <w:tcPr>
            <w:tcW w:type="dxa" w:w="4968"/>
          </w:tcPr>
          <w:p>
            <w:r>
              <w:t>5,163</w:t>
            </w:r>
          </w:p>
        </w:tc>
      </w:tr>
      <w:tr>
        <w:tc>
          <w:tcPr>
            <w:tcW w:type="dxa" w:w="4968"/>
          </w:tcPr>
          <w:p>
            <w:r>
              <w:t>Overall churn rate</w:t>
            </w:r>
          </w:p>
        </w:tc>
        <w:tc>
          <w:tcPr>
            <w:tcW w:type="dxa" w:w="4968"/>
          </w:tcPr>
          <w:p>
            <w:r>
              <w:t>26.58%</w:t>
            </w:r>
          </w:p>
        </w:tc>
      </w:tr>
      <w:tr>
        <w:tc>
          <w:tcPr>
            <w:tcW w:type="dxa" w:w="4968"/>
          </w:tcPr>
          <w:p>
            <w:r>
              <w:t>Missing values after preparation</w:t>
            </w:r>
          </w:p>
        </w:tc>
        <w:tc>
          <w:tcPr>
            <w:tcW w:type="dxa" w:w="4968"/>
          </w:tcPr>
          <w:p>
            <w:r>
              <w:t>0</w:t>
            </w:r>
          </w:p>
        </w:tc>
      </w:tr>
    </w:tbl>
    <w:p>
      <w:r>
        <w:t>Important variables include customer demographics, tenure, phone and internet services, security/support services, contract type, payment method, monthly and total charges, churn status, tenure groups, monthly charge bands, and service count.</w:t>
      </w:r>
    </w:p>
    <w:p>
      <w:pPr>
        <w:pStyle w:val="Heading1"/>
      </w:pPr>
      <w:r>
        <w:t>4. Data Cleaning and Feature Preparation</w:t>
      </w:r>
    </w:p>
    <w:p>
      <w:pPr>
        <w:pStyle w:val="ListBullet"/>
      </w:pPr>
      <w:r>
        <w:t>Validated the full SQL table and exported all 7,032 customer records for Python analysis.</w:t>
      </w:r>
    </w:p>
    <w:p>
      <w:pPr>
        <w:pStyle w:val="ListBullet"/>
      </w:pPr>
      <w:r>
        <w:t>Checked all 25 fields for missing values; the final dataset contained no missing values.</w:t>
      </w:r>
    </w:p>
    <w:p>
      <w:pPr>
        <w:pStyle w:val="ListBullet"/>
      </w:pPr>
      <w:r>
        <w:t>Created analytical features including Churn_Flag, Tenure_Group, Monthly_Charge_Band, and Service_Count.</w:t>
      </w:r>
    </w:p>
    <w:p>
      <w:pPr>
        <w:pStyle w:val="ListBullet"/>
      </w:pPr>
      <w:r>
        <w:t>Removed customerID, Churn, and Churn_Flag from the machine-learning feature matrix to avoid identifier use and target leakage.</w:t>
      </w:r>
    </w:p>
    <w:p>
      <w:pPr>
        <w:pStyle w:val="ListBullet"/>
      </w:pPr>
      <w:r>
        <w:t>Converted categorical variables into numeric dummy variables, producing 38 model features.</w:t>
      </w:r>
    </w:p>
    <w:p>
      <w:pPr>
        <w:pStyle w:val="ListBullet"/>
      </w:pPr>
      <w:r>
        <w:t>Mapped the churn target as No = 0 and Yes = 1 and standardized the feature matrix before Logistic Regression.</w:t>
      </w:r>
    </w:p>
    <w:p>
      <w:pPr>
        <w:pStyle w:val="Heading1"/>
      </w:pPr>
      <w:r>
        <w:t>5. SQL Analysis</w:t>
      </w:r>
    </w:p>
    <w:p>
      <w:r>
        <w:t>SQL was used to inspect, clean, validate, and prepare the telecom churn table before modeling. The workflow included checking table structure, validating columns and customer counts, and creating business-oriented customer risk logic. The final SQL table contained 7,032 rows and was exported as a cleaned CSV for Python.</w:t>
      </w:r>
    </w:p>
    <w:p>
      <w:pPr>
        <w:pStyle w:val="Heading2"/>
      </w:pPr>
      <w:r>
        <w:t>Example rule-based risk logic</w:t>
      </w:r>
    </w:p>
    <w:p>
      <w:r>
        <w:t>A rule-based customer risk view was also explored using contract, tenure, internet service, payment method, online security, and technical support. Month-to-month customers with short tenure and missing security/support services were treated as especially vulnerable, while broader risk conditions were used to classify medium-risk customers.</w:t>
      </w:r>
    </w:p>
    <w:p>
      <w:pPr>
        <w:pStyle w:val="Heading1"/>
      </w:pPr>
      <w:r>
        <w:t>6. Python and Machine Learning</w:t>
      </w:r>
    </w:p>
    <w:p>
      <w:r>
        <w:t>Python was used for validation, preprocessing, model training, evaluation, probability prediction, and risk segmentation. The final machine-learning matrix contained 7,032 rows and 38 encoded features. Data was divided into 5,625 training records and 1,407 testing records using a stratified 80/20 split.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Class 0: No Churn</w:t>
            </w:r>
          </w:p>
        </w:tc>
        <w:tc>
          <w:tcPr>
            <w:tcW w:type="dxa" w:w="2484"/>
          </w:tcPr>
          <w:p>
            <w:r>
              <w:t>Class 1: Churn</w:t>
            </w:r>
          </w:p>
        </w:tc>
        <w:tc>
          <w:tcPr>
            <w:tcW w:type="dxa" w:w="2484"/>
          </w:tcPr>
          <w:p>
            <w:r>
              <w:t>Overall</w:t>
            </w:r>
          </w:p>
        </w:tc>
      </w:tr>
      <w:tr>
        <w:tc>
          <w:tcPr>
            <w:tcW w:type="dxa" w:w="2484"/>
          </w:tcPr>
          <w:p>
            <w:r>
              <w:t>Precision</w:t>
            </w:r>
          </w:p>
        </w:tc>
        <w:tc>
          <w:tcPr>
            <w:tcW w:type="dxa" w:w="2484"/>
          </w:tcPr>
          <w:p>
            <w:r>
              <w:t>0.84</w:t>
            </w:r>
          </w:p>
        </w:tc>
        <w:tc>
          <w:tcPr>
            <w:tcW w:type="dxa" w:w="2484"/>
          </w:tcPr>
          <w:p>
            <w:r>
              <w:t>0.64</w:t>
            </w:r>
          </w:p>
        </w:tc>
        <w:tc>
          <w:tcPr>
            <w:tcW w:type="dxa" w:w="2484"/>
          </w:tcPr>
          <w:p>
            <w:r>
              <w:t>-</w:t>
            </w:r>
          </w:p>
        </w:tc>
      </w:tr>
      <w:tr>
        <w:tc>
          <w:tcPr>
            <w:tcW w:type="dxa" w:w="2484"/>
          </w:tcPr>
          <w:p>
            <w:r>
              <w:t>Recall</w:t>
            </w:r>
          </w:p>
        </w:tc>
        <w:tc>
          <w:tcPr>
            <w:tcW w:type="dxa" w:w="2484"/>
          </w:tcPr>
          <w:p>
            <w:r>
              <w:t>0.89</w:t>
            </w:r>
          </w:p>
        </w:tc>
        <w:tc>
          <w:tcPr>
            <w:tcW w:type="dxa" w:w="2484"/>
          </w:tcPr>
          <w:p>
            <w:r>
              <w:t>0.53</w:t>
            </w:r>
          </w:p>
        </w:tc>
        <w:tc>
          <w:tcPr>
            <w:tcW w:type="dxa" w:w="2484"/>
          </w:tcPr>
          <w:p>
            <w:r>
              <w:t>-</w:t>
            </w:r>
          </w:p>
        </w:tc>
      </w:tr>
      <w:tr>
        <w:tc>
          <w:tcPr>
            <w:tcW w:type="dxa" w:w="2484"/>
          </w:tcPr>
          <w:p>
            <w:r>
              <w:t>F1-score</w:t>
            </w:r>
          </w:p>
        </w:tc>
        <w:tc>
          <w:tcPr>
            <w:tcW w:type="dxa" w:w="2484"/>
          </w:tcPr>
          <w:p>
            <w:r>
              <w:t>0.86</w:t>
            </w:r>
          </w:p>
        </w:tc>
        <w:tc>
          <w:tcPr>
            <w:tcW w:type="dxa" w:w="2484"/>
          </w:tcPr>
          <w:p>
            <w:r>
              <w:t>0.58</w:t>
            </w:r>
          </w:p>
        </w:tc>
        <w:tc>
          <w:tcPr>
            <w:tcW w:type="dxa" w:w="2484"/>
          </w:tcPr>
          <w:p>
            <w:r>
              <w:t>-</w:t>
            </w:r>
          </w:p>
        </w:tc>
      </w:tr>
      <w:tr>
        <w:tc>
          <w:tcPr>
            <w:tcW w:type="dxa" w:w="2484"/>
          </w:tcPr>
          <w:p>
            <w:r>
              <w:t>Accuracy</w:t>
            </w:r>
          </w:p>
        </w:tc>
        <w:tc>
          <w:tcPr>
            <w:tcW w:type="dxa" w:w="2484"/>
          </w:tcPr>
          <w:p>
            <w:r>
              <w:t>-</w:t>
            </w:r>
          </w:p>
        </w:tc>
        <w:tc>
          <w:tcPr>
            <w:tcW w:type="dxa" w:w="2484"/>
          </w:tcPr>
          <w:p>
            <w:r>
              <w:t>-</w:t>
            </w:r>
          </w:p>
        </w:tc>
        <w:tc>
          <w:tcPr>
            <w:tcW w:type="dxa" w:w="2484"/>
          </w:tcPr>
          <w:p>
            <w:r>
              <w:t>79.46%</w:t>
            </w:r>
          </w:p>
        </w:tc>
      </w:tr>
    </w:tbl>
    <w:p>
      <w:r>
        <w:t>Confusion matrix: 921 true non-churn predictions, 112 false churn predictions, 177 missed churners, and 197 correctly identified churners.</w:t>
      </w:r>
    </w:p>
    <w:p>
      <w:r>
        <w:t>The model is stronger at recognizing customers who will stay than customers who will churn. Therefore, accuracy should not be interpreted alone; churn-class recall (53%) is an important limitation and an opportunity for future model improvement.</w:t>
      </w:r>
    </w:p>
    <w:p>
      <w:pPr>
        <w:pStyle w:val="Heading1"/>
      </w:pPr>
      <w:r>
        <w:t>7. ML Risk Segmentation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Risk Level</w:t>
            </w:r>
          </w:p>
        </w:tc>
        <w:tc>
          <w:tcPr>
            <w:tcW w:type="dxa" w:w="3312"/>
          </w:tcPr>
          <w:p>
            <w:r>
              <w:t>Probability Rule</w:t>
            </w:r>
          </w:p>
        </w:tc>
        <w:tc>
          <w:tcPr>
            <w:tcW w:type="dxa" w:w="3312"/>
          </w:tcPr>
          <w:p>
            <w:r>
              <w:t>Customers</w:t>
            </w:r>
          </w:p>
        </w:tc>
      </w:tr>
      <w:tr>
        <w:tc>
          <w:tcPr>
            <w:tcW w:type="dxa" w:w="3312"/>
          </w:tcPr>
          <w:p>
            <w:r>
              <w:t>Low Risk</w:t>
            </w:r>
          </w:p>
        </w:tc>
        <w:tc>
          <w:tcPr>
            <w:tcW w:type="dxa" w:w="3312"/>
          </w:tcPr>
          <w:p>
            <w:r>
              <w:t>0%–30%</w:t>
            </w:r>
          </w:p>
        </w:tc>
        <w:tc>
          <w:tcPr>
            <w:tcW w:type="dxa" w:w="3312"/>
          </w:tcPr>
          <w:p>
            <w:r>
              <w:t>4,369 (62.13%)</w:t>
            </w:r>
          </w:p>
        </w:tc>
      </w:tr>
      <w:tr>
        <w:tc>
          <w:tcPr>
            <w:tcW w:type="dxa" w:w="3312"/>
          </w:tcPr>
          <w:p>
            <w:r>
              <w:t>Medium Risk</w:t>
            </w:r>
          </w:p>
        </w:tc>
        <w:tc>
          <w:tcPr>
            <w:tcW w:type="dxa" w:w="3312"/>
          </w:tcPr>
          <w:p>
            <w:r>
              <w:t>&gt;30%–60%</w:t>
            </w:r>
          </w:p>
        </w:tc>
        <w:tc>
          <w:tcPr>
            <w:tcW w:type="dxa" w:w="3312"/>
          </w:tcPr>
          <w:p>
            <w:r>
              <w:t>1,623 (23.08%)</w:t>
            </w:r>
          </w:p>
        </w:tc>
      </w:tr>
      <w:tr>
        <w:tc>
          <w:tcPr>
            <w:tcW w:type="dxa" w:w="3312"/>
          </w:tcPr>
          <w:p>
            <w:r>
              <w:t>High Risk</w:t>
            </w:r>
          </w:p>
        </w:tc>
        <w:tc>
          <w:tcPr>
            <w:tcW w:type="dxa" w:w="3312"/>
          </w:tcPr>
          <w:p>
            <w:r>
              <w:t>&gt;60%–100%</w:t>
            </w:r>
          </w:p>
        </w:tc>
        <w:tc>
          <w:tcPr>
            <w:tcW w:type="dxa" w:w="3312"/>
          </w:tcPr>
          <w:p>
            <w:r>
              <w:t>1,040 (14.79%)</w:t>
            </w:r>
          </w:p>
        </w:tc>
      </w:tr>
    </w:tbl>
    <w:p>
      <w:r>
        <w:t>The average predicted churn probability was approximately 10% for Low Risk customers, 44% for Medium Risk customers, and 71% for High Risk customers. These probability bands make the model output easier for business users to interpret.</w:t>
      </w:r>
    </w:p>
    <w:p>
      <w:pPr>
        <w:pStyle w:val="Heading1"/>
      </w:pPr>
      <w:r>
        <w:t>8. Power BI Dashboard</w:t>
      </w:r>
    </w:p>
    <w:p>
      <w:pPr>
        <w:pStyle w:val="Heading2"/>
      </w:pPr>
      <w:r>
        <w:t>Page 1 – Churn Overview</w:t>
      </w:r>
    </w:p>
    <w:p>
      <w:r>
        <w:t>The Churn Overview page provides executive KPIs and descriptive churn analysis. The KPI cards show Total Customers, Churned Customers, Churn Rate, and High Risk Customers. Supporting visuals analyze churn rate by Contract, Internet Service, Payment Method, Tenure Group, and Monthly Charge Band, together with the ML risk distribution.</w:t>
      </w:r>
    </w:p>
    <w:p>
      <w:pPr>
        <w:pStyle w:val="Heading2"/>
      </w:pPr>
      <w:r>
        <w:t>Page 2 – ML Risk Analysis</w:t>
      </w:r>
    </w:p>
    <w:p>
      <w:r>
        <w:t>The ML Risk Analysis page focuses on predicted customer risk. It contains the customer risk distribution, average churn probability by risk level, high-risk customers by contract, internet service, payment method, tenure group, and monthly charge band. A customer-level table lists customerID, contract, internet service, payment method, monthly charges, churn probability, and ML risk level, filtered to High Risk and sorted from highest probability downward. A Contract slicer and Reset Filters button provide interactive analysis.</w:t>
      </w:r>
    </w:p>
    <w:p>
      <w:pPr>
        <w:pStyle w:val="Heading1"/>
      </w:pPr>
      <w:r>
        <w:t>9. Key Business Insights</w:t>
      </w:r>
    </w:p>
    <w:p>
      <w:pPr>
        <w:pStyle w:val="ListBullet"/>
      </w:pPr>
      <w:r>
        <w:rPr>
          <w:b/>
        </w:rPr>
        <w:t xml:space="preserve">Overall churn: </w:t>
      </w:r>
      <w:r>
        <w:t>1,869 of 7,032 customers churned, producing a 26.58% churn rate.</w:t>
      </w:r>
    </w:p>
    <w:p>
      <w:pPr>
        <w:pStyle w:val="ListBullet"/>
      </w:pPr>
      <w:r>
        <w:rPr>
          <w:b/>
        </w:rPr>
        <w:t xml:space="preserve">Contract: </w:t>
      </w:r>
      <w:r>
        <w:t>Month-to-month customers have the highest churn rate at 42.71%, compared with 11.28% for one-year and 2.85% for two-year contracts.</w:t>
      </w:r>
    </w:p>
    <w:p>
      <w:pPr>
        <w:pStyle w:val="ListBullet"/>
      </w:pPr>
      <w:r>
        <w:rPr>
          <w:b/>
        </w:rPr>
        <w:t xml:space="preserve">Internet service: </w:t>
      </w:r>
      <w:r>
        <w:t>Fiber optic customers have the highest churn rate at 41.89%, compared with 19.00% for DSL and 7.41% for customers with no internet service.</w:t>
      </w:r>
    </w:p>
    <w:p>
      <w:pPr>
        <w:pStyle w:val="ListBullet"/>
      </w:pPr>
      <w:r>
        <w:rPr>
          <w:b/>
        </w:rPr>
        <w:t xml:space="preserve">Payment method: </w:t>
      </w:r>
      <w:r>
        <w:t>Electronic check has the highest churn rate at 45.29%; mailed check is 19.20%, bank transfer (automatic) 16.73%, and credit card (automatic) 15.24%.</w:t>
      </w:r>
    </w:p>
    <w:p>
      <w:pPr>
        <w:pStyle w:val="ListBullet"/>
      </w:pPr>
      <w:r>
        <w:rPr>
          <w:b/>
        </w:rPr>
        <w:t xml:space="preserve">Tenure: </w:t>
      </w:r>
      <w:r>
        <w:t>Customers in their first 0–12 months have a 47.68% churn rate. It falls to 28.71% at 13–24 months, 20.39% at 25–48 months, 14.42% at 49–60 months, and 6.61% at 61–72 months.</w:t>
      </w:r>
    </w:p>
    <w:p>
      <w:pPr>
        <w:pStyle w:val="ListBullet"/>
      </w:pPr>
      <w:r>
        <w:rPr>
          <w:b/>
        </w:rPr>
        <w:t xml:space="preserve">Monthly charges: </w:t>
      </w:r>
      <w:r>
        <w:t>The High monthly-charge band has the highest observed churn rate at 37.81%, followed by Very High at 28.05%, Medium at 23.98%, and Low at 10.99%.</w:t>
      </w:r>
    </w:p>
    <w:p>
      <w:pPr>
        <w:pStyle w:val="ListBullet"/>
      </w:pPr>
      <w:r>
        <w:rPr>
          <w:b/>
        </w:rPr>
        <w:t xml:space="preserve">ML risk concentration: </w:t>
      </w:r>
      <w:r>
        <w:t>The model identifies 1,040 High Risk customers, representing 14.79% of the customer base.</w:t>
      </w:r>
    </w:p>
    <w:p>
      <w:pPr>
        <w:pStyle w:val="ListBullet"/>
      </w:pPr>
      <w:r>
        <w:rPr>
          <w:b/>
        </w:rPr>
        <w:t xml:space="preserve">High-risk contract profile: </w:t>
      </w:r>
      <w:r>
        <w:t>All 1,040 customers classified as High Risk are in the Month-to-month contract segment under the chosen probability thresholds.</w:t>
      </w:r>
    </w:p>
    <w:p>
      <w:pPr>
        <w:pStyle w:val="ListBullet"/>
      </w:pPr>
      <w:r>
        <w:rPr>
          <w:b/>
        </w:rPr>
        <w:t xml:space="preserve">High-risk internet profile: </w:t>
      </w:r>
      <w:r>
        <w:t>958 High Risk customers use Fiber optic service and 82 use DSL; none are in the no-internet group.</w:t>
      </w:r>
    </w:p>
    <w:p>
      <w:pPr>
        <w:pStyle w:val="ListBullet"/>
      </w:pPr>
      <w:r>
        <w:rPr>
          <w:b/>
        </w:rPr>
        <w:t xml:space="preserve">High-risk payment profile: </w:t>
      </w:r>
      <w:r>
        <w:t>Electronic check accounts for 819 High Risk customers, followed by mailed check (99), credit card automatic (63), and bank transfer automatic (59).</w:t>
      </w:r>
    </w:p>
    <w:p>
      <w:pPr>
        <w:pStyle w:val="Heading1"/>
      </w:pPr>
      <w:r>
        <w:t>10. Business Recommendations</w:t>
      </w:r>
    </w:p>
    <w:p>
      <w:pPr>
        <w:pStyle w:val="ListNumber"/>
      </w:pPr>
      <w:r>
        <w:rPr>
          <w:b/>
        </w:rPr>
        <w:t xml:space="preserve">Prioritize early-tenure retention: </w:t>
      </w:r>
      <w:r>
        <w:t>Introduce onboarding check-ins, service education, proactive support, and targeted offers during the first 12 months, when churn is highest.</w:t>
      </w:r>
    </w:p>
    <w:p>
      <w:pPr>
        <w:pStyle w:val="ListNumber"/>
      </w:pPr>
      <w:r>
        <w:rPr>
          <w:b/>
        </w:rPr>
        <w:t xml:space="preserve">Convert month-to-month customers: </w:t>
      </w:r>
      <w:r>
        <w:t>Offer incentives for moving suitable customers to one-year or two-year contracts, since longer contracts show substantially lower churn.</w:t>
      </w:r>
    </w:p>
    <w:p>
      <w:pPr>
        <w:pStyle w:val="ListNumber"/>
      </w:pPr>
      <w:r>
        <w:rPr>
          <w:b/>
        </w:rPr>
        <w:t xml:space="preserve">Investigate Fiber optic experience: </w:t>
      </w:r>
      <w:r>
        <w:t>Review Fiber optic pricing, reliability, complaint patterns, service expectations, and support quality because this segment has both high churn and a large high-risk population.</w:t>
      </w:r>
    </w:p>
    <w:p>
      <w:pPr>
        <w:pStyle w:val="ListNumber"/>
      </w:pPr>
      <w:r>
        <w:rPr>
          <w:b/>
        </w:rPr>
        <w:t xml:space="preserve">Reduce electronic-check dependence: </w:t>
      </w:r>
      <w:r>
        <w:t>Encourage automatic card or bank payments through convenience messaging or appropriate incentives, while investigating whether electronic check is associated with billing friction.</w:t>
      </w:r>
    </w:p>
    <w:p>
      <w:pPr>
        <w:pStyle w:val="ListNumber"/>
      </w:pPr>
      <w:r>
        <w:rPr>
          <w:b/>
        </w:rPr>
        <w:t xml:space="preserve">Use ML risk scores operationally: </w:t>
      </w:r>
      <w:r>
        <w:t>Prioritize the 1,040 High Risk customers for retention outreach, beginning with those with the highest predicted churn probability.</w:t>
      </w:r>
    </w:p>
    <w:p>
      <w:pPr>
        <w:pStyle w:val="ListNumber"/>
      </w:pPr>
      <w:r>
        <w:rPr>
          <w:b/>
        </w:rPr>
        <w:t xml:space="preserve">Create differentiated retention offers: </w:t>
      </w:r>
      <w:r>
        <w:t>Combine risk level with contract, tenure, payment method, internet service, and monthly charges so retention actions are targeted rather than giving the same offer to every customer.</w:t>
      </w:r>
    </w:p>
    <w:p>
      <w:pPr>
        <w:pStyle w:val="ListNumber"/>
      </w:pPr>
      <w:r>
        <w:rPr>
          <w:b/>
        </w:rPr>
        <w:t xml:space="preserve">Track retention outcomes: </w:t>
      </w:r>
      <w:r>
        <w:t>Measure whether interventions reduce churn among contacted high-risk customers and use the resulting outcomes to improve future modeling and campaign decisions.</w:t>
      </w:r>
    </w:p>
    <w:p>
      <w:pPr>
        <w:pStyle w:val="Heading1"/>
      </w:pPr>
      <w:r>
        <w:t>11. Limitations and Future Improvements</w:t>
      </w:r>
    </w:p>
    <w:p>
      <w:pPr>
        <w:pStyle w:val="ListBullet"/>
      </w:pPr>
      <w:r>
        <w:t>The Logistic Regression model achieved 79.46% accuracy, but churn recall was 53%, meaning some actual churners were not detected.</w:t>
      </w:r>
    </w:p>
    <w:p>
      <w:pPr>
        <w:pStyle w:val="ListBullet"/>
      </w:pPr>
      <w:r>
        <w:t>The current risk thresholds (30% and 60%) are business-friendly segmentation rules and should be tuned using campaign capacity, retention cost, and expected customer value.</w:t>
      </w:r>
    </w:p>
    <w:p>
      <w:pPr>
        <w:pStyle w:val="ListBullet"/>
      </w:pPr>
      <w:r>
        <w:t>Future work can compare Logistic Regression with models such as Random Forest, Gradient Boosting, or XGBoost and evaluate ROC-AUC, PR-AUC, recall, and cost-sensitive metrics.</w:t>
      </w:r>
    </w:p>
    <w:p>
      <w:pPr>
        <w:pStyle w:val="ListBullet"/>
      </w:pPr>
      <w:r>
        <w:t>Feature engineering can be expanded with customer value, complaint history, service outages, discounts, support interactions, and recent behavioral changes if those data become available.</w:t>
      </w:r>
    </w:p>
    <w:p>
      <w:pPr>
        <w:pStyle w:val="ListBullet"/>
      </w:pPr>
      <w:r>
        <w:t>Model monitoring should be added so probability calibration, data drift, and retention campaign performance can be reviewed over time.</w:t>
      </w:r>
    </w:p>
    <w:p>
      <w:pPr>
        <w:pStyle w:val="Heading1"/>
      </w:pPr>
      <w:r>
        <w:t>12. Conclusion</w:t>
      </w:r>
    </w:p>
    <w:p>
      <w:r>
        <w:t>The project demonstrates a complete analytics workflow from SQL-based preparation through Python machine learning and Power BI decision support. The analysis shows that churn is especially concentrated among month-to-month customers, newer customers, Fiber optic users, and electronic-check users. The machine-learning layer converts these patterns into customer-level churn probabilities and identifies 1,040 High Risk customers for prioritized action. The resulting solution can support targeted retention campaigns, more efficient customer outreach, and data-driven monitoring of churn reduction.</w:t>
      </w:r>
    </w:p>
    <w:p>
      <w:pPr>
        <w:pStyle w:val="Heading1"/>
      </w:pPr>
      <w:r>
        <w:t>13. Interview Explanation (2–3 Minutes)</w:t>
      </w:r>
    </w:p>
    <w:p>
      <w:r>
        <w:t>“I developed an end-to-end telecom customer churn and retention project using SQL, Python, machine learning, and Power BI. I worked with a cleaned dataset of 7,032 customers. First, I used SQL to validate and prepare the customer data and created business-oriented features. In Python, I checked data quality, encoded categorical variables, scaled the features, and trained a Logistic Regression model using an 80/20 stratified split. The model achieved 79.46% accuracy. I then generated churn probabilities and classified customers into Low, Medium, and High Risk groups, identifying 1,040 High Risk customers. In Power BI, I built two interactive pages: a Churn Overview and an ML Risk Analysis page. The strongest business findings were that month-to-month customers had a 42.71% churn rate, Fiber optic customers 41.89%, electronic-check customers 45.29%, and customers in their first 12 months 47.68%. Based on these results, I recommended targeted early-tenure retention, contract conversion strategies, investigation of Fiber optic experience, payment-method interventions, and prioritizing the highest-risk customers for proactive outreach.”</w:t>
      </w:r>
    </w:p>
    <w:p>
      <w:pPr>
        <w:pStyle w:val="Heading1"/>
      </w:pPr>
      <w:r>
        <w:t>14. Key Project Results at a Glance</w:t>
      </w:r>
    </w:p>
    <w:tbl>
      <w:tblPr>
        <w:tblStyle w:val="TableGrid"/>
        <w:tblW w:type="auto" w:w="0"/>
        <w:jc w:val="center"/>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Customers</w:t>
            </w:r>
          </w:p>
        </w:tc>
        <w:tc>
          <w:tcPr>
            <w:tcW w:type="dxa" w:w="4968"/>
          </w:tcPr>
          <w:p>
            <w:r>
              <w:t>7,032</w:t>
            </w:r>
          </w:p>
        </w:tc>
      </w:tr>
      <w:tr>
        <w:tc>
          <w:tcPr>
            <w:tcW w:type="dxa" w:w="4968"/>
          </w:tcPr>
          <w:p>
            <w:r>
              <w:t>Churned Customers</w:t>
            </w:r>
          </w:p>
        </w:tc>
        <w:tc>
          <w:tcPr>
            <w:tcW w:type="dxa" w:w="4968"/>
          </w:tcPr>
          <w:p>
            <w:r>
              <w:t>1,869</w:t>
            </w:r>
          </w:p>
        </w:tc>
      </w:tr>
      <w:tr>
        <w:tc>
          <w:tcPr>
            <w:tcW w:type="dxa" w:w="4968"/>
          </w:tcPr>
          <w:p>
            <w:r>
              <w:t>Overall Churn Rate</w:t>
            </w:r>
          </w:p>
        </w:tc>
        <w:tc>
          <w:tcPr>
            <w:tcW w:type="dxa" w:w="4968"/>
          </w:tcPr>
          <w:p>
            <w:r>
              <w:t>26.58%</w:t>
            </w:r>
          </w:p>
        </w:tc>
      </w:tr>
      <w:tr>
        <w:tc>
          <w:tcPr>
            <w:tcW w:type="dxa" w:w="4968"/>
          </w:tcPr>
          <w:p>
            <w:r>
              <w:t>Model</w:t>
            </w:r>
          </w:p>
        </w:tc>
        <w:tc>
          <w:tcPr>
            <w:tcW w:type="dxa" w:w="4968"/>
          </w:tcPr>
          <w:p>
            <w:r>
              <w:t>Logistic Regression</w:t>
            </w:r>
          </w:p>
        </w:tc>
      </w:tr>
      <w:tr>
        <w:tc>
          <w:tcPr>
            <w:tcW w:type="dxa" w:w="4968"/>
          </w:tcPr>
          <w:p>
            <w:r>
              <w:t>Model Accuracy</w:t>
            </w:r>
          </w:p>
        </w:tc>
        <w:tc>
          <w:tcPr>
            <w:tcW w:type="dxa" w:w="4968"/>
          </w:tcPr>
          <w:p>
            <w:r>
              <w:t>79.46%</w:t>
            </w:r>
          </w:p>
        </w:tc>
      </w:tr>
      <w:tr>
        <w:tc>
          <w:tcPr>
            <w:tcW w:type="dxa" w:w="4968"/>
          </w:tcPr>
          <w:p>
            <w:r>
              <w:t>High Risk Customers</w:t>
            </w:r>
          </w:p>
        </w:tc>
        <w:tc>
          <w:tcPr>
            <w:tcW w:type="dxa" w:w="4968"/>
          </w:tcPr>
          <w:p>
            <w:r>
              <w:t>1,040</w:t>
            </w:r>
          </w:p>
        </w:tc>
      </w:tr>
      <w:tr>
        <w:tc>
          <w:tcPr>
            <w:tcW w:type="dxa" w:w="4968"/>
          </w:tcPr>
          <w:p>
            <w:r>
              <w:t>High Risk Share</w:t>
            </w:r>
          </w:p>
        </w:tc>
        <w:tc>
          <w:tcPr>
            <w:tcW w:type="dxa" w:w="4968"/>
          </w:tcPr>
          <w:p>
            <w:r>
              <w:t>14.79%</w:t>
            </w:r>
          </w:p>
        </w:tc>
      </w:tr>
      <w:tr>
        <w:tc>
          <w:tcPr>
            <w:tcW w:type="dxa" w:w="4968"/>
          </w:tcPr>
          <w:p>
            <w:r>
              <w:t>Highest Contract Churn</w:t>
            </w:r>
          </w:p>
        </w:tc>
        <w:tc>
          <w:tcPr>
            <w:tcW w:type="dxa" w:w="4968"/>
          </w:tcPr>
          <w:p>
            <w:r>
              <w:t>Month-to-month – 42.71%</w:t>
            </w:r>
          </w:p>
        </w:tc>
      </w:tr>
      <w:tr>
        <w:tc>
          <w:tcPr>
            <w:tcW w:type="dxa" w:w="4968"/>
          </w:tcPr>
          <w:p>
            <w:r>
              <w:t>Highest Internet-Service Churn</w:t>
            </w:r>
          </w:p>
        </w:tc>
        <w:tc>
          <w:tcPr>
            <w:tcW w:type="dxa" w:w="4968"/>
          </w:tcPr>
          <w:p>
            <w:r>
              <w:t>Fiber optic – 41.89%</w:t>
            </w:r>
          </w:p>
        </w:tc>
      </w:tr>
      <w:tr>
        <w:tc>
          <w:tcPr>
            <w:tcW w:type="dxa" w:w="4968"/>
          </w:tcPr>
          <w:p>
            <w:r>
              <w:t>Highest Payment-Method Churn</w:t>
            </w:r>
          </w:p>
        </w:tc>
        <w:tc>
          <w:tcPr>
            <w:tcW w:type="dxa" w:w="4968"/>
          </w:tcPr>
          <w:p>
            <w:r>
              <w:t>Electronic check – 45.29%</w:t>
            </w:r>
          </w:p>
        </w:tc>
      </w:tr>
      <w:tr>
        <w:tc>
          <w:tcPr>
            <w:tcW w:type="dxa" w:w="4968"/>
          </w:tcPr>
          <w:p>
            <w:r>
              <w:t>Highest Tenure Churn</w:t>
            </w:r>
          </w:p>
        </w:tc>
        <w:tc>
          <w:tcPr>
            <w:tcW w:type="dxa" w:w="4968"/>
          </w:tcPr>
          <w:p>
            <w:r>
              <w:t>0–12 months – 47.68%</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Telecom Customer Churn &amp; Retention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