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Thornbury Freight</w:t>
      </w:r>
    </w:p>
    <w:p>
      <w:r>
        <w:t>Predictive load matching for regional trucking fleets.</w:t>
      </w:r>
    </w:p>
    <w:p>
      <w:pPr>
        <w:pStyle w:val="Heading1"/>
      </w:pPr>
      <w:r>
        <w:t>The Problem</w:t>
      </w:r>
    </w:p>
    <w:p>
      <w:pPr>
        <w:pStyle w:val="ListBullet"/>
      </w:pPr>
      <w:r>
        <w:t>Empty miles</w:t>
      </w:r>
    </w:p>
    <w:p>
      <w:r>
        <w:t>Regional carriers run 28% of their miles empty because loads are matched by phone.</w:t>
      </w:r>
    </w:p>
    <w:p>
      <w:pPr>
        <w:pStyle w:val="ListBullet"/>
      </w:pPr>
      <w:r>
        <w:t>Slow quoting</w:t>
      </w:r>
    </w:p>
    <w:p>
      <w:r>
        <w:t>Brokers take four hours on average to return a rate, so shippers post to three brokers at once.</w:t>
      </w:r>
    </w:p>
    <w:p>
      <w:pPr>
        <w:pStyle w:val="ListBullet"/>
      </w:pPr>
      <w:r>
        <w:t>Driver churn</w:t>
      </w:r>
    </w:p>
    <w:p>
      <w:r>
        <w:t>Unpredictable routes drive 91% annual driver turnover at carriers under 100 trucks.</w:t>
      </w:r>
    </w:p>
    <w:p>
      <w:pPr>
        <w:pStyle w:val="Heading1"/>
      </w:pPr>
      <w:r>
        <w:t>Business Model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Tier</w:t>
            </w:r>
          </w:p>
        </w:tc>
        <w:tc>
          <w:tcPr>
            <w:tcW w:type="dxa" w:w="2880"/>
          </w:tcPr>
          <w:p>
            <w:r>
              <w:t>Price</w:t>
            </w:r>
          </w:p>
        </w:tc>
        <w:tc>
          <w:tcPr>
            <w:tcW w:type="dxa" w:w="2880"/>
          </w:tcPr>
          <w:p>
            <w:r>
              <w:t>Limit</w:t>
            </w:r>
          </w:p>
        </w:tc>
      </w:tr>
      <w:tr>
        <w:tc>
          <w:tcPr>
            <w:tcW w:type="dxa" w:w="2880"/>
          </w:tcPr>
          <w:p>
            <w:r>
              <w:t>Owner-Operator</w:t>
            </w:r>
          </w:p>
        </w:tc>
        <w:tc>
          <w:tcPr>
            <w:tcW w:type="dxa" w:w="2880"/>
          </w:tcPr>
          <w:p>
            <w:r>
              <w:t>$49/truck/mo</w:t>
            </w:r>
          </w:p>
        </w:tc>
        <w:tc>
          <w:tcPr>
            <w:tcW w:type="dxa" w:w="2880"/>
          </w:tcPr>
          <w:p>
            <w:r>
              <w:t>Up to 5 trucks</w:t>
            </w:r>
          </w:p>
        </w:tc>
      </w:tr>
      <w:tr>
        <w:tc>
          <w:tcPr>
            <w:tcW w:type="dxa" w:w="2880"/>
          </w:tcPr>
          <w:p>
            <w:r>
              <w:t>Fleet</w:t>
            </w:r>
          </w:p>
        </w:tc>
        <w:tc>
          <w:tcPr>
            <w:tcW w:type="dxa" w:w="2880"/>
          </w:tcPr>
          <w:p>
            <w:r>
              <w:t>$39/truck/mo</w:t>
            </w:r>
          </w:p>
        </w:tc>
        <w:tc>
          <w:tcPr>
            <w:tcW w:type="dxa" w:w="2880"/>
          </w:tcPr>
          <w:p>
            <w:r>
              <w:t>Up to 80 trucks</w:t>
            </w:r>
          </w:p>
        </w:tc>
      </w:tr>
      <w:tr>
        <w:tc>
          <w:tcPr>
            <w:tcW w:type="dxa" w:w="2880"/>
          </w:tcPr>
          <w:p>
            <w:r>
              <w:t>Enterprise</w:t>
            </w:r>
          </w:p>
        </w:tc>
        <w:tc>
          <w:tcPr>
            <w:tcW w:type="dxa" w:w="2880"/>
          </w:tcPr>
          <w:p>
            <w:r>
              <w:t>Custom</w:t>
            </w:r>
          </w:p>
        </w:tc>
        <w:tc>
          <w:tcPr>
            <w:tcW w:type="dxa" w:w="2880"/>
          </w:tcPr>
          <w:p>
            <w:r>
              <w:t>Unlimited trucks</w:t>
            </w:r>
          </w:p>
        </w:tc>
      </w:tr>
    </w:tbl>
    <w:p>
      <w:pPr>
        <w:pStyle w:val="Heading1"/>
      </w:pPr>
      <w:r>
        <w:t>Traction &amp; Market</w:t>
      </w:r>
    </w:p>
    <w:p>
      <w:r>
        <w:t>We booked $1.4M in gross merchandise value across 62 carriers in our first eight months.</w:t>
      </w:r>
    </w:p>
    <w:p>
      <w:r>
        <w:t>The US regional freight brokerage market is $88B, and we address the $4.2B spent on load matching.</w:t>
      </w:r>
    </w:p>
    <w:p>
      <w:pPr>
        <w:pStyle w:val="Heading1"/>
      </w:pPr>
      <w:r>
        <w:t>Team</w:t>
      </w:r>
    </w:p>
    <w:p>
      <w:r>
        <w:t>Priya Raghunathan</w:t>
      </w:r>
    </w:p>
    <w:p>
      <w:r>
        <w:t>Co-founder &amp; CEO</w:t>
      </w:r>
    </w:p>
    <w:p>
      <w:r>
        <w:t>Ran regional operations for a 400-truck carrier; built its first load-matching desk.</w:t>
      </w:r>
    </w:p>
    <w:p>
      <w:r>
        <w:t>Marcus Oyelaran</w:t>
      </w:r>
    </w:p>
    <w:p>
      <w:r>
        <w:t>Co-founder &amp; CTO</w:t>
      </w:r>
    </w:p>
    <w:p>
      <w:r>
        <w:t>Optimisation engineer; previously shipped routing infrastructure at a freight marketplace.</w:t>
      </w:r>
    </w:p>
    <w:p>
      <w:r>
        <w:t>Helena Vasquez</w:t>
      </w:r>
    </w:p>
    <w:p>
      <w:r>
        <w:t>Head of Revenue</w:t>
      </w:r>
    </w:p>
    <w:p>
      <w:r>
        <w:t>Sold TMS software to mid-market carriers for six years before joining.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