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14.png" ContentType="image/png"/>
  <Override PartName="/word/media/image1.png" ContentType="image/png"/>
  <Override PartName="/word/media/image3.png" ContentType="image/png"/>
  <Override PartName="/word/media/image2.png" ContentType="image/png"/>
  <Override PartName="/word/media/image4.jpeg" ContentType="image/jpeg"/>
  <Override PartName="/word/media/image5.jpeg" ContentType="image/jpeg"/>
  <Override PartName="/word/media/image6.jpeg" ContentType="image/jpeg"/>
  <Override PartName="/word/media/image9.jpeg" ContentType="image/jpeg"/>
  <Override PartName="/word/media/image11.jpeg" ContentType="image/jpeg"/>
  <Override PartName="/word/media/image13.png" ContentType="image/png"/>
  <Override PartName="/word/media/image7.jpeg" ContentType="image/jpeg"/>
  <Override PartName="/word/media/image10.jpeg" ContentType="image/jpeg"/>
  <Override PartName="/word/media/image8.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start="0" w:end="0" w:hanging="0"/>
        <w:rPr>
          <w:rFonts w:ascii="Calibri" w:hAnsi="Calibri" w:eastAsia="Times New Roman" w:cs="Calibri"/>
          <w:color w:val="000000"/>
          <w:sz w:val="22"/>
          <w:szCs w:val="22"/>
          <w:lang w:eastAsia="en-GB"/>
        </w:rPr>
      </w:pPr>
      <w:r>
        <w:rPr>
          <w:rFonts w:eastAsia="Times New Roman" w:cs="Calibri" w:ascii="Calibri" w:hAnsi="Calibri"/>
          <w:b/>
          <w:bCs/>
          <w:color w:val="000000"/>
          <w:sz w:val="22"/>
          <w:szCs w:val="22"/>
          <w:lang w:eastAsia="en-GB"/>
        </w:rPr>
        <w:t>Resource Use and the Value-Productivity Tradeoff in Australian Winegrowing Regions</w:t>
      </w:r>
    </w:p>
    <w:p>
      <w:pPr>
        <w:pStyle w:val="ListParagraph"/>
        <w:ind w:start="0" w:end="0" w:hanging="0"/>
        <w:rPr>
          <w:rFonts w:ascii="Calibri" w:hAnsi="Calibri" w:eastAsia="Times New Roman" w:cs="Calibri"/>
          <w:color w:val="000000"/>
          <w:sz w:val="22"/>
          <w:szCs w:val="22"/>
          <w:lang w:eastAsia="en-GB"/>
        </w:rPr>
      </w:pPr>
      <w:r>
        <w:rPr/>
      </w:r>
    </w:p>
    <w:p>
      <w:pPr>
        <w:pStyle w:val="ListParagraph"/>
        <w:ind w:start="0" w:end="0" w:hanging="0"/>
        <w:rPr>
          <w:rFonts w:ascii="Calibri" w:hAnsi="Calibri" w:eastAsia="Times New Roman" w:cs="Calibri"/>
          <w:b/>
          <w:b/>
          <w:bCs/>
          <w:i w:val="false"/>
          <w:i w:val="false"/>
          <w:iCs w:val="false"/>
          <w:color w:val="000000"/>
          <w:sz w:val="22"/>
          <w:szCs w:val="22"/>
          <w:u w:val="single"/>
          <w:lang w:eastAsia="en-GB"/>
        </w:rPr>
      </w:pPr>
      <w:r>
        <w:rPr>
          <w:rFonts w:eastAsia="Times New Roman" w:cs="Calibri" w:ascii="Calibri" w:hAnsi="Calibri"/>
          <w:b/>
          <w:bCs/>
          <w:i w:val="false"/>
          <w:iCs w:val="false"/>
          <w:color w:val="000000"/>
          <w:sz w:val="22"/>
          <w:szCs w:val="22"/>
          <w:u w:val="single"/>
          <w:lang w:eastAsia="en-GB"/>
        </w:rPr>
        <w:t>Introduction</w:t>
      </w:r>
    </w:p>
    <w:p>
      <w:pPr>
        <w:pStyle w:val="ListParagraph"/>
        <w:ind w:start="0" w:end="0" w:hanging="0"/>
        <w:rPr>
          <w:rFonts w:ascii="Calibri" w:hAnsi="Calibri" w:eastAsia="Times New Roman" w:cs="Calibri"/>
          <w:color w:val="000000"/>
          <w:sz w:val="22"/>
          <w:szCs w:val="22"/>
          <w:lang w:eastAsia="en-GB"/>
        </w:rPr>
      </w:pPr>
      <w:r>
        <w:rPr>
          <w:rFonts w:eastAsia="Times New Roman" w:cs="Calibri" w:ascii="Calibri" w:hAnsi="Calibri"/>
          <w:color w:val="000000"/>
          <w:sz w:val="22"/>
          <w:szCs w:val="22"/>
          <w:lang w:eastAsia="en-GB"/>
        </w:rPr>
      </w:r>
    </w:p>
    <w:p>
      <w:pPr>
        <w:pStyle w:val="ListParagraph"/>
        <w:ind w:start="0" w:end="0" w:hanging="0"/>
        <w:rPr/>
      </w:pPr>
      <w:r>
        <w:rPr>
          <w:rFonts w:eastAsia="Times New Roman" w:cs="Calibri" w:ascii="Calibri" w:hAnsi="Calibri"/>
          <w:color w:val="000000"/>
          <w:sz w:val="22"/>
          <w:szCs w:val="22"/>
          <w:lang w:eastAsia="en-GB"/>
        </w:rPr>
        <w:t xml:space="preserve">Viticulture differs from other agricultural pursuits as it is integrated within the wine industry, meaning that when strategies for sustainable viticulture are assessed, there is a trade off between trying to balance the amount of resources invested and the resultant quality and quantity of grapes produced </w:t>
      </w:r>
      <w:r>
        <w:rPr>
          <w:rFonts w:eastAsia="Times New Roman" w:cs="Calibri" w:ascii="Calibri" w:hAnsi="Calibri"/>
          <w:b w:val="false"/>
          <w:i w:val="false"/>
          <w:caps w:val="false"/>
          <w:smallCaps w:val="false"/>
          <w:color w:val="000000"/>
          <w:position w:val="0"/>
          <w:sz w:val="22"/>
          <w:sz w:val="22"/>
          <w:szCs w:val="22"/>
          <w:u w:val="none"/>
          <w:vertAlign w:val="baseline"/>
          <w:lang w:eastAsia="en-GB"/>
        </w:rPr>
        <w:t>(Montalvo-Falcón et al., 2023)</w:t>
      </w:r>
      <w:r>
        <w:rPr>
          <w:rFonts w:eastAsia="Times New Roman" w:cs="Calibri" w:ascii="Calibri" w:hAnsi="Calibri"/>
          <w:color w:val="000000"/>
          <w:sz w:val="22"/>
          <w:szCs w:val="22"/>
          <w:lang w:eastAsia="en-GB"/>
        </w:rPr>
        <w:t>. These considerations have become increasingly important within the Australian wine industry due to recent economic, social and environmental pressures, such as bush fires (Wine Australia, 2020), tariffs (Wine Australia, 2022), and shifting attitudes to alcohol consumption (Toumbourou et al., 2018).</w:t>
      </w:r>
    </w:p>
    <w:p>
      <w:pPr>
        <w:pStyle w:val="ListParagraph"/>
        <w:ind w:start="0" w:end="0" w:hanging="0"/>
        <w:rPr>
          <w:rFonts w:ascii="Calibri" w:hAnsi="Calibri" w:eastAsia="Times New Roman" w:cs="Calibri"/>
          <w:color w:val="000000"/>
          <w:sz w:val="22"/>
          <w:szCs w:val="22"/>
          <w:lang w:eastAsia="en-GB"/>
        </w:rPr>
      </w:pPr>
      <w:r>
        <w:rPr>
          <w:rFonts w:eastAsia="Times New Roman" w:cs="Calibri" w:ascii="Calibri" w:hAnsi="Calibri"/>
          <w:color w:val="000000"/>
          <w:sz w:val="22"/>
          <w:szCs w:val="22"/>
          <w:lang w:eastAsia="en-GB"/>
        </w:rPr>
      </w:r>
    </w:p>
    <w:p>
      <w:pPr>
        <w:pStyle w:val="ListParagraph"/>
        <w:ind w:start="0" w:end="0" w:hanging="0"/>
        <w:rPr/>
      </w:pPr>
      <w:r>
        <w:rPr>
          <w:rFonts w:eastAsia="Times New Roman" w:cs="Calibri" w:ascii="Calibri" w:hAnsi="Calibri"/>
          <w:color w:val="000000"/>
          <w:sz w:val="22"/>
          <w:szCs w:val="22"/>
          <w:lang w:eastAsia="en-GB"/>
        </w:rPr>
        <w:t>There is an extensive amount of research into how a variety of factors effect the outcome of a vineyard’s grape quality and yield, however individual effects are usually studied in isolation (Abbal et al., 2016). Due to a lack of long-term and in-depth data sources, there has been little ability to gain statistical insight at a large scale across multiple regions into vineyards’ resource use and its relationship to vineyards’ outputs (Keith Jones, 2002; Knight et al., 2019). Here we look at the broad effects of resource input and its relation to resultant quality and quantity; where we define quality by the financial value of the grapes per tonne. This analysis looks at these relationships through the use of linear models, using a significantly larger sample size compared to previous research. The analysis includes a multitude of vineyards located over a diverse range of locations and climates, allowing for a more comprehensive understanding of the relationships between resource use and vineyard outputs.</w:t>
      </w:r>
    </w:p>
    <w:p>
      <w:pPr>
        <w:pStyle w:val="ListParagraph"/>
        <w:ind w:start="0" w:end="0" w:hanging="0"/>
        <w:rPr>
          <w:rFonts w:ascii="Calibri" w:hAnsi="Calibri" w:eastAsia="Times New Roman" w:cs="Calibri"/>
          <w:b/>
          <w:b/>
          <w:bCs/>
          <w:color w:val="000000"/>
          <w:sz w:val="22"/>
          <w:szCs w:val="22"/>
          <w:u w:val="single"/>
          <w:lang w:eastAsia="en-GB"/>
        </w:rPr>
      </w:pPr>
      <w:r>
        <w:rPr>
          <w:rFonts w:eastAsia="Times New Roman" w:cs="Calibri" w:ascii="Calibri" w:hAnsi="Calibri"/>
          <w:b/>
          <w:bCs/>
          <w:color w:val="000000"/>
          <w:sz w:val="22"/>
          <w:szCs w:val="22"/>
          <w:u w:val="single"/>
          <w:lang w:eastAsia="en-GB"/>
        </w:rPr>
      </w:r>
    </w:p>
    <w:p>
      <w:pPr>
        <w:pStyle w:val="ListParagraph"/>
        <w:ind w:start="0" w:end="0" w:hanging="0"/>
        <w:rPr>
          <w:rFonts w:ascii="Calibri" w:hAnsi="Calibri" w:eastAsia="Times New Roman" w:cs="Calibri"/>
          <w:b/>
          <w:b/>
          <w:bCs/>
          <w:color w:val="000000"/>
          <w:sz w:val="22"/>
          <w:szCs w:val="22"/>
          <w:u w:val="single"/>
          <w:lang w:eastAsia="en-GB"/>
        </w:rPr>
      </w:pPr>
      <w:r>
        <w:rPr>
          <w:rFonts w:eastAsia="Times New Roman" w:cs="Calibri" w:ascii="Calibri" w:hAnsi="Calibri"/>
          <w:b/>
          <w:bCs/>
          <w:color w:val="000000"/>
          <w:sz w:val="22"/>
          <w:szCs w:val="22"/>
          <w:u w:val="single"/>
          <w:lang w:eastAsia="en-GB"/>
        </w:rPr>
        <w:t>Methods</w:t>
      </w:r>
    </w:p>
    <w:p>
      <w:pPr>
        <w:pStyle w:val="ListParagraph"/>
        <w:ind w:start="0" w:end="0" w:hanging="0"/>
        <w:rPr>
          <w:rFonts w:ascii="Calibri" w:hAnsi="Calibri" w:eastAsia="Times New Roman" w:cs="Calibri"/>
          <w:b w:val="false"/>
          <w:b w:val="false"/>
          <w:bCs w:val="false"/>
          <w:color w:val="000000"/>
          <w:sz w:val="22"/>
          <w:szCs w:val="22"/>
          <w:u w:val="none"/>
          <w:lang w:eastAsia="en-GB"/>
        </w:rPr>
      </w:pPr>
      <w:r>
        <w:rPr>
          <w:rFonts w:eastAsia="Times New Roman" w:cs="Calibri" w:ascii="Calibri" w:hAnsi="Calibri"/>
          <w:b w:val="false"/>
          <w:bCs w:val="false"/>
          <w:color w:val="000000"/>
          <w:sz w:val="22"/>
          <w:szCs w:val="22"/>
          <w:u w:val="none"/>
          <w:lang w:eastAsia="en-GB"/>
        </w:rPr>
        <w:t>We created four linear models to explore the relationships between resource use and vineyard outputs (see table 1). These models look at the value and quantity of grapes produced by vineyards, as a total and as a scale of area harvested. We compare both values to observe how economies of scale effect the use of resources. The direct relationship between yield and average sale price was reviewed referring to the various models explanation of the determining factors.</w:t>
      </w:r>
    </w:p>
    <w:p>
      <w:pPr>
        <w:pStyle w:val="ListParagraph"/>
        <w:ind w:start="0" w:end="0" w:hanging="0"/>
        <w:rPr>
          <w:rFonts w:ascii="Calibri" w:hAnsi="Calibri" w:eastAsia="Times New Roman" w:cs="Calibri"/>
          <w:b/>
          <w:b/>
          <w:bCs/>
          <w:color w:val="000000"/>
          <w:sz w:val="22"/>
          <w:szCs w:val="22"/>
          <w:lang w:eastAsia="en-GB"/>
        </w:rPr>
      </w:pPr>
      <w:r>
        <w:rPr>
          <w:rFonts w:eastAsia="Times New Roman" w:cs="Calibri" w:ascii="Calibri" w:hAnsi="Calibri"/>
          <w:b/>
          <w:bCs/>
          <w:color w:val="000000"/>
          <w:sz w:val="22"/>
          <w:szCs w:val="22"/>
          <w:lang w:eastAsia="en-GB"/>
        </w:rPr>
      </w:r>
    </w:p>
    <w:p>
      <w:pPr>
        <w:pStyle w:val="ListParagraph"/>
        <w:ind w:start="0" w:end="0" w:hanging="0"/>
        <w:rPr>
          <w:rFonts w:ascii="Calibri" w:hAnsi="Calibri" w:eastAsia="Times New Roman" w:cs="Calibri"/>
          <w:b/>
          <w:b/>
          <w:bCs/>
          <w:color w:val="000000"/>
          <w:sz w:val="22"/>
          <w:szCs w:val="22"/>
          <w:lang w:eastAsia="en-GB"/>
        </w:rPr>
      </w:pPr>
      <w:r>
        <w:rPr>
          <w:rFonts w:eastAsia="Times New Roman" w:cs="Calibri" w:ascii="Calibri" w:hAnsi="Calibri"/>
          <w:b/>
          <w:bCs/>
          <w:color w:val="000000"/>
          <w:sz w:val="22"/>
          <w:szCs w:val="22"/>
          <w:lang w:eastAsia="en-GB"/>
        </w:rPr>
        <w:t xml:space="preserve">Table 1: </w:t>
      </w:r>
      <w:r>
        <w:rPr>
          <w:rFonts w:eastAsia="Times New Roman" w:cs="Calibri" w:ascii="Calibri" w:hAnsi="Calibri"/>
          <w:b w:val="false"/>
          <w:bCs w:val="false"/>
          <w:color w:val="000000"/>
          <w:sz w:val="22"/>
          <w:szCs w:val="22"/>
          <w:lang w:eastAsia="en-GB"/>
        </w:rPr>
        <w:t>Summary of models, their predictors, covariates and variable interactions.</w:t>
      </w:r>
    </w:p>
    <w:tbl>
      <w:tblPr>
        <w:tblW w:w="9643" w:type="dxa"/>
        <w:jc w:val="start"/>
        <w:tblInd w:w="55" w:type="dxa"/>
        <w:tblLayout w:type="fixed"/>
        <w:tblCellMar>
          <w:top w:w="55" w:type="dxa"/>
          <w:start w:w="55" w:type="dxa"/>
          <w:bottom w:w="55" w:type="dxa"/>
          <w:end w:w="55" w:type="dxa"/>
        </w:tblCellMar>
      </w:tblPr>
      <w:tblGrid>
        <w:gridCol w:w="938"/>
        <w:gridCol w:w="2921"/>
        <w:gridCol w:w="1926"/>
        <w:gridCol w:w="1930"/>
        <w:gridCol w:w="1928"/>
      </w:tblGrid>
      <w:tr>
        <w:trPr/>
        <w:tc>
          <w:tcPr>
            <w:tcW w:w="938" w:type="dxa"/>
            <w:tcBorders>
              <w:top w:val="single" w:sz="4" w:space="0" w:color="000000"/>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2921" w:type="dxa"/>
            <w:tcBorders>
              <w:top w:val="single" w:sz="4" w:space="0" w:color="000000"/>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Response</w:t>
            </w:r>
          </w:p>
        </w:tc>
        <w:tc>
          <w:tcPr>
            <w:tcW w:w="1926" w:type="dxa"/>
            <w:tcBorders>
              <w:top w:val="single" w:sz="4" w:space="0" w:color="000000"/>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Predictors</w:t>
            </w:r>
          </w:p>
        </w:tc>
        <w:tc>
          <w:tcPr>
            <w:tcW w:w="1930" w:type="dxa"/>
            <w:tcBorders>
              <w:top w:val="single" w:sz="4" w:space="0" w:color="000000"/>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Covariates</w:t>
            </w:r>
          </w:p>
        </w:tc>
        <w:tc>
          <w:tcPr>
            <w:tcW w:w="1928" w:type="dxa"/>
            <w:tcBorders>
              <w:top w:val="single" w:sz="4" w:space="0" w:color="000000"/>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Interactions</w:t>
            </w:r>
          </w:p>
        </w:tc>
      </w:tr>
      <w:tr>
        <w:trPr/>
        <w:tc>
          <w:tcPr>
            <w:tcW w:w="938"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Model 1</w:t>
            </w:r>
          </w:p>
        </w:tc>
        <w:tc>
          <w:tcPr>
            <w:tcW w:w="2921"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Yield</w:t>
            </w:r>
          </w:p>
        </w:tc>
        <w:tc>
          <w:tcPr>
            <w:tcW w:w="1926"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Water Used, Scope 1 Emissions</w:t>
            </w:r>
          </w:p>
        </w:tc>
        <w:tc>
          <w:tcPr>
            <w:tcW w:w="1930"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Area Harvested, Year, GI Region</w:t>
            </w:r>
          </w:p>
        </w:tc>
        <w:tc>
          <w:tcPr>
            <w:tcW w:w="1928"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N/A</w:t>
            </w:r>
          </w:p>
        </w:tc>
      </w:tr>
      <w:tr>
        <w:trPr/>
        <w:tc>
          <w:tcPr>
            <w:tcW w:w="938"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Model 2</w:t>
            </w:r>
          </w:p>
        </w:tc>
        <w:tc>
          <w:tcPr>
            <w:tcW w:w="2921"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831850" cy="229235"/>
                  <wp:effectExtent l="0" t="0" r="0" b="0"/>
                  <wp:docPr id="1" name="Shape1" descr="12§display§\text{Yield}  \over \text{Area Harvested}§svg§600§FALSE§" title="TexM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pe1" descr="12§display§\text{Yield}  \over \text{Area Harvested}§svg§600§FALSE§" title="TexMaths"/>
                          <pic:cNvPicPr>
                            <a:picLocks noChangeAspect="1" noChangeArrowheads="1"/>
                          </pic:cNvPicPr>
                        </pic:nvPicPr>
                        <pic:blipFill>
                          <a:blip r:embed="rId2"/>
                          <a:stretch>
                            <a:fillRect/>
                          </a:stretch>
                        </pic:blipFill>
                        <pic:spPr bwMode="auto">
                          <a:xfrm>
                            <a:off x="0" y="0"/>
                            <a:ext cx="831850" cy="229235"/>
                          </a:xfrm>
                          <a:prstGeom prst="rect">
                            <a:avLst/>
                          </a:prstGeom>
                        </pic:spPr>
                      </pic:pic>
                    </a:graphicData>
                  </a:graphic>
                </wp:inline>
              </w:drawing>
            </w:r>
          </w:p>
        </w:tc>
        <w:tc>
          <w:tcPr>
            <w:tcW w:w="1926"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Water Used, Scope 1 Emissions</w:t>
            </w:r>
          </w:p>
        </w:tc>
        <w:tc>
          <w:tcPr>
            <w:tcW w:w="1930"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Area Harvested, Year, GI Region</w:t>
            </w:r>
          </w:p>
        </w:tc>
        <w:tc>
          <w:tcPr>
            <w:tcW w:w="1928"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Area Harvested * Scope 1 Emissions,</w:t>
            </w:r>
          </w:p>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Area Harvested * Water Use,</w:t>
            </w:r>
          </w:p>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Year * Region</w:t>
            </w:r>
          </w:p>
        </w:tc>
      </w:tr>
      <w:tr>
        <w:trPr/>
        <w:tc>
          <w:tcPr>
            <w:tcW w:w="938"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Model 3</w:t>
            </w:r>
          </w:p>
        </w:tc>
        <w:tc>
          <w:tcPr>
            <w:tcW w:w="2921"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1777365" cy="139700"/>
                  <wp:effectExtent l="0" t="0" r="0" b="0"/>
                  <wp:docPr id="2" name="Shape2" descr="12§display§ { \text{Yield} \times \text{Average Sale Price}}§svg§600§FALSE§" title="TexM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pe2" descr="12§display§ { \text{Yield} \times \text{Average Sale Price}}§svg§600§FALSE§" title="TexMaths"/>
                          <pic:cNvPicPr>
                            <a:picLocks noChangeAspect="1" noChangeArrowheads="1"/>
                          </pic:cNvPicPr>
                        </pic:nvPicPr>
                        <pic:blipFill>
                          <a:blip r:embed="rId3"/>
                          <a:stretch>
                            <a:fillRect/>
                          </a:stretch>
                        </pic:blipFill>
                        <pic:spPr bwMode="auto">
                          <a:xfrm>
                            <a:off x="0" y="0"/>
                            <a:ext cx="1777365" cy="139700"/>
                          </a:xfrm>
                          <a:prstGeom prst="rect">
                            <a:avLst/>
                          </a:prstGeom>
                        </pic:spPr>
                      </pic:pic>
                    </a:graphicData>
                  </a:graphic>
                </wp:inline>
              </w:drawing>
            </w:r>
          </w:p>
        </w:tc>
        <w:tc>
          <w:tcPr>
            <w:tcW w:w="1926"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Water Used, Scope 1 Emissions</w:t>
            </w:r>
          </w:p>
        </w:tc>
        <w:tc>
          <w:tcPr>
            <w:tcW w:w="1930"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Area Harvested, Year, GI Region</w:t>
            </w:r>
          </w:p>
        </w:tc>
        <w:tc>
          <w:tcPr>
            <w:tcW w:w="1928"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N/A</w:t>
            </w:r>
          </w:p>
        </w:tc>
      </w:tr>
      <w:tr>
        <w:trPr/>
        <w:tc>
          <w:tcPr>
            <w:tcW w:w="938"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Model 4</w:t>
            </w:r>
          </w:p>
        </w:tc>
        <w:tc>
          <w:tcPr>
            <w:tcW w:w="2921"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1782445" cy="238125"/>
                  <wp:effectExtent l="0" t="0" r="0" b="0"/>
                  <wp:docPr id="3" name="Shape3" descr="12§display§ { \text{Yield} \times \text{Average Sale Price}} \over \text{Area Harvested}§svg§600§FALSE§" title="TexM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pe3" descr="12§display§ { \text{Yield} \times \text{Average Sale Price}} \over \text{Area Harvested}§svg§600§FALSE§" title="TexMaths"/>
                          <pic:cNvPicPr>
                            <a:picLocks noChangeAspect="1" noChangeArrowheads="1"/>
                          </pic:cNvPicPr>
                        </pic:nvPicPr>
                        <pic:blipFill>
                          <a:blip r:embed="rId4"/>
                          <a:stretch>
                            <a:fillRect/>
                          </a:stretch>
                        </pic:blipFill>
                        <pic:spPr bwMode="auto">
                          <a:xfrm>
                            <a:off x="0" y="0"/>
                            <a:ext cx="1782445" cy="238125"/>
                          </a:xfrm>
                          <a:prstGeom prst="rect">
                            <a:avLst/>
                          </a:prstGeom>
                        </pic:spPr>
                      </pic:pic>
                    </a:graphicData>
                  </a:graphic>
                </wp:inline>
              </w:drawing>
            </w:r>
          </w:p>
        </w:tc>
        <w:tc>
          <w:tcPr>
            <w:tcW w:w="1926"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Water Used, Scope 1 Emissions</w:t>
            </w:r>
          </w:p>
        </w:tc>
        <w:tc>
          <w:tcPr>
            <w:tcW w:w="1930"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Area Harvested, Year, GI Region</w:t>
            </w:r>
          </w:p>
        </w:tc>
        <w:tc>
          <w:tcPr>
            <w:tcW w:w="1928"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Area Harvested * Scope 1 Emissions,</w:t>
            </w:r>
          </w:p>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Area Harvested * Water Use,</w:t>
            </w:r>
          </w:p>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Year * Region</w:t>
            </w:r>
          </w:p>
        </w:tc>
      </w:tr>
    </w:tbl>
    <w:p>
      <w:pPr>
        <w:pStyle w:val="ListParagraph"/>
        <w:ind w:start="0" w:end="0" w:hanging="0"/>
        <w:rPr>
          <w:rFonts w:ascii="Calibri" w:hAnsi="Calibri" w:eastAsia="Times New Roman" w:cs="Calibri"/>
          <w:b/>
          <w:b/>
          <w:bCs/>
          <w:color w:val="000000"/>
          <w:sz w:val="22"/>
          <w:szCs w:val="22"/>
          <w:lang w:eastAsia="en-GB"/>
        </w:rPr>
      </w:pPr>
      <w:r>
        <w:rPr>
          <w:rFonts w:eastAsia="Times New Roman" w:cs="Calibri" w:ascii="Calibri" w:hAnsi="Calibri"/>
          <w:b/>
          <w:bCs/>
          <w:color w:val="000000"/>
          <w:sz w:val="22"/>
          <w:szCs w:val="22"/>
          <w:lang w:eastAsia="en-GB"/>
        </w:rPr>
        <w:t>Data</w:t>
      </w:r>
    </w:p>
    <w:p>
      <w:pPr>
        <w:pStyle w:val="ListParagraph"/>
        <w:ind w:start="0" w:end="0" w:hanging="0"/>
        <w:rPr/>
      </w:pPr>
      <w:r>
        <w:rPr>
          <w:rFonts w:eastAsia="Times New Roman" w:cs="Calibri" w:ascii="Calibri" w:hAnsi="Calibri"/>
          <w:color w:val="000000"/>
          <w:sz w:val="22"/>
          <w:szCs w:val="22"/>
          <w:u w:val="none"/>
          <w:lang w:eastAsia="en-GB"/>
        </w:rPr>
        <w:t>The data used in this analysis was provided by Sustainable Winegrowing Australia (SWA), Australia’s national wine industry sustainability program, which aims to facilitate grape-growers and winemakers in demonstrating and improving their sustainability (SWA, 2022). The data recorded by SWA is entered manually by growers using a web based interface, with some fields being optional. Two subsets of this data were used for this analysis, both containing data for a vineyard’s region, harvest year, yield, area harvested, water used and fuel used (in litres for diesel, petrol, biodiesel and LPG). To enable comparisons, total fuel was converted to amount of carbon emissions in metric tons.</w:t>
      </w:r>
    </w:p>
    <w:p>
      <w:pPr>
        <w:pStyle w:val="ListParagraph"/>
        <w:ind w:start="0" w:end="0" w:hanging="0"/>
        <w:rPr>
          <w:rFonts w:ascii="Calibri" w:hAnsi="Calibri" w:eastAsia="Times New Roman" w:cs="Calibri"/>
          <w:color w:val="000000"/>
          <w:sz w:val="22"/>
          <w:szCs w:val="22"/>
          <w:u w:val="none"/>
          <w:lang w:eastAsia="en-GB"/>
        </w:rPr>
      </w:pPr>
      <w:r>
        <w:rPr>
          <w:rFonts w:eastAsia="Times New Roman" w:cs="Calibri" w:ascii="Calibri" w:hAnsi="Calibri"/>
          <w:color w:val="000000"/>
          <w:sz w:val="22"/>
          <w:szCs w:val="22"/>
          <w:u w:val="none"/>
          <w:lang w:eastAsia="en-GB"/>
        </w:rPr>
      </w:r>
    </w:p>
    <w:p>
      <w:pPr>
        <w:pStyle w:val="ListParagraph"/>
        <w:ind w:start="0" w:end="0" w:hanging="0"/>
        <w:rPr>
          <w:rFonts w:ascii="Calibri" w:hAnsi="Calibri" w:eastAsia="Times New Roman" w:cs="Calibri"/>
          <w:color w:val="000000"/>
          <w:sz w:val="22"/>
          <w:szCs w:val="22"/>
          <w:u w:val="none"/>
          <w:lang w:eastAsia="en-GB"/>
        </w:rPr>
      </w:pPr>
      <w:r>
        <w:rPr>
          <w:rFonts w:eastAsia="Times New Roman" w:cs="Calibri" w:ascii="Calibri" w:hAnsi="Calibri"/>
          <w:color w:val="000000"/>
          <w:sz w:val="22"/>
          <w:szCs w:val="22"/>
          <w:u w:val="none"/>
          <w:lang w:eastAsia="en-GB"/>
        </w:rPr>
        <w:t>The first dataset, used for Model 1 and Model 2, contained 5298 samples spanning the period from 2012 to 2022, covering 57 GI Regions and 1432 separate vineyards.</w:t>
      </w:r>
    </w:p>
    <w:p>
      <w:pPr>
        <w:pStyle w:val="ListParagraph"/>
        <w:ind w:start="0" w:end="0" w:hanging="0"/>
        <w:rPr>
          <w:rFonts w:ascii="Calibri" w:hAnsi="Calibri" w:eastAsia="Times New Roman" w:cs="Calibri"/>
          <w:color w:val="000000"/>
          <w:sz w:val="22"/>
          <w:szCs w:val="22"/>
          <w:u w:val="none"/>
          <w:lang w:eastAsia="en-GB"/>
        </w:rPr>
      </w:pPr>
      <w:r>
        <w:rPr>
          <w:rFonts w:eastAsia="Times New Roman" w:cs="Calibri" w:ascii="Calibri" w:hAnsi="Calibri"/>
          <w:color w:val="000000"/>
          <w:sz w:val="22"/>
          <w:szCs w:val="22"/>
          <w:u w:val="none"/>
          <w:lang w:eastAsia="en-GB"/>
        </w:rPr>
      </w:r>
    </w:p>
    <w:p>
      <w:pPr>
        <w:pStyle w:val="ListParagraph"/>
        <w:ind w:start="0" w:end="0" w:hanging="0"/>
        <w:rPr>
          <w:rFonts w:ascii="Calibri" w:hAnsi="Calibri" w:eastAsia="Times New Roman" w:cs="Calibri"/>
          <w:color w:val="000000"/>
          <w:sz w:val="22"/>
          <w:szCs w:val="22"/>
          <w:u w:val="none"/>
          <w:lang w:eastAsia="en-GB"/>
        </w:rPr>
      </w:pPr>
      <w:r>
        <w:rPr>
          <w:rFonts w:eastAsia="Times New Roman" w:cs="Calibri" w:ascii="Calibri" w:hAnsi="Calibri"/>
          <w:color w:val="000000"/>
          <w:sz w:val="22"/>
          <w:szCs w:val="22"/>
          <w:u w:val="none"/>
          <w:lang w:eastAsia="en-GB"/>
        </w:rPr>
        <w:t>The second dataset was a subset of the first, containing vineyards which recorded a value for their average sale price of grapes per tonne. This dataset was used for Model 3 and Model 4. This dataset contained 2878 samples spanning the period from 2015 to 2022, covering 51 GI Regions and 944 separate vineyards.</w:t>
      </w:r>
    </w:p>
    <w:p>
      <w:pPr>
        <w:pStyle w:val="ListParagraph"/>
        <w:ind w:start="0" w:end="0" w:hanging="0"/>
        <w:rPr>
          <w:rFonts w:ascii="Calibri" w:hAnsi="Calibri" w:eastAsia="Times New Roman" w:cs="Calibri"/>
          <w:color w:val="000000"/>
          <w:sz w:val="22"/>
          <w:szCs w:val="22"/>
          <w:u w:val="none"/>
          <w:lang w:eastAsia="en-GB"/>
        </w:rPr>
      </w:pPr>
      <w:r>
        <w:rPr>
          <w:rFonts w:eastAsia="Times New Roman" w:cs="Calibri" w:ascii="Calibri" w:hAnsi="Calibri"/>
          <w:color w:val="000000"/>
          <w:sz w:val="22"/>
          <w:szCs w:val="22"/>
          <w:u w:val="none"/>
          <w:lang w:eastAsia="en-GB"/>
        </w:rPr>
      </w:r>
    </w:p>
    <w:p>
      <w:pPr>
        <w:pStyle w:val="ListParagraph"/>
        <w:ind w:start="0" w:end="0" w:hanging="0"/>
        <w:rPr/>
      </w:pPr>
      <w:r>
        <w:rPr>
          <w:rFonts w:eastAsia="Times New Roman" w:cs="Calibri" w:ascii="Calibri" w:hAnsi="Calibri"/>
          <w:color w:val="000000"/>
          <w:sz w:val="22"/>
          <w:szCs w:val="22"/>
          <w:u w:val="none"/>
          <w:lang w:eastAsia="en-GB"/>
        </w:rPr>
        <w:t>Data from the SWA was limited to samples that had recorded values for the variables used in the created models (see Table 1). The data was logarithmically transformed, centred and scaled by standard deviation before being used. Two values for average sale price were removed from the dataset, due to a recording of $1. And, t</w:t>
      </w:r>
      <w:r>
        <w:rPr>
          <w:rFonts w:eastAsia="Times New Roman" w:cs="Calibri" w:ascii="Calibri" w:hAnsi="Calibri"/>
          <w:color w:val="000000"/>
          <w:sz w:val="22"/>
          <w:szCs w:val="22"/>
          <w:shd w:fill="auto" w:val="clear"/>
          <w:lang w:eastAsia="en-GB"/>
        </w:rPr>
        <w:t xml:space="preserve">he unreported values for average prices per tonne were filled in using regional averages taken from Wine Australia’s yearly reports, where they were available </w:t>
      </w:r>
      <w:r>
        <w:rPr>
          <w:rFonts w:eastAsia="Times New Roman" w:cs="Calibri" w:ascii="Calibri" w:hAnsi="Calibri"/>
          <w:b w:val="false"/>
          <w:i w:val="false"/>
          <w:caps w:val="false"/>
          <w:smallCaps w:val="false"/>
          <w:color w:val="000000"/>
          <w:position w:val="0"/>
          <w:sz w:val="22"/>
          <w:sz w:val="22"/>
          <w:szCs w:val="22"/>
          <w:u w:val="none"/>
          <w:shd w:fill="auto" w:val="clear"/>
          <w:vertAlign w:val="baseline"/>
          <w:lang w:eastAsia="en-GB"/>
        </w:rPr>
        <w:t>(Wine Australia, 2022, 2021, 2020, 2019; Winemakers’ Federation of Australia, 2018, 2017, 2016, 2015, 2014, 2013, 2013).</w:t>
      </w:r>
    </w:p>
    <w:p>
      <w:pPr>
        <w:pStyle w:val="ListParagraph"/>
        <w:ind w:start="0" w:end="0" w:hanging="0"/>
        <w:rPr>
          <w:rFonts w:ascii="Calibri" w:hAnsi="Calibri" w:eastAsia="Times New Roman" w:cs="Calibri"/>
          <w:color w:val="000000"/>
          <w:sz w:val="22"/>
          <w:szCs w:val="22"/>
          <w:lang w:eastAsia="en-GB"/>
        </w:rPr>
      </w:pPr>
      <w:r>
        <w:rPr>
          <w:rFonts w:eastAsia="Times New Roman" w:cs="Calibri" w:ascii="Calibri" w:hAnsi="Calibri"/>
          <w:color w:val="000000"/>
          <w:sz w:val="22"/>
          <w:szCs w:val="22"/>
          <w:lang w:eastAsia="en-GB"/>
        </w:rPr>
      </w:r>
    </w:p>
    <w:p>
      <w:pPr>
        <w:pStyle w:val="ListParagraph"/>
        <w:ind w:start="0" w:end="0" w:hanging="0"/>
        <w:rPr>
          <w:rFonts w:ascii="Calibri" w:hAnsi="Calibri" w:eastAsia="Times New Roman" w:cs="Calibri"/>
          <w:b/>
          <w:b/>
          <w:bCs/>
          <w:color w:val="000000"/>
          <w:sz w:val="22"/>
          <w:szCs w:val="22"/>
          <w:u w:val="none"/>
          <w:lang w:eastAsia="en-GB"/>
        </w:rPr>
      </w:pPr>
      <w:r>
        <w:rPr>
          <w:rFonts w:eastAsia="Times New Roman" w:cs="Calibri" w:ascii="Calibri" w:hAnsi="Calibri"/>
          <w:b/>
          <w:bCs/>
          <w:color w:val="000000"/>
          <w:sz w:val="22"/>
          <w:szCs w:val="22"/>
          <w:u w:val="none"/>
          <w:lang w:eastAsia="en-GB"/>
        </w:rPr>
        <w:t>Total Emissions</w:t>
      </w:r>
    </w:p>
    <w:p>
      <w:pPr>
        <w:pStyle w:val="ListParagraph"/>
        <w:ind w:start="0" w:end="0" w:hanging="0"/>
        <w:rPr/>
      </w:pPr>
      <w:r>
        <w:rPr>
          <w:rFonts w:eastAsia="Times New Roman" w:cs="Calibri" w:ascii="Calibri" w:hAnsi="Calibri"/>
          <w:color w:val="000000"/>
          <w:sz w:val="22"/>
          <w:szCs w:val="22"/>
          <w:u w:val="none"/>
          <w:lang w:eastAsia="en-GB"/>
        </w:rPr>
        <w:t>Emissions were calculated from the total diesel, petrol, bio-diesel and LPG used for irrigation and any activities within the vineyard. Taken from the Australian National Greenhouse Accounts Factors, Eq. 1 was used to convert the quantity of fuel in litres, Q, using a prescribed Energy Content, EC, and emission factors of scope one, EF1, and scope three, EF3, to tonnes of Carbon Dioxide equivalent, tCO</w:t>
      </w:r>
      <w:r>
        <w:rPr>
          <w:rFonts w:eastAsia="Times New Roman" w:cs="Calibri" w:ascii="Calibri" w:hAnsi="Calibri"/>
          <w:color w:val="000000"/>
          <w:sz w:val="22"/>
          <w:szCs w:val="22"/>
          <w:u w:val="none"/>
          <w:vertAlign w:val="subscript"/>
          <w:lang w:eastAsia="en-GB"/>
        </w:rPr>
        <w:t>2</w:t>
      </w:r>
      <w:r>
        <w:rPr>
          <w:rFonts w:eastAsia="Times New Roman" w:cs="Calibri" w:ascii="Calibri" w:hAnsi="Calibri"/>
          <w:color w:val="000000"/>
          <w:sz w:val="22"/>
          <w:szCs w:val="22"/>
          <w:u w:val="none"/>
          <w:lang w:eastAsia="en-GB"/>
        </w:rPr>
        <w:t xml:space="preserve">e </w:t>
      </w:r>
      <w:r>
        <w:rPr/>
        <w:t>(Department of Climate Change, Energy, the Environment and Water, 2022)</w:t>
      </w:r>
      <w:r>
        <w:rPr>
          <w:rFonts w:eastAsia="Times New Roman" w:cs="Calibri" w:ascii="Calibri" w:hAnsi="Calibri"/>
          <w:color w:val="000000"/>
          <w:sz w:val="22"/>
          <w:szCs w:val="22"/>
          <w:u w:val="none"/>
          <w:shd w:fill="auto" w:val="clear"/>
          <w:lang w:eastAsia="en-GB"/>
        </w:rPr>
        <w:t>.</w:t>
      </w:r>
    </w:p>
    <w:p>
      <w:pPr>
        <w:pStyle w:val="ListParagraph"/>
        <w:ind w:start="0" w:end="0" w:hanging="0"/>
        <w:jc w:val="start"/>
        <w:rPr>
          <w:rFonts w:ascii="Calibri" w:hAnsi="Calibri" w:eastAsia="Times New Roman" w:cs="Calibri"/>
          <w:color w:val="000000"/>
          <w:sz w:val="22"/>
          <w:szCs w:val="22"/>
          <w:u w:val="none"/>
          <w:lang w:eastAsia="en-GB"/>
        </w:rPr>
      </w:pPr>
      <w:r>
        <w:rPr/>
      </w:r>
      <m:oMath xmlns:m="http://schemas.openxmlformats.org/officeDocument/2006/math">
        <m:sSub>
          <m:e>
            <m:r>
              <m:t xml:space="preserve">tCO</m:t>
            </m:r>
          </m:e>
          <m:sub>
            <m:r>
              <m:t xml:space="preserve">2</m:t>
            </m:r>
          </m:sub>
        </m:sSub>
        <m:r>
          <m:t xml:space="preserve">e</m:t>
        </m:r>
        <m:r>
          <m:t xml:space="preserve">=</m:t>
        </m:r>
        <m:f>
          <m:num>
            <m:r>
              <m:t xml:space="preserve">Q</m:t>
            </m:r>
            <m:r>
              <m:t xml:space="preserve">×</m:t>
            </m:r>
            <m:r>
              <m:t xml:space="preserve">EC</m:t>
            </m:r>
            <m:r>
              <m:t xml:space="preserve">×</m:t>
            </m:r>
            <m:d>
              <m:dPr>
                <m:begChr m:val="("/>
                <m:endChr m:val=")"/>
              </m:dPr>
              <m:e>
                <m:r>
                  <m:t xml:space="preserve">EF</m:t>
                </m:r>
                <m:r>
                  <m:t xml:space="preserve">1</m:t>
                </m:r>
                <m:r>
                  <m:t xml:space="preserve">+</m:t>
                </m:r>
                <m:r>
                  <m:t xml:space="preserve">EF</m:t>
                </m:r>
                <m:r>
                  <m:t xml:space="preserve">3</m:t>
                </m:r>
              </m:e>
            </m:d>
          </m:num>
          <m:den>
            <m:r>
              <m:t xml:space="preserve">1000</m:t>
            </m:r>
          </m:den>
        </m:f>
      </m:oMath>
      <w:r>
        <w:rPr>
          <w:rFonts w:eastAsia="Times New Roman" w:cs="Calibri" w:ascii="Calibri" w:hAnsi="Calibri"/>
          <w:color w:val="000000"/>
          <w:sz w:val="22"/>
          <w:szCs w:val="22"/>
          <w:u w:val="none"/>
          <w:lang w:eastAsia="en-GB"/>
        </w:rPr>
        <w:t xml:space="preserve"> </w:t>
      </w:r>
      <w:r>
        <w:rPr>
          <w:rFonts w:eastAsia="Times New Roman" w:cs="Calibri" w:ascii="Calibri" w:hAnsi="Calibri"/>
          <w:color w:val="000000"/>
          <w:sz w:val="22"/>
          <w:szCs w:val="22"/>
          <w:u w:val="none"/>
          <w:lang w:eastAsia="en-GB"/>
        </w:rPr>
        <w:tab/>
        <w:tab/>
        <w:tab/>
        <w:tab/>
        <w:tab/>
        <w:tab/>
        <w:tab/>
        <w:tab/>
        <w:tab/>
        <w:t>(1)</w:t>
      </w:r>
    </w:p>
    <w:p>
      <w:pPr>
        <w:pStyle w:val="ListParagraph"/>
        <w:ind w:start="0" w:end="0" w:hanging="0"/>
        <w:rPr>
          <w:rFonts w:ascii="Calibri" w:hAnsi="Calibri" w:eastAsia="Times New Roman" w:cs="Calibri"/>
          <w:b/>
          <w:b/>
          <w:bCs/>
          <w:color w:val="000000"/>
          <w:sz w:val="22"/>
          <w:szCs w:val="22"/>
          <w:u w:val="none"/>
          <w:lang w:eastAsia="en-GB"/>
        </w:rPr>
      </w:pPr>
      <w:r>
        <w:rPr>
          <w:rFonts w:eastAsia="Times New Roman" w:cs="Calibri" w:ascii="Calibri" w:hAnsi="Calibri"/>
          <w:b/>
          <w:bCs/>
          <w:color w:val="000000"/>
          <w:sz w:val="22"/>
          <w:szCs w:val="22"/>
          <w:u w:val="none"/>
          <w:lang w:eastAsia="en-GB"/>
        </w:rPr>
        <w:t>Region</w:t>
      </w:r>
    </w:p>
    <w:p>
      <w:pPr>
        <w:pStyle w:val="ListParagraph"/>
        <w:ind w:start="0" w:end="0" w:hanging="0"/>
        <w:rPr/>
      </w:pPr>
      <w:r>
        <w:rPr>
          <w:rFonts w:eastAsia="Times New Roman" w:cs="Calibri" w:ascii="Calibri" w:hAnsi="Calibri"/>
          <w:color w:val="000000"/>
          <w:sz w:val="22"/>
          <w:szCs w:val="22"/>
          <w:lang w:eastAsia="en-GB"/>
        </w:rPr>
        <w:t>The site of a vineyard predetermines several physical parameters such as climate, geology and soil, making location a widely considered key determinant of grape yield and quality (Abbal et al., 2016; Agosta et al., 2012; Fraga et al., 2017). A vineyards site and its significance was captured in this analysis through the use of including each vineyard’s Geographical Indicator Region (GI Region). GI Regions are the defined winegrowing regions of Australia, used to describe the rich and diverse landscape of Australian vineyards; with each GI Region having its own unique mixture of climatic and geophysical properties (Halliday, 2009; Oliver et al., 2013; SOAR et al., 2008).</w:t>
      </w:r>
    </w:p>
    <w:p>
      <w:pPr>
        <w:pStyle w:val="ListParagraph"/>
        <w:ind w:start="0" w:end="0" w:hanging="0"/>
        <w:rPr>
          <w:rFonts w:ascii="Calibri" w:hAnsi="Calibri" w:eastAsia="Times New Roman" w:cs="Calibri"/>
          <w:color w:val="000000"/>
          <w:sz w:val="22"/>
          <w:szCs w:val="22"/>
          <w:lang w:eastAsia="en-GB"/>
        </w:rPr>
      </w:pPr>
      <w:r>
        <w:rPr>
          <w:rFonts w:eastAsia="Times New Roman" w:cs="Calibri" w:ascii="Calibri" w:hAnsi="Calibri"/>
          <w:color w:val="000000"/>
          <w:sz w:val="22"/>
          <w:szCs w:val="22"/>
          <w:lang w:eastAsia="en-GB"/>
        </w:rPr>
      </w:r>
    </w:p>
    <w:p>
      <w:pPr>
        <w:pStyle w:val="ListParagraph"/>
        <w:ind w:start="0" w:end="0" w:hanging="0"/>
        <w:rPr/>
      </w:pPr>
      <w:r>
        <w:rPr>
          <w:rFonts w:eastAsia="Times New Roman" w:cs="Calibri" w:ascii="Calibri" w:hAnsi="Calibri"/>
          <w:color w:val="000000"/>
          <w:sz w:val="22"/>
          <w:szCs w:val="22"/>
          <w:lang w:eastAsia="en-GB"/>
        </w:rPr>
        <w:t>The climatic properties of a GI Region are summarised by the SWA (SWA, 2021), where regions of similar climatic properties are amalgamated together into superset regions. This was used to illustrate similar trends and potentially explain the similarities and differences between sets of regions.</w:t>
      </w:r>
    </w:p>
    <w:p>
      <w:pPr>
        <w:pStyle w:val="ListParagraph"/>
        <w:ind w:start="0" w:end="0" w:hanging="0"/>
        <w:rPr>
          <w:rFonts w:ascii="Calibri" w:hAnsi="Calibri" w:eastAsia="Times New Roman" w:cs="Calibri"/>
          <w:color w:val="000000"/>
          <w:sz w:val="22"/>
          <w:szCs w:val="22"/>
          <w:u w:val="none"/>
          <w:lang w:eastAsia="en-GB"/>
        </w:rPr>
      </w:pPr>
      <w:r>
        <w:rPr>
          <w:rFonts w:eastAsia="Times New Roman" w:cs="Calibri" w:ascii="Calibri" w:hAnsi="Calibri"/>
          <w:color w:val="000000"/>
          <w:sz w:val="22"/>
          <w:szCs w:val="22"/>
          <w:u w:val="none"/>
          <w:lang w:eastAsia="en-GB"/>
        </w:rPr>
      </w:r>
    </w:p>
    <w:p>
      <w:pPr>
        <w:pStyle w:val="ListParagraph"/>
        <w:ind w:start="0" w:end="0" w:hanging="0"/>
        <w:rPr>
          <w:rFonts w:ascii="Calibri" w:hAnsi="Calibri" w:eastAsia="Times New Roman" w:cs="Calibri"/>
          <w:b/>
          <w:b/>
          <w:bCs/>
          <w:color w:val="000000"/>
          <w:sz w:val="22"/>
          <w:szCs w:val="22"/>
          <w:lang w:eastAsia="en-GB"/>
        </w:rPr>
      </w:pPr>
      <w:r>
        <w:rPr>
          <w:rFonts w:eastAsia="Times New Roman" w:cs="Calibri" w:ascii="Calibri" w:hAnsi="Calibri"/>
          <w:b/>
          <w:bCs/>
          <w:color w:val="000000"/>
          <w:sz w:val="22"/>
          <w:szCs w:val="22"/>
          <w:lang w:eastAsia="en-GB"/>
        </w:rPr>
        <w:t>Analysis</w:t>
      </w:r>
    </w:p>
    <w:p>
      <w:pPr>
        <w:pStyle w:val="ListParagraph"/>
        <w:ind w:start="0" w:end="0" w:hanging="0"/>
        <w:rPr>
          <w:rFonts w:ascii="Calibri" w:hAnsi="Calibri" w:eastAsia="Times New Roman" w:cs="Calibri"/>
          <w:color w:val="000000"/>
          <w:sz w:val="22"/>
          <w:szCs w:val="22"/>
          <w:lang w:eastAsia="en-GB"/>
        </w:rPr>
      </w:pPr>
      <w:r>
        <w:rPr>
          <w:rFonts w:eastAsia="Times New Roman" w:cs="Calibri" w:ascii="Calibri" w:hAnsi="Calibri"/>
          <w:color w:val="000000"/>
          <w:sz w:val="22"/>
          <w:szCs w:val="22"/>
          <w:lang w:eastAsia="en-GB"/>
        </w:rPr>
        <w:t>General Linear Models were chosen as they offered the ability to produce statistical models that were explicit in the relationships between predictors and response variables. They also allowed the exploration interactions between predictors and easily comparable differences in influence and magnitude of relationships.</w:t>
      </w:r>
    </w:p>
    <w:p>
      <w:pPr>
        <w:pStyle w:val="ListParagraph"/>
        <w:ind w:start="0" w:end="0" w:hanging="0"/>
        <w:rPr>
          <w:rFonts w:ascii="Calibri" w:hAnsi="Calibri" w:eastAsia="Times New Roman" w:cs="Calibri"/>
          <w:color w:val="000000"/>
          <w:sz w:val="22"/>
          <w:szCs w:val="22"/>
          <w:u w:val="none"/>
          <w:lang w:eastAsia="en-GB"/>
        </w:rPr>
      </w:pPr>
      <w:r>
        <w:rPr>
          <w:rFonts w:eastAsia="Times New Roman" w:cs="Calibri" w:ascii="Calibri" w:hAnsi="Calibri"/>
          <w:color w:val="000000"/>
          <w:sz w:val="22"/>
          <w:szCs w:val="22"/>
          <w:u w:val="none"/>
          <w:lang w:eastAsia="en-GB"/>
        </w:rPr>
      </w:r>
    </w:p>
    <w:p>
      <w:pPr>
        <w:pStyle w:val="ListParagraph"/>
        <w:ind w:start="0" w:end="0" w:hanging="0"/>
        <w:rPr/>
      </w:pPr>
      <w:r>
        <w:rPr>
          <w:rFonts w:eastAsia="Times New Roman" w:cs="Calibri" w:ascii="Calibri" w:hAnsi="Calibri"/>
          <w:color w:val="000000"/>
          <w:sz w:val="22"/>
          <w:szCs w:val="22"/>
          <w:u w:val="none"/>
          <w:lang w:eastAsia="en-GB"/>
        </w:rPr>
        <w:t xml:space="preserve">The Python programming language (G. van Rossum, 1995) was used for all data preprocessing such as logarithmic transformations prior to analysis and to connect to the SWA database. Linear </w:t>
      </w:r>
      <w:r>
        <w:rPr>
          <w:rFonts w:eastAsia="Times New Roman" w:cs="Calibri" w:ascii="Calibri" w:hAnsi="Calibri"/>
          <w:color w:val="000000"/>
          <w:sz w:val="22"/>
          <w:szCs w:val="22"/>
          <w:lang w:eastAsia="en-GB"/>
        </w:rPr>
        <w:t>models were created using the R statistical programming language (R Core Team, 2021). These models were created iteratively to explore a variety of variable interactions and approaches to modelling the data. Not all of the explored approaches yielded further improvements or accurate models, with different approaches attempted including the use of Splines, hierarchical regression and Generalised Linear Models. Due to the optional reporting of data many other variables were also explored but not used due to low reporting values such as fertiliser, tractor and contractor use. The use of only scope one emissions was due to the same reason where scope 2 sources were recorded sporadically at best.</w:t>
      </w:r>
    </w:p>
    <w:p>
      <w:pPr>
        <w:pStyle w:val="ListParagraph"/>
        <w:ind w:start="0" w:end="0" w:hanging="0"/>
        <w:rPr>
          <w:rFonts w:ascii="Calibri" w:hAnsi="Calibri" w:eastAsia="Times New Roman" w:cs="Calibri"/>
          <w:color w:val="000000"/>
          <w:sz w:val="22"/>
          <w:szCs w:val="22"/>
          <w:lang w:eastAsia="en-GB"/>
        </w:rPr>
      </w:pPr>
      <w:r>
        <w:rPr>
          <w:rFonts w:eastAsia="Times New Roman" w:cs="Calibri" w:ascii="Calibri" w:hAnsi="Calibri"/>
          <w:color w:val="000000"/>
          <w:sz w:val="22"/>
          <w:szCs w:val="22"/>
          <w:lang w:eastAsia="en-GB"/>
        </w:rPr>
      </w:r>
    </w:p>
    <w:p>
      <w:pPr>
        <w:pStyle w:val="ListParagraph"/>
        <w:ind w:start="0" w:end="0" w:hanging="0"/>
        <w:rPr/>
      </w:pPr>
      <w:r>
        <w:rPr>
          <w:rFonts w:eastAsia="Times New Roman" w:cs="Calibri" w:ascii="Calibri" w:hAnsi="Calibri"/>
          <w:b/>
          <w:bCs/>
          <w:color w:val="000000"/>
          <w:sz w:val="22"/>
          <w:szCs w:val="22"/>
          <w:lang w:eastAsia="en-GB"/>
        </w:rPr>
        <w:t>Model Validation</w:t>
      </w:r>
      <w:r>
        <w:rPr>
          <w:rFonts w:eastAsia="Times New Roman" w:cs="Calibri" w:ascii="Calibri" w:hAnsi="Calibri"/>
          <w:color w:val="000000"/>
          <w:sz w:val="22"/>
          <w:szCs w:val="22"/>
          <w:lang w:eastAsia="en-GB"/>
        </w:rPr>
        <w:br/>
        <w:t>K-fold cross validation was used to validate the models using the R Caret Package (Kuhn, 2008). K-fold cross validation works by removing a subset of data from the sample used to train models and then predicts those variables to determine how sensitive the model is to changes in the sample data. For this analysis each model was validated using 10 folds, repeated 100 times.</w:t>
      </w:r>
    </w:p>
    <w:p>
      <w:pPr>
        <w:pStyle w:val="ListParagraph"/>
        <w:ind w:start="0" w:end="0" w:hanging="0"/>
        <w:rPr>
          <w:rFonts w:ascii="Calibri" w:hAnsi="Calibri" w:eastAsia="Times New Roman" w:cs="Calibri"/>
          <w:color w:val="000000"/>
          <w:sz w:val="22"/>
          <w:szCs w:val="22"/>
          <w:lang w:eastAsia="en-GB"/>
        </w:rPr>
      </w:pPr>
      <w:r>
        <w:rPr>
          <w:rFonts w:eastAsia="Times New Roman" w:cs="Calibri" w:ascii="Calibri" w:hAnsi="Calibri"/>
          <w:color w:val="000000"/>
          <w:sz w:val="22"/>
          <w:szCs w:val="22"/>
          <w:lang w:eastAsia="en-GB"/>
        </w:rPr>
      </w:r>
    </w:p>
    <w:p>
      <w:pPr>
        <w:pStyle w:val="ListParagraph"/>
        <w:ind w:start="0" w:end="0" w:hanging="0"/>
        <w:rPr>
          <w:rFonts w:ascii="Calibri" w:hAnsi="Calibri" w:eastAsia="Times New Roman" w:cs="Calibri"/>
          <w:b/>
          <w:b/>
          <w:bCs/>
          <w:color w:val="000000"/>
          <w:sz w:val="22"/>
          <w:szCs w:val="22"/>
          <w:u w:val="single"/>
          <w:lang w:eastAsia="en-GB"/>
        </w:rPr>
      </w:pPr>
      <w:r>
        <w:rPr>
          <w:rFonts w:eastAsia="Times New Roman" w:cs="Calibri" w:ascii="Calibri" w:hAnsi="Calibri"/>
          <w:b/>
          <w:bCs/>
          <w:color w:val="000000"/>
          <w:sz w:val="22"/>
          <w:szCs w:val="22"/>
          <w:u w:val="single"/>
          <w:lang w:eastAsia="en-GB"/>
        </w:rPr>
        <w:t>Results</w:t>
      </w:r>
    </w:p>
    <w:p>
      <w:pPr>
        <w:pStyle w:val="ListParagraph"/>
        <w:ind w:start="0" w:end="0" w:hanging="0"/>
        <w:rPr>
          <w:rFonts w:ascii="Calibri" w:hAnsi="Calibri" w:eastAsia="Times New Roman" w:cs="Calibri"/>
          <w:b/>
          <w:b/>
          <w:bCs/>
          <w:color w:val="000000"/>
          <w:sz w:val="22"/>
          <w:szCs w:val="22"/>
          <w:lang w:eastAsia="en-GB"/>
        </w:rPr>
      </w:pPr>
      <w:r>
        <w:rPr>
          <w:rFonts w:eastAsia="Times New Roman" w:cs="Calibri" w:ascii="Calibri" w:hAnsi="Calibri"/>
          <w:b/>
          <w:bCs/>
          <w:color w:val="000000"/>
          <w:sz w:val="22"/>
          <w:szCs w:val="22"/>
          <w:lang w:eastAsia="en-GB"/>
        </w:rPr>
        <w:t>Exploratory Analysis</w:t>
      </w:r>
    </w:p>
    <w:p>
      <w:pPr>
        <w:pStyle w:val="ListParagraph"/>
        <w:ind w:start="0" w:end="0" w:hanging="0"/>
        <w:rPr>
          <w:rFonts w:ascii="Calibri" w:hAnsi="Calibri" w:eastAsia="Times New Roman" w:cs="Calibri"/>
          <w:b w:val="false"/>
          <w:b w:val="false"/>
          <w:bCs w:val="false"/>
          <w:color w:val="000000"/>
          <w:sz w:val="22"/>
          <w:szCs w:val="22"/>
          <w:lang w:eastAsia="en-GB"/>
        </w:rPr>
      </w:pPr>
      <w:r>
        <w:rPr>
          <w:rFonts w:eastAsia="Times New Roman" w:cs="Calibri" w:ascii="Calibri" w:hAnsi="Calibri"/>
          <w:b w:val="false"/>
          <w:bCs w:val="false"/>
          <w:color w:val="000000"/>
          <w:sz w:val="22"/>
          <w:szCs w:val="22"/>
          <w:lang w:eastAsia="en-GB"/>
        </w:rPr>
        <w:t xml:space="preserve">The variables were initially reviewed for any simple linear relationships by using a Pearson’s Correlation Coefficient (see Tables 1, 2 and 3). This was undertaken for data on the original scale (see Table 1) and for data as a logarithmic transform (see Table 2). All P-values were found to be significant (&lt; 2.200E-16), with the exception of the non-transformed values for water used (see Table 3). The logarithmic transforms performed the best due to a skew likely caused by a greater number of smaller vineyards within the dataset (see Table 4). </w:t>
      </w:r>
    </w:p>
    <w:p>
      <w:pPr>
        <w:pStyle w:val="ListParagraph"/>
        <w:ind w:start="0" w:end="0" w:hanging="0"/>
        <w:rPr>
          <w:rFonts w:ascii="Calibri" w:hAnsi="Calibri" w:eastAsia="Times New Roman" w:cs="Calibri"/>
          <w:b w:val="false"/>
          <w:b w:val="false"/>
          <w:bCs w:val="false"/>
          <w:color w:val="000000"/>
          <w:sz w:val="22"/>
          <w:szCs w:val="22"/>
          <w:lang w:eastAsia="en-GB"/>
        </w:rPr>
      </w:pPr>
      <w:r>
        <w:rPr>
          <w:rFonts w:eastAsia="Times New Roman" w:cs="Calibri" w:ascii="Calibri" w:hAnsi="Calibri"/>
          <w:b w:val="false"/>
          <w:bCs w:val="false"/>
          <w:color w:val="000000"/>
          <w:sz w:val="22"/>
          <w:szCs w:val="22"/>
          <w:lang w:eastAsia="en-GB"/>
        </w:rPr>
      </w:r>
    </w:p>
    <w:p>
      <w:pPr>
        <w:pStyle w:val="ListParagraph"/>
        <w:ind w:start="0" w:end="0" w:hanging="0"/>
        <w:rPr>
          <w:rFonts w:ascii="Calibri" w:hAnsi="Calibri" w:eastAsia="Times New Roman" w:cs="Calibri"/>
          <w:color w:val="000000"/>
          <w:sz w:val="22"/>
          <w:szCs w:val="22"/>
          <w:lang w:eastAsia="en-GB"/>
        </w:rPr>
      </w:pPr>
      <w:r>
        <w:rPr>
          <w:rFonts w:eastAsia="Times New Roman" w:cs="Calibri" w:ascii="Calibri" w:hAnsi="Calibri"/>
          <w:b/>
          <w:bCs/>
          <w:color w:val="000000"/>
          <w:sz w:val="22"/>
          <w:szCs w:val="22"/>
          <w:lang w:eastAsia="en-GB"/>
        </w:rPr>
        <w:t>Table 1:</w:t>
      </w:r>
      <w:r>
        <w:rPr>
          <w:rFonts w:eastAsia="Times New Roman" w:cs="Calibri" w:ascii="Calibri" w:hAnsi="Calibri"/>
          <w:color w:val="000000"/>
          <w:sz w:val="22"/>
          <w:szCs w:val="22"/>
          <w:lang w:eastAsia="en-GB"/>
        </w:rPr>
        <w:t xml:space="preserve"> Pearson correlation coefficients for each variable on the original scale.</w:t>
      </w:r>
    </w:p>
    <w:tbl>
      <w:tblPr>
        <w:tblW w:w="5000" w:type="pct"/>
        <w:jc w:val="start"/>
        <w:tblInd w:w="55" w:type="dxa"/>
        <w:tblLayout w:type="fixed"/>
        <w:tblCellMar>
          <w:top w:w="55" w:type="dxa"/>
          <w:start w:w="55" w:type="dxa"/>
          <w:bottom w:w="55" w:type="dxa"/>
          <w:end w:w="55" w:type="dxa"/>
        </w:tblCellMar>
      </w:tblPr>
      <w:tblGrid>
        <w:gridCol w:w="1204"/>
        <w:gridCol w:w="1205"/>
        <w:gridCol w:w="1204"/>
        <w:gridCol w:w="1205"/>
        <w:gridCol w:w="1206"/>
        <w:gridCol w:w="1203"/>
        <w:gridCol w:w="1207"/>
        <w:gridCol w:w="1202"/>
      </w:tblGrid>
      <w:tr>
        <w:trPr>
          <w:trHeight w:val="948" w:hRule="atLeast"/>
        </w:trPr>
        <w:tc>
          <w:tcPr>
            <w:tcW w:w="1204" w:type="dxa"/>
            <w:tcBorders>
              <w:top w:val="single" w:sz="4" w:space="0" w:color="000000"/>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lang w:eastAsia="en-GB"/>
              </w:rPr>
            </w:pPr>
            <w:r>
              <w:rPr>
                <w:b/>
                <w:bCs/>
                <w:i w:val="false"/>
                <w:iCs w:val="false"/>
                <w:strike w:val="false"/>
                <w:dstrike w:val="false"/>
                <w:outline w:val="false"/>
                <w:shadow w:val="false"/>
                <w:color w:val="000000"/>
                <w:sz w:val="24"/>
                <w:szCs w:val="24"/>
                <w:u w:val="none"/>
                <w:lang w:eastAsia="en-GB"/>
              </w:rPr>
              <w:t>Variable</w:t>
            </w:r>
          </w:p>
        </w:tc>
        <w:tc>
          <w:tcPr>
            <w:tcW w:w="1205" w:type="dxa"/>
            <w:tcBorders>
              <w:top w:val="single" w:sz="4" w:space="0" w:color="000000"/>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lang w:eastAsia="en-GB"/>
              </w:rPr>
            </w:pPr>
            <w:r>
              <w:rPr>
                <w:b/>
                <w:bCs/>
                <w:i w:val="false"/>
                <w:iCs w:val="false"/>
                <w:strike w:val="false"/>
                <w:dstrike w:val="false"/>
                <w:outline w:val="false"/>
                <w:shadow w:val="false"/>
                <w:color w:val="000000"/>
                <w:sz w:val="24"/>
                <w:szCs w:val="24"/>
                <w:u w:val="none"/>
                <w:lang w:eastAsia="en-GB"/>
              </w:rPr>
              <w:t>Yield</w:t>
            </w:r>
          </w:p>
        </w:tc>
        <w:tc>
          <w:tcPr>
            <w:tcW w:w="1204" w:type="dxa"/>
            <w:tcBorders>
              <w:top w:val="single" w:sz="4" w:space="0" w:color="000000"/>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lang w:eastAsia="en-GB"/>
              </w:rPr>
            </w:pPr>
            <w:r>
              <w:rPr>
                <w:b/>
                <w:bCs/>
                <w:i w:val="false"/>
                <w:iCs w:val="false"/>
                <w:strike w:val="false"/>
                <w:dstrike w:val="false"/>
                <w:outline w:val="false"/>
                <w:shadow w:val="false"/>
                <w:color w:val="000000"/>
                <w:sz w:val="24"/>
                <w:szCs w:val="24"/>
                <w:u w:val="none"/>
                <w:lang w:eastAsia="en-GB"/>
              </w:rPr>
              <w:t>Area</w:t>
            </w:r>
          </w:p>
        </w:tc>
        <w:tc>
          <w:tcPr>
            <w:tcW w:w="1205" w:type="dxa"/>
            <w:tcBorders>
              <w:top w:val="single" w:sz="4" w:space="0" w:color="000000"/>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lang w:eastAsia="en-GB"/>
              </w:rPr>
            </w:pPr>
            <w:r>
              <w:rPr>
                <w:b/>
                <w:bCs/>
                <w:i w:val="false"/>
                <w:iCs w:val="false"/>
                <w:strike w:val="false"/>
                <w:dstrike w:val="false"/>
                <w:outline w:val="false"/>
                <w:shadow w:val="false"/>
                <w:color w:val="000000"/>
                <w:sz w:val="24"/>
                <w:szCs w:val="24"/>
                <w:u w:val="none"/>
                <w:lang w:eastAsia="en-GB"/>
              </w:rPr>
              <w:t>Water Used</w:t>
            </w:r>
          </w:p>
        </w:tc>
        <w:tc>
          <w:tcPr>
            <w:tcW w:w="1206" w:type="dxa"/>
            <w:tcBorders>
              <w:top w:val="single" w:sz="4" w:space="0" w:color="000000"/>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lang w:eastAsia="en-GB"/>
              </w:rPr>
            </w:pPr>
            <w:r>
              <w:rPr>
                <w:b/>
                <w:bCs/>
                <w:i w:val="false"/>
                <w:iCs w:val="false"/>
                <w:strike w:val="false"/>
                <w:dstrike w:val="false"/>
                <w:outline w:val="false"/>
                <w:shadow w:val="false"/>
                <w:color w:val="000000"/>
                <w:sz w:val="24"/>
                <w:szCs w:val="24"/>
                <w:u w:val="none"/>
                <w:lang w:eastAsia="en-GB"/>
              </w:rPr>
              <w:t>Scope One Emissions</w:t>
            </w:r>
          </w:p>
        </w:tc>
        <w:tc>
          <w:tcPr>
            <w:tcW w:w="1203" w:type="dxa"/>
            <w:tcBorders>
              <w:top w:val="single" w:sz="4" w:space="0" w:color="000000"/>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lang w:eastAsia="en-GB"/>
              </w:rPr>
            </w:pPr>
            <w:r>
              <w:rPr>
                <w:b/>
                <w:bCs/>
                <w:i w:val="false"/>
                <w:iCs w:val="false"/>
                <w:strike w:val="false"/>
                <w:dstrike w:val="false"/>
                <w:outline w:val="false"/>
                <w:shadow w:val="false"/>
                <w:color w:val="000000"/>
                <w:sz w:val="24"/>
                <w:szCs w:val="24"/>
                <w:u w:val="none"/>
                <w:lang w:eastAsia="en-GB"/>
              </w:rPr>
              <w:t>Yield/Area</w:t>
            </w:r>
          </w:p>
        </w:tc>
        <w:tc>
          <w:tcPr>
            <w:tcW w:w="1207" w:type="dxa"/>
            <w:tcBorders>
              <w:top w:val="single" w:sz="4" w:space="0" w:color="000000"/>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lang w:eastAsia="en-GB"/>
              </w:rPr>
            </w:pPr>
            <w:r>
              <w:rPr>
                <w:b/>
                <w:bCs/>
                <w:i w:val="false"/>
                <w:iCs w:val="false"/>
                <w:strike w:val="false"/>
                <w:dstrike w:val="false"/>
                <w:outline w:val="false"/>
                <w:shadow w:val="false"/>
                <w:color w:val="000000"/>
                <w:sz w:val="24"/>
                <w:szCs w:val="24"/>
                <w:u w:val="none"/>
                <w:lang w:eastAsia="en-GB"/>
              </w:rPr>
              <w:t>Average Price Per Tonne</w:t>
            </w:r>
          </w:p>
        </w:tc>
        <w:tc>
          <w:tcPr>
            <w:tcW w:w="1202" w:type="dxa"/>
            <w:tcBorders>
              <w:top w:val="single" w:sz="4" w:space="0" w:color="000000"/>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lang w:eastAsia="en-GB"/>
              </w:rPr>
            </w:pPr>
            <w:r>
              <w:rPr>
                <w:b/>
                <w:bCs/>
                <w:i w:val="false"/>
                <w:iCs w:val="false"/>
                <w:strike w:val="false"/>
                <w:dstrike w:val="false"/>
                <w:outline w:val="false"/>
                <w:shadow w:val="false"/>
                <w:color w:val="000000"/>
                <w:sz w:val="24"/>
                <w:szCs w:val="24"/>
                <w:u w:val="none"/>
                <w:lang w:eastAsia="en-GB"/>
              </w:rPr>
              <w:t>Average Price for Yield/Area</w:t>
            </w:r>
          </w:p>
        </w:tc>
      </w:tr>
      <w:tr>
        <w:trPr>
          <w:trHeight w:val="948" w:hRule="atLeast"/>
        </w:trPr>
        <w:tc>
          <w:tcPr>
            <w:tcW w:w="120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lang w:eastAsia="en-GB"/>
              </w:rPr>
            </w:pPr>
            <w:r>
              <w:rPr>
                <w:b/>
                <w:bCs/>
                <w:i w:val="false"/>
                <w:iCs w:val="false"/>
                <w:strike w:val="false"/>
                <w:dstrike w:val="false"/>
                <w:outline w:val="false"/>
                <w:shadow w:val="false"/>
                <w:color w:val="000000"/>
                <w:sz w:val="24"/>
                <w:szCs w:val="24"/>
                <w:u w:val="none"/>
                <w:lang w:eastAsia="en-GB"/>
              </w:rPr>
              <w:t>Yield</w:t>
            </w:r>
          </w:p>
        </w:tc>
        <w:tc>
          <w:tcPr>
            <w:tcW w:w="1205"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1.000E+00</w:t>
            </w:r>
          </w:p>
        </w:tc>
        <w:tc>
          <w:tcPr>
            <w:tcW w:w="120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7.440E-01</w:t>
            </w:r>
          </w:p>
        </w:tc>
        <w:tc>
          <w:tcPr>
            <w:tcW w:w="1205"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-4.309E-03</w:t>
            </w:r>
          </w:p>
        </w:tc>
        <w:tc>
          <w:tcPr>
            <w:tcW w:w="1206"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7.290E-01</w:t>
            </w:r>
          </w:p>
        </w:tc>
        <w:tc>
          <w:tcPr>
            <w:tcW w:w="1203"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3.500E-01</w:t>
            </w:r>
          </w:p>
        </w:tc>
        <w:tc>
          <w:tcPr>
            <w:tcW w:w="1207"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-2.262E-01</w:t>
            </w:r>
          </w:p>
        </w:tc>
        <w:tc>
          <w:tcPr>
            <w:tcW w:w="1202"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-1.644E-01</w:t>
            </w:r>
          </w:p>
        </w:tc>
      </w:tr>
      <w:tr>
        <w:trPr>
          <w:trHeight w:val="948" w:hRule="atLeast"/>
        </w:trPr>
        <w:tc>
          <w:tcPr>
            <w:tcW w:w="120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lang w:eastAsia="en-GB"/>
              </w:rPr>
            </w:pPr>
            <w:r>
              <w:rPr>
                <w:b/>
                <w:bCs/>
                <w:i w:val="false"/>
                <w:iCs w:val="false"/>
                <w:strike w:val="false"/>
                <w:dstrike w:val="false"/>
                <w:outline w:val="false"/>
                <w:shadow w:val="false"/>
                <w:color w:val="000000"/>
                <w:sz w:val="24"/>
                <w:szCs w:val="24"/>
                <w:u w:val="none"/>
                <w:lang w:eastAsia="en-GB"/>
              </w:rPr>
              <w:t>Area</w:t>
            </w:r>
          </w:p>
        </w:tc>
        <w:tc>
          <w:tcPr>
            <w:tcW w:w="1205"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7.440E-01</w:t>
            </w:r>
          </w:p>
        </w:tc>
        <w:tc>
          <w:tcPr>
            <w:tcW w:w="120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1.000E+00</w:t>
            </w:r>
          </w:p>
        </w:tc>
        <w:tc>
          <w:tcPr>
            <w:tcW w:w="1205"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-5.331E-03</w:t>
            </w:r>
          </w:p>
        </w:tc>
        <w:tc>
          <w:tcPr>
            <w:tcW w:w="1206"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8.921E-01</w:t>
            </w:r>
          </w:p>
        </w:tc>
        <w:tc>
          <w:tcPr>
            <w:tcW w:w="1203"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7.854E-02</w:t>
            </w:r>
          </w:p>
        </w:tc>
        <w:tc>
          <w:tcPr>
            <w:tcW w:w="1207"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-1.178E-01</w:t>
            </w:r>
          </w:p>
        </w:tc>
        <w:tc>
          <w:tcPr>
            <w:tcW w:w="1202"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-2.042E-01</w:t>
            </w:r>
          </w:p>
        </w:tc>
      </w:tr>
      <w:tr>
        <w:trPr>
          <w:trHeight w:val="948" w:hRule="atLeast"/>
        </w:trPr>
        <w:tc>
          <w:tcPr>
            <w:tcW w:w="120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lang w:eastAsia="en-GB"/>
              </w:rPr>
            </w:pPr>
            <w:r>
              <w:rPr>
                <w:b/>
                <w:bCs/>
                <w:i w:val="false"/>
                <w:iCs w:val="false"/>
                <w:strike w:val="false"/>
                <w:dstrike w:val="false"/>
                <w:outline w:val="false"/>
                <w:shadow w:val="false"/>
                <w:color w:val="000000"/>
                <w:sz w:val="24"/>
                <w:szCs w:val="24"/>
                <w:u w:val="none"/>
                <w:lang w:eastAsia="en-GB"/>
              </w:rPr>
              <w:t>Water Used</w:t>
            </w:r>
          </w:p>
        </w:tc>
        <w:tc>
          <w:tcPr>
            <w:tcW w:w="1205"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-4.309E-03</w:t>
            </w:r>
          </w:p>
        </w:tc>
        <w:tc>
          <w:tcPr>
            <w:tcW w:w="120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-5.331E-03</w:t>
            </w:r>
          </w:p>
        </w:tc>
        <w:tc>
          <w:tcPr>
            <w:tcW w:w="1205"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1.000E+00</w:t>
            </w:r>
          </w:p>
        </w:tc>
        <w:tc>
          <w:tcPr>
            <w:tcW w:w="1206"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-1.929E-03</w:t>
            </w:r>
          </w:p>
        </w:tc>
        <w:tc>
          <w:tcPr>
            <w:tcW w:w="1203"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-5.600E-03</w:t>
            </w:r>
          </w:p>
        </w:tc>
        <w:tc>
          <w:tcPr>
            <w:tcW w:w="1207"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-3.562E-02</w:t>
            </w:r>
          </w:p>
        </w:tc>
        <w:tc>
          <w:tcPr>
            <w:tcW w:w="1202"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-2.669E-02</w:t>
            </w:r>
          </w:p>
        </w:tc>
      </w:tr>
      <w:tr>
        <w:trPr>
          <w:trHeight w:val="948" w:hRule="atLeast"/>
        </w:trPr>
        <w:tc>
          <w:tcPr>
            <w:tcW w:w="120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lang w:eastAsia="en-GB"/>
              </w:rPr>
            </w:pPr>
            <w:r>
              <w:rPr>
                <w:b/>
                <w:bCs/>
                <w:i w:val="false"/>
                <w:iCs w:val="false"/>
                <w:strike w:val="false"/>
                <w:dstrike w:val="false"/>
                <w:outline w:val="false"/>
                <w:shadow w:val="false"/>
                <w:color w:val="000000"/>
                <w:sz w:val="24"/>
                <w:szCs w:val="24"/>
                <w:u w:val="none"/>
                <w:lang w:eastAsia="en-GB"/>
              </w:rPr>
              <w:t>Scope One Emissions</w:t>
            </w:r>
          </w:p>
        </w:tc>
        <w:tc>
          <w:tcPr>
            <w:tcW w:w="1205"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7.290E-01</w:t>
            </w:r>
          </w:p>
        </w:tc>
        <w:tc>
          <w:tcPr>
            <w:tcW w:w="120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8.921E-01</w:t>
            </w:r>
          </w:p>
        </w:tc>
        <w:tc>
          <w:tcPr>
            <w:tcW w:w="1205"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-1.929E-03</w:t>
            </w:r>
          </w:p>
        </w:tc>
        <w:tc>
          <w:tcPr>
            <w:tcW w:w="1206"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1.000E+00</w:t>
            </w:r>
          </w:p>
        </w:tc>
        <w:tc>
          <w:tcPr>
            <w:tcW w:w="1203"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9.357E-02</w:t>
            </w:r>
          </w:p>
        </w:tc>
        <w:tc>
          <w:tcPr>
            <w:tcW w:w="1207"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-9.422E-02</w:t>
            </w:r>
          </w:p>
        </w:tc>
        <w:tc>
          <w:tcPr>
            <w:tcW w:w="1202"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-1.933E-01</w:t>
            </w:r>
          </w:p>
        </w:tc>
      </w:tr>
      <w:tr>
        <w:trPr>
          <w:trHeight w:val="948" w:hRule="atLeast"/>
        </w:trPr>
        <w:tc>
          <w:tcPr>
            <w:tcW w:w="120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lang w:eastAsia="en-GB"/>
              </w:rPr>
            </w:pPr>
            <w:r>
              <w:rPr>
                <w:b/>
                <w:bCs/>
                <w:i w:val="false"/>
                <w:iCs w:val="false"/>
                <w:strike w:val="false"/>
                <w:dstrike w:val="false"/>
                <w:outline w:val="false"/>
                <w:shadow w:val="false"/>
                <w:color w:val="000000"/>
                <w:sz w:val="24"/>
                <w:szCs w:val="24"/>
                <w:u w:val="none"/>
                <w:lang w:eastAsia="en-GB"/>
              </w:rPr>
              <w:t>Yield/Area</w:t>
            </w:r>
          </w:p>
        </w:tc>
        <w:tc>
          <w:tcPr>
            <w:tcW w:w="1205"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3.500E-01</w:t>
            </w:r>
          </w:p>
        </w:tc>
        <w:tc>
          <w:tcPr>
            <w:tcW w:w="120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7.854E-02</w:t>
            </w:r>
          </w:p>
        </w:tc>
        <w:tc>
          <w:tcPr>
            <w:tcW w:w="1205"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-5.600E-03</w:t>
            </w:r>
          </w:p>
        </w:tc>
        <w:tc>
          <w:tcPr>
            <w:tcW w:w="1206"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9.357E-02</w:t>
            </w:r>
          </w:p>
        </w:tc>
        <w:tc>
          <w:tcPr>
            <w:tcW w:w="1203"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1.000E+00</w:t>
            </w:r>
          </w:p>
        </w:tc>
        <w:tc>
          <w:tcPr>
            <w:tcW w:w="1207"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-4.849E-01</w:t>
            </w:r>
          </w:p>
        </w:tc>
        <w:tc>
          <w:tcPr>
            <w:tcW w:w="1202"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-1.698E-01</w:t>
            </w:r>
          </w:p>
        </w:tc>
      </w:tr>
      <w:tr>
        <w:trPr>
          <w:trHeight w:val="948" w:hRule="atLeast"/>
        </w:trPr>
        <w:tc>
          <w:tcPr>
            <w:tcW w:w="120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lang w:eastAsia="en-GB"/>
              </w:rPr>
            </w:pPr>
            <w:r>
              <w:rPr>
                <w:b/>
                <w:bCs/>
                <w:i w:val="false"/>
                <w:iCs w:val="false"/>
                <w:strike w:val="false"/>
                <w:dstrike w:val="false"/>
                <w:outline w:val="false"/>
                <w:shadow w:val="false"/>
                <w:color w:val="000000"/>
                <w:sz w:val="24"/>
                <w:szCs w:val="24"/>
                <w:u w:val="none"/>
                <w:lang w:eastAsia="en-GB"/>
              </w:rPr>
              <w:t>Average Price Per Tonne</w:t>
            </w:r>
          </w:p>
        </w:tc>
        <w:tc>
          <w:tcPr>
            <w:tcW w:w="1205"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-2.262E-01</w:t>
            </w:r>
          </w:p>
        </w:tc>
        <w:tc>
          <w:tcPr>
            <w:tcW w:w="120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-1.178E-01</w:t>
            </w:r>
          </w:p>
        </w:tc>
        <w:tc>
          <w:tcPr>
            <w:tcW w:w="1205"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-3.562E-02</w:t>
            </w:r>
          </w:p>
        </w:tc>
        <w:tc>
          <w:tcPr>
            <w:tcW w:w="1206"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-9.422E-02</w:t>
            </w:r>
          </w:p>
        </w:tc>
        <w:tc>
          <w:tcPr>
            <w:tcW w:w="1203"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-4.849E-01</w:t>
            </w:r>
          </w:p>
        </w:tc>
        <w:tc>
          <w:tcPr>
            <w:tcW w:w="1207"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1.000E+00</w:t>
            </w:r>
          </w:p>
        </w:tc>
        <w:tc>
          <w:tcPr>
            <w:tcW w:w="1202"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4.732E-01</w:t>
            </w:r>
          </w:p>
        </w:tc>
      </w:tr>
      <w:tr>
        <w:trPr>
          <w:trHeight w:val="948" w:hRule="atLeast"/>
        </w:trPr>
        <w:tc>
          <w:tcPr>
            <w:tcW w:w="120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lang w:eastAsia="en-GB"/>
              </w:rPr>
            </w:pPr>
            <w:r>
              <w:rPr>
                <w:b/>
                <w:bCs/>
                <w:i w:val="false"/>
                <w:iCs w:val="false"/>
                <w:strike w:val="false"/>
                <w:dstrike w:val="false"/>
                <w:outline w:val="false"/>
                <w:shadow w:val="false"/>
                <w:color w:val="000000"/>
                <w:sz w:val="24"/>
                <w:szCs w:val="24"/>
                <w:u w:val="none"/>
                <w:lang w:eastAsia="en-GB"/>
              </w:rPr>
              <w:t>Average Price for Yield/Area</w:t>
            </w:r>
          </w:p>
        </w:tc>
        <w:tc>
          <w:tcPr>
            <w:tcW w:w="1205"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-1.644E-01</w:t>
            </w:r>
          </w:p>
        </w:tc>
        <w:tc>
          <w:tcPr>
            <w:tcW w:w="120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-2.042E-01</w:t>
            </w:r>
          </w:p>
        </w:tc>
        <w:tc>
          <w:tcPr>
            <w:tcW w:w="1205"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-2.669E-02</w:t>
            </w:r>
          </w:p>
        </w:tc>
        <w:tc>
          <w:tcPr>
            <w:tcW w:w="1206"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-1.933E-01</w:t>
            </w:r>
          </w:p>
        </w:tc>
        <w:tc>
          <w:tcPr>
            <w:tcW w:w="1203"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-1.698E-01</w:t>
            </w:r>
          </w:p>
        </w:tc>
        <w:tc>
          <w:tcPr>
            <w:tcW w:w="1207"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4.732E-01</w:t>
            </w:r>
          </w:p>
        </w:tc>
        <w:tc>
          <w:tcPr>
            <w:tcW w:w="1202"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1.000E+00</w:t>
            </w:r>
          </w:p>
        </w:tc>
      </w:tr>
    </w:tbl>
    <w:p>
      <w:pPr>
        <w:pStyle w:val="ListParagraph"/>
        <w:ind w:start="0" w:end="0" w:hanging="0"/>
        <w:rPr>
          <w:rFonts w:ascii="Calibri" w:hAnsi="Calibri" w:eastAsia="Times New Roman" w:cs="Calibri"/>
          <w:b w:val="false"/>
          <w:b w:val="false"/>
          <w:bCs w:val="false"/>
          <w:color w:val="000000"/>
          <w:sz w:val="22"/>
          <w:szCs w:val="22"/>
          <w:lang w:eastAsia="en-GB"/>
        </w:rPr>
      </w:pPr>
      <w:r>
        <w:rPr>
          <w:rFonts w:eastAsia="Times New Roman" w:cs="Calibri" w:ascii="Calibri" w:hAnsi="Calibri"/>
          <w:b w:val="false"/>
          <w:bCs w:val="false"/>
          <w:color w:val="000000"/>
          <w:sz w:val="22"/>
          <w:szCs w:val="22"/>
          <w:lang w:eastAsia="en-GB"/>
        </w:rPr>
      </w:r>
    </w:p>
    <w:p>
      <w:pPr>
        <w:pStyle w:val="ListParagraph"/>
        <w:ind w:start="0" w:end="0" w:hanging="0"/>
        <w:rPr>
          <w:rFonts w:ascii="Calibri" w:hAnsi="Calibri" w:eastAsia="Times New Roman" w:cs="Calibri"/>
          <w:b w:val="false"/>
          <w:b w:val="false"/>
          <w:bCs w:val="false"/>
          <w:color w:val="000000"/>
          <w:sz w:val="22"/>
          <w:szCs w:val="22"/>
          <w:lang w:eastAsia="en-GB"/>
        </w:rPr>
      </w:pPr>
      <w:r>
        <w:rPr>
          <w:rFonts w:eastAsia="Times New Roman" w:cs="Calibri" w:ascii="Calibri" w:hAnsi="Calibri"/>
          <w:b w:val="false"/>
          <w:bCs w:val="false"/>
          <w:color w:val="000000"/>
          <w:sz w:val="22"/>
          <w:szCs w:val="22"/>
          <w:lang w:eastAsia="en-GB"/>
        </w:rPr>
      </w:r>
    </w:p>
    <w:p>
      <w:pPr>
        <w:pStyle w:val="ListParagraph"/>
        <w:ind w:start="0" w:end="0" w:hanging="0"/>
        <w:rPr>
          <w:rFonts w:ascii="Calibri" w:hAnsi="Calibri" w:eastAsia="Times New Roman" w:cs="Calibri"/>
          <w:color w:val="000000"/>
          <w:sz w:val="22"/>
          <w:szCs w:val="22"/>
          <w:lang w:eastAsia="en-GB"/>
        </w:rPr>
      </w:pPr>
      <w:r>
        <w:rPr>
          <w:rFonts w:eastAsia="Times New Roman" w:cs="Calibri" w:ascii="Calibri" w:hAnsi="Calibri"/>
          <w:b/>
          <w:bCs/>
          <w:color w:val="000000"/>
          <w:sz w:val="22"/>
          <w:szCs w:val="22"/>
          <w:lang w:eastAsia="en-GB"/>
        </w:rPr>
        <w:t>Table 2:</w:t>
      </w:r>
      <w:r>
        <w:rPr>
          <w:rFonts w:eastAsia="Times New Roman" w:cs="Calibri" w:ascii="Calibri" w:hAnsi="Calibri"/>
          <w:color w:val="000000"/>
          <w:sz w:val="22"/>
          <w:szCs w:val="22"/>
          <w:lang w:eastAsia="en-GB"/>
        </w:rPr>
        <w:t xml:space="preserve"> Pearson correlation coefficients for each logarithmically transformed variable.</w:t>
      </w:r>
    </w:p>
    <w:p>
      <w:pPr>
        <w:pStyle w:val="ListParagraph"/>
        <w:ind w:start="0" w:end="0" w:hanging="0"/>
        <w:rPr>
          <w:rFonts w:ascii="Calibri" w:hAnsi="Calibri" w:eastAsia="Times New Roman" w:cs="Calibri"/>
          <w:color w:val="000000"/>
          <w:sz w:val="22"/>
          <w:szCs w:val="22"/>
          <w:lang w:eastAsia="en-GB"/>
        </w:rPr>
      </w:pPr>
      <w:r>
        <w:rPr>
          <w:rFonts w:eastAsia="Times New Roman" w:cs="Calibri" w:ascii="Calibri" w:hAnsi="Calibri"/>
          <w:color w:val="000000"/>
          <w:sz w:val="22"/>
          <w:szCs w:val="22"/>
          <w:lang w:eastAsia="en-GB"/>
        </w:rPr>
      </w:r>
    </w:p>
    <w:tbl>
      <w:tblPr>
        <w:tblW w:w="5000" w:type="pct"/>
        <w:jc w:val="start"/>
        <w:tblInd w:w="55" w:type="dxa"/>
        <w:tblLayout w:type="fixed"/>
        <w:tblCellMar>
          <w:top w:w="55" w:type="dxa"/>
          <w:start w:w="55" w:type="dxa"/>
          <w:bottom w:w="55" w:type="dxa"/>
          <w:end w:w="55" w:type="dxa"/>
        </w:tblCellMar>
      </w:tblPr>
      <w:tblGrid>
        <w:gridCol w:w="1204"/>
        <w:gridCol w:w="1205"/>
        <w:gridCol w:w="1204"/>
        <w:gridCol w:w="1205"/>
        <w:gridCol w:w="1206"/>
        <w:gridCol w:w="1203"/>
        <w:gridCol w:w="1207"/>
        <w:gridCol w:w="1202"/>
      </w:tblGrid>
      <w:tr>
        <w:trPr>
          <w:trHeight w:val="948" w:hRule="atLeast"/>
        </w:trPr>
        <w:tc>
          <w:tcPr>
            <w:tcW w:w="1204" w:type="dxa"/>
            <w:tcBorders>
              <w:top w:val="single" w:sz="4" w:space="0" w:color="000000"/>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lang w:eastAsia="en-GB"/>
              </w:rPr>
            </w:pPr>
            <w:r>
              <w:rPr>
                <w:b/>
                <w:bCs/>
                <w:i w:val="false"/>
                <w:iCs w:val="false"/>
                <w:strike w:val="false"/>
                <w:dstrike w:val="false"/>
                <w:outline w:val="false"/>
                <w:shadow w:val="false"/>
                <w:color w:val="000000"/>
                <w:sz w:val="24"/>
                <w:szCs w:val="24"/>
                <w:u w:val="none"/>
                <w:lang w:eastAsia="en-GB"/>
              </w:rPr>
              <w:t>Variable</w:t>
            </w:r>
          </w:p>
        </w:tc>
        <w:tc>
          <w:tcPr>
            <w:tcW w:w="1205" w:type="dxa"/>
            <w:tcBorders>
              <w:top w:val="single" w:sz="4" w:space="0" w:color="000000"/>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lang w:eastAsia="en-GB"/>
              </w:rPr>
            </w:pPr>
            <w:r>
              <w:rPr>
                <w:b/>
                <w:bCs/>
                <w:i w:val="false"/>
                <w:iCs w:val="false"/>
                <w:strike w:val="false"/>
                <w:dstrike w:val="false"/>
                <w:outline w:val="false"/>
                <w:shadow w:val="false"/>
                <w:color w:val="000000"/>
                <w:sz w:val="24"/>
                <w:szCs w:val="24"/>
                <w:u w:val="none"/>
                <w:lang w:eastAsia="en-GB"/>
              </w:rPr>
              <w:t>Yield</w:t>
            </w:r>
          </w:p>
        </w:tc>
        <w:tc>
          <w:tcPr>
            <w:tcW w:w="1204" w:type="dxa"/>
            <w:tcBorders>
              <w:top w:val="single" w:sz="4" w:space="0" w:color="000000"/>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lang w:eastAsia="en-GB"/>
              </w:rPr>
            </w:pPr>
            <w:r>
              <w:rPr>
                <w:b/>
                <w:bCs/>
                <w:i w:val="false"/>
                <w:iCs w:val="false"/>
                <w:strike w:val="false"/>
                <w:dstrike w:val="false"/>
                <w:outline w:val="false"/>
                <w:shadow w:val="false"/>
                <w:color w:val="000000"/>
                <w:sz w:val="24"/>
                <w:szCs w:val="24"/>
                <w:u w:val="none"/>
                <w:lang w:eastAsia="en-GB"/>
              </w:rPr>
              <w:t>Area</w:t>
            </w:r>
          </w:p>
        </w:tc>
        <w:tc>
          <w:tcPr>
            <w:tcW w:w="1205" w:type="dxa"/>
            <w:tcBorders>
              <w:top w:val="single" w:sz="4" w:space="0" w:color="000000"/>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lang w:eastAsia="en-GB"/>
              </w:rPr>
            </w:pPr>
            <w:r>
              <w:rPr>
                <w:b/>
                <w:bCs/>
                <w:i w:val="false"/>
                <w:iCs w:val="false"/>
                <w:strike w:val="false"/>
                <w:dstrike w:val="false"/>
                <w:outline w:val="false"/>
                <w:shadow w:val="false"/>
                <w:color w:val="000000"/>
                <w:sz w:val="24"/>
                <w:szCs w:val="24"/>
                <w:u w:val="none"/>
                <w:lang w:eastAsia="en-GB"/>
              </w:rPr>
              <w:t>Water Used</w:t>
            </w:r>
          </w:p>
        </w:tc>
        <w:tc>
          <w:tcPr>
            <w:tcW w:w="1206" w:type="dxa"/>
            <w:tcBorders>
              <w:top w:val="single" w:sz="4" w:space="0" w:color="000000"/>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lang w:eastAsia="en-GB"/>
              </w:rPr>
            </w:pPr>
            <w:r>
              <w:rPr>
                <w:b/>
                <w:bCs/>
                <w:i w:val="false"/>
                <w:iCs w:val="false"/>
                <w:strike w:val="false"/>
                <w:dstrike w:val="false"/>
                <w:outline w:val="false"/>
                <w:shadow w:val="false"/>
                <w:color w:val="000000"/>
                <w:sz w:val="24"/>
                <w:szCs w:val="24"/>
                <w:u w:val="none"/>
                <w:lang w:eastAsia="en-GB"/>
              </w:rPr>
              <w:t>Scope One Emissions</w:t>
            </w:r>
          </w:p>
        </w:tc>
        <w:tc>
          <w:tcPr>
            <w:tcW w:w="1203" w:type="dxa"/>
            <w:tcBorders>
              <w:top w:val="single" w:sz="4" w:space="0" w:color="000000"/>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lang w:eastAsia="en-GB"/>
              </w:rPr>
            </w:pPr>
            <w:r>
              <w:rPr>
                <w:b/>
                <w:bCs/>
                <w:i w:val="false"/>
                <w:iCs w:val="false"/>
                <w:strike w:val="false"/>
                <w:dstrike w:val="false"/>
                <w:outline w:val="false"/>
                <w:shadow w:val="false"/>
                <w:color w:val="000000"/>
                <w:sz w:val="24"/>
                <w:szCs w:val="24"/>
                <w:u w:val="none"/>
                <w:lang w:eastAsia="en-GB"/>
              </w:rPr>
              <w:t>Yield/Area</w:t>
            </w:r>
          </w:p>
        </w:tc>
        <w:tc>
          <w:tcPr>
            <w:tcW w:w="1207" w:type="dxa"/>
            <w:tcBorders>
              <w:top w:val="single" w:sz="4" w:space="0" w:color="000000"/>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lang w:eastAsia="en-GB"/>
              </w:rPr>
            </w:pPr>
            <w:r>
              <w:rPr>
                <w:b/>
                <w:bCs/>
                <w:i w:val="false"/>
                <w:iCs w:val="false"/>
                <w:strike w:val="false"/>
                <w:dstrike w:val="false"/>
                <w:outline w:val="false"/>
                <w:shadow w:val="false"/>
                <w:color w:val="000000"/>
                <w:sz w:val="24"/>
                <w:szCs w:val="24"/>
                <w:u w:val="none"/>
                <w:lang w:eastAsia="en-GB"/>
              </w:rPr>
              <w:t>Average Price Per Tonne</w:t>
            </w:r>
          </w:p>
        </w:tc>
        <w:tc>
          <w:tcPr>
            <w:tcW w:w="1202" w:type="dxa"/>
            <w:tcBorders>
              <w:top w:val="single" w:sz="4" w:space="0" w:color="000000"/>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lang w:eastAsia="en-GB"/>
              </w:rPr>
            </w:pPr>
            <w:r>
              <w:rPr>
                <w:b/>
                <w:bCs/>
                <w:i w:val="false"/>
                <w:iCs w:val="false"/>
                <w:strike w:val="false"/>
                <w:dstrike w:val="false"/>
                <w:outline w:val="false"/>
                <w:shadow w:val="false"/>
                <w:color w:val="000000"/>
                <w:sz w:val="24"/>
                <w:szCs w:val="24"/>
                <w:u w:val="none"/>
                <w:lang w:eastAsia="en-GB"/>
              </w:rPr>
              <w:t>Average Price for Yield/Area</w:t>
            </w:r>
          </w:p>
        </w:tc>
      </w:tr>
      <w:tr>
        <w:trPr>
          <w:trHeight w:val="948" w:hRule="atLeast"/>
        </w:trPr>
        <w:tc>
          <w:tcPr>
            <w:tcW w:w="120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lang w:eastAsia="en-GB"/>
              </w:rPr>
            </w:pPr>
            <w:r>
              <w:rPr>
                <w:b/>
                <w:bCs/>
                <w:i w:val="false"/>
                <w:iCs w:val="false"/>
                <w:strike w:val="false"/>
                <w:dstrike w:val="false"/>
                <w:outline w:val="false"/>
                <w:shadow w:val="false"/>
                <w:color w:val="000000"/>
                <w:sz w:val="24"/>
                <w:szCs w:val="24"/>
                <w:u w:val="none"/>
                <w:lang w:eastAsia="en-GB"/>
              </w:rPr>
              <w:t>Yield</w:t>
            </w:r>
          </w:p>
        </w:tc>
        <w:tc>
          <w:tcPr>
            <w:tcW w:w="1205"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1.000E+00</w:t>
            </w:r>
          </w:p>
        </w:tc>
        <w:tc>
          <w:tcPr>
            <w:tcW w:w="120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8.822E-01</w:t>
            </w:r>
          </w:p>
        </w:tc>
        <w:tc>
          <w:tcPr>
            <w:tcW w:w="1205"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8.245E-01</w:t>
            </w:r>
          </w:p>
        </w:tc>
        <w:tc>
          <w:tcPr>
            <w:tcW w:w="1206"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7.617E-01</w:t>
            </w:r>
          </w:p>
        </w:tc>
        <w:tc>
          <w:tcPr>
            <w:tcW w:w="1203"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9.353E-01</w:t>
            </w:r>
          </w:p>
        </w:tc>
        <w:tc>
          <w:tcPr>
            <w:tcW w:w="1207"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-4.591E-01</w:t>
            </w:r>
          </w:p>
        </w:tc>
        <w:tc>
          <w:tcPr>
            <w:tcW w:w="1202"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-8.918E-01</w:t>
            </w:r>
          </w:p>
        </w:tc>
      </w:tr>
      <w:tr>
        <w:trPr>
          <w:trHeight w:val="948" w:hRule="atLeast"/>
        </w:trPr>
        <w:tc>
          <w:tcPr>
            <w:tcW w:w="120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lang w:eastAsia="en-GB"/>
              </w:rPr>
            </w:pPr>
            <w:r>
              <w:rPr>
                <w:b/>
                <w:bCs/>
                <w:i w:val="false"/>
                <w:iCs w:val="false"/>
                <w:strike w:val="false"/>
                <w:dstrike w:val="false"/>
                <w:outline w:val="false"/>
                <w:shadow w:val="false"/>
                <w:color w:val="000000"/>
                <w:sz w:val="24"/>
                <w:szCs w:val="24"/>
                <w:u w:val="none"/>
                <w:lang w:eastAsia="en-GB"/>
              </w:rPr>
              <w:t>Area</w:t>
            </w:r>
          </w:p>
        </w:tc>
        <w:tc>
          <w:tcPr>
            <w:tcW w:w="1205"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8.822E-01</w:t>
            </w:r>
          </w:p>
        </w:tc>
        <w:tc>
          <w:tcPr>
            <w:tcW w:w="120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1.000E+00</w:t>
            </w:r>
          </w:p>
        </w:tc>
        <w:tc>
          <w:tcPr>
            <w:tcW w:w="1205"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7.750E-01</w:t>
            </w:r>
          </w:p>
        </w:tc>
        <w:tc>
          <w:tcPr>
            <w:tcW w:w="1206"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8.311E-01</w:t>
            </w:r>
          </w:p>
        </w:tc>
        <w:tc>
          <w:tcPr>
            <w:tcW w:w="1203"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6.742E-01</w:t>
            </w:r>
          </w:p>
        </w:tc>
        <w:tc>
          <w:tcPr>
            <w:tcW w:w="1207"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-1.911E-01</w:t>
            </w:r>
          </w:p>
        </w:tc>
        <w:tc>
          <w:tcPr>
            <w:tcW w:w="1202"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-8.474E-01</w:t>
            </w:r>
          </w:p>
        </w:tc>
      </w:tr>
      <w:tr>
        <w:trPr>
          <w:trHeight w:val="948" w:hRule="atLeast"/>
        </w:trPr>
        <w:tc>
          <w:tcPr>
            <w:tcW w:w="120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lang w:eastAsia="en-GB"/>
              </w:rPr>
            </w:pPr>
            <w:r>
              <w:rPr>
                <w:b/>
                <w:bCs/>
                <w:i w:val="false"/>
                <w:iCs w:val="false"/>
                <w:strike w:val="false"/>
                <w:dstrike w:val="false"/>
                <w:outline w:val="false"/>
                <w:shadow w:val="false"/>
                <w:color w:val="000000"/>
                <w:sz w:val="24"/>
                <w:szCs w:val="24"/>
                <w:u w:val="none"/>
                <w:lang w:eastAsia="en-GB"/>
              </w:rPr>
              <w:t>Water Used</w:t>
            </w:r>
          </w:p>
        </w:tc>
        <w:tc>
          <w:tcPr>
            <w:tcW w:w="1205"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8.245E-01</w:t>
            </w:r>
          </w:p>
        </w:tc>
        <w:tc>
          <w:tcPr>
            <w:tcW w:w="120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7.750E-01</w:t>
            </w:r>
          </w:p>
        </w:tc>
        <w:tc>
          <w:tcPr>
            <w:tcW w:w="1205"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1.000E+00</w:t>
            </w:r>
          </w:p>
        </w:tc>
        <w:tc>
          <w:tcPr>
            <w:tcW w:w="1206"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6.668E-01</w:t>
            </w:r>
          </w:p>
        </w:tc>
        <w:tc>
          <w:tcPr>
            <w:tcW w:w="1203"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7.292E-01</w:t>
            </w:r>
          </w:p>
        </w:tc>
        <w:tc>
          <w:tcPr>
            <w:tcW w:w="1207"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-4.881E-01</w:t>
            </w:r>
          </w:p>
        </w:tc>
        <w:tc>
          <w:tcPr>
            <w:tcW w:w="1202"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-8.300E-01</w:t>
            </w:r>
          </w:p>
        </w:tc>
      </w:tr>
      <w:tr>
        <w:trPr>
          <w:trHeight w:val="948" w:hRule="atLeast"/>
        </w:trPr>
        <w:tc>
          <w:tcPr>
            <w:tcW w:w="120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lang w:eastAsia="en-GB"/>
              </w:rPr>
            </w:pPr>
            <w:r>
              <w:rPr>
                <w:b/>
                <w:bCs/>
                <w:i w:val="false"/>
                <w:iCs w:val="false"/>
                <w:strike w:val="false"/>
                <w:dstrike w:val="false"/>
                <w:outline w:val="false"/>
                <w:shadow w:val="false"/>
                <w:color w:val="000000"/>
                <w:sz w:val="24"/>
                <w:szCs w:val="24"/>
                <w:u w:val="none"/>
                <w:lang w:eastAsia="en-GB"/>
              </w:rPr>
              <w:t>Scope One Emissions</w:t>
            </w:r>
          </w:p>
        </w:tc>
        <w:tc>
          <w:tcPr>
            <w:tcW w:w="1205"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7.617E-01</w:t>
            </w:r>
          </w:p>
        </w:tc>
        <w:tc>
          <w:tcPr>
            <w:tcW w:w="120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8.311E-01</w:t>
            </w:r>
          </w:p>
        </w:tc>
        <w:tc>
          <w:tcPr>
            <w:tcW w:w="1205"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6.668E-01</w:t>
            </w:r>
          </w:p>
        </w:tc>
        <w:tc>
          <w:tcPr>
            <w:tcW w:w="1206"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1.000E+00</w:t>
            </w:r>
          </w:p>
        </w:tc>
        <w:tc>
          <w:tcPr>
            <w:tcW w:w="1203"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6.086E-01</w:t>
            </w:r>
          </w:p>
        </w:tc>
        <w:tc>
          <w:tcPr>
            <w:tcW w:w="1207"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-1.559E-01</w:t>
            </w:r>
          </w:p>
        </w:tc>
        <w:tc>
          <w:tcPr>
            <w:tcW w:w="1202"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-7.063E-01</w:t>
            </w:r>
          </w:p>
        </w:tc>
      </w:tr>
      <w:tr>
        <w:trPr>
          <w:trHeight w:val="948" w:hRule="atLeast"/>
        </w:trPr>
        <w:tc>
          <w:tcPr>
            <w:tcW w:w="120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lang w:eastAsia="en-GB"/>
              </w:rPr>
            </w:pPr>
            <w:r>
              <w:rPr>
                <w:b/>
                <w:bCs/>
                <w:i w:val="false"/>
                <w:iCs w:val="false"/>
                <w:strike w:val="false"/>
                <w:dstrike w:val="false"/>
                <w:outline w:val="false"/>
                <w:shadow w:val="false"/>
                <w:color w:val="000000"/>
                <w:sz w:val="24"/>
                <w:szCs w:val="24"/>
                <w:u w:val="none"/>
                <w:lang w:eastAsia="en-GB"/>
              </w:rPr>
              <w:t>Yield/Area</w:t>
            </w:r>
          </w:p>
        </w:tc>
        <w:tc>
          <w:tcPr>
            <w:tcW w:w="1205"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9.353E-01</w:t>
            </w:r>
          </w:p>
        </w:tc>
        <w:tc>
          <w:tcPr>
            <w:tcW w:w="120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6.742E-01</w:t>
            </w:r>
          </w:p>
        </w:tc>
        <w:tc>
          <w:tcPr>
            <w:tcW w:w="1205"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7.292E-01</w:t>
            </w:r>
          </w:p>
        </w:tc>
        <w:tc>
          <w:tcPr>
            <w:tcW w:w="1206"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6.086E-01</w:t>
            </w:r>
          </w:p>
        </w:tc>
        <w:tc>
          <w:tcPr>
            <w:tcW w:w="1203"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1.000E+00</w:t>
            </w:r>
          </w:p>
        </w:tc>
        <w:tc>
          <w:tcPr>
            <w:tcW w:w="1207"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-5.625E-01</w:t>
            </w:r>
          </w:p>
        </w:tc>
        <w:tc>
          <w:tcPr>
            <w:tcW w:w="1202"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-8.076E-01</w:t>
            </w:r>
          </w:p>
        </w:tc>
      </w:tr>
      <w:tr>
        <w:trPr>
          <w:trHeight w:val="948" w:hRule="atLeast"/>
        </w:trPr>
        <w:tc>
          <w:tcPr>
            <w:tcW w:w="120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lang w:eastAsia="en-GB"/>
              </w:rPr>
            </w:pPr>
            <w:r>
              <w:rPr>
                <w:b/>
                <w:bCs/>
                <w:i w:val="false"/>
                <w:iCs w:val="false"/>
                <w:strike w:val="false"/>
                <w:dstrike w:val="false"/>
                <w:outline w:val="false"/>
                <w:shadow w:val="false"/>
                <w:color w:val="000000"/>
                <w:sz w:val="24"/>
                <w:szCs w:val="24"/>
                <w:u w:val="none"/>
                <w:lang w:eastAsia="en-GB"/>
              </w:rPr>
              <w:t>Average Price Per Tonne</w:t>
            </w:r>
          </w:p>
        </w:tc>
        <w:tc>
          <w:tcPr>
            <w:tcW w:w="1205"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-4.591E-01</w:t>
            </w:r>
          </w:p>
        </w:tc>
        <w:tc>
          <w:tcPr>
            <w:tcW w:w="120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-1.911E-01</w:t>
            </w:r>
          </w:p>
        </w:tc>
        <w:tc>
          <w:tcPr>
            <w:tcW w:w="1205"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-4.881E-01</w:t>
            </w:r>
          </w:p>
        </w:tc>
        <w:tc>
          <w:tcPr>
            <w:tcW w:w="1206"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-1.559E-01</w:t>
            </w:r>
          </w:p>
        </w:tc>
        <w:tc>
          <w:tcPr>
            <w:tcW w:w="1203"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-5.625E-01</w:t>
            </w:r>
          </w:p>
        </w:tc>
        <w:tc>
          <w:tcPr>
            <w:tcW w:w="1207"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1.000E+00</w:t>
            </w:r>
          </w:p>
        </w:tc>
        <w:tc>
          <w:tcPr>
            <w:tcW w:w="1202"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6.592E-01</w:t>
            </w:r>
          </w:p>
        </w:tc>
      </w:tr>
      <w:tr>
        <w:trPr>
          <w:trHeight w:val="948" w:hRule="atLeast"/>
        </w:trPr>
        <w:tc>
          <w:tcPr>
            <w:tcW w:w="120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lang w:eastAsia="en-GB"/>
              </w:rPr>
            </w:pPr>
            <w:r>
              <w:rPr>
                <w:b/>
                <w:bCs/>
                <w:i w:val="false"/>
                <w:iCs w:val="false"/>
                <w:strike w:val="false"/>
                <w:dstrike w:val="false"/>
                <w:outline w:val="false"/>
                <w:shadow w:val="false"/>
                <w:color w:val="000000"/>
                <w:sz w:val="24"/>
                <w:szCs w:val="24"/>
                <w:u w:val="none"/>
                <w:lang w:eastAsia="en-GB"/>
              </w:rPr>
              <w:t>Average Price for Yield/Area</w:t>
            </w:r>
          </w:p>
        </w:tc>
        <w:tc>
          <w:tcPr>
            <w:tcW w:w="1205"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-8.918E-01</w:t>
            </w:r>
          </w:p>
        </w:tc>
        <w:tc>
          <w:tcPr>
            <w:tcW w:w="120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-8.474E-01</w:t>
            </w:r>
          </w:p>
        </w:tc>
        <w:tc>
          <w:tcPr>
            <w:tcW w:w="1205"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-8.300E-01</w:t>
            </w:r>
          </w:p>
        </w:tc>
        <w:tc>
          <w:tcPr>
            <w:tcW w:w="1206"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-7.063E-01</w:t>
            </w:r>
          </w:p>
        </w:tc>
        <w:tc>
          <w:tcPr>
            <w:tcW w:w="1203"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-8.076E-01</w:t>
            </w:r>
          </w:p>
        </w:tc>
        <w:tc>
          <w:tcPr>
            <w:tcW w:w="1207"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6.592E-01</w:t>
            </w:r>
          </w:p>
        </w:tc>
        <w:tc>
          <w:tcPr>
            <w:tcW w:w="1202"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1.000E+00</w:t>
            </w:r>
          </w:p>
        </w:tc>
      </w:tr>
    </w:tbl>
    <w:p>
      <w:pPr>
        <w:pStyle w:val="ListParagraph"/>
        <w:ind w:start="0" w:end="0" w:hanging="0"/>
        <w:rPr>
          <w:rFonts w:ascii="Calibri" w:hAnsi="Calibri" w:eastAsia="Times New Roman" w:cs="Calibri"/>
          <w:b w:val="false"/>
          <w:b w:val="false"/>
          <w:bCs w:val="false"/>
          <w:color w:val="000000"/>
          <w:sz w:val="22"/>
          <w:szCs w:val="22"/>
          <w:lang w:eastAsia="en-GB"/>
        </w:rPr>
      </w:pPr>
      <w:r>
        <w:rPr>
          <w:rFonts w:eastAsia="Times New Roman" w:cs="Calibri" w:ascii="Calibri" w:hAnsi="Calibri"/>
          <w:b w:val="false"/>
          <w:bCs w:val="false"/>
          <w:color w:val="000000"/>
          <w:sz w:val="22"/>
          <w:szCs w:val="22"/>
          <w:lang w:eastAsia="en-GB"/>
        </w:rPr>
      </w:r>
    </w:p>
    <w:p>
      <w:pPr>
        <w:pStyle w:val="ListParagraph"/>
        <w:ind w:start="0" w:end="0" w:hanging="0"/>
        <w:rPr>
          <w:rFonts w:ascii="Calibri" w:hAnsi="Calibri" w:eastAsia="Times New Roman" w:cs="Calibri"/>
          <w:color w:val="000000"/>
          <w:sz w:val="22"/>
          <w:szCs w:val="22"/>
          <w:lang w:eastAsia="en-GB"/>
        </w:rPr>
      </w:pPr>
      <w:r>
        <w:rPr>
          <w:rFonts w:eastAsia="Times New Roman" w:cs="Calibri" w:ascii="Calibri" w:hAnsi="Calibri"/>
          <w:b/>
          <w:bCs/>
          <w:color w:val="000000"/>
          <w:sz w:val="22"/>
          <w:szCs w:val="22"/>
          <w:lang w:eastAsia="en-GB"/>
        </w:rPr>
        <w:t>Table 3:</w:t>
      </w:r>
      <w:r>
        <w:rPr>
          <w:rFonts w:eastAsia="Times New Roman" w:cs="Calibri" w:ascii="Calibri" w:hAnsi="Calibri"/>
          <w:color w:val="000000"/>
          <w:sz w:val="22"/>
          <w:szCs w:val="22"/>
          <w:lang w:eastAsia="en-GB"/>
        </w:rPr>
        <w:t xml:space="preserve"> P-values for the non-transformed water used variable’s Pearson correlation coefficients.</w:t>
      </w:r>
    </w:p>
    <w:tbl>
      <w:tblPr>
        <w:tblW w:w="4938" w:type="dxa"/>
        <w:jc w:val="start"/>
        <w:tblInd w:w="55" w:type="dxa"/>
        <w:tblLayout w:type="fixed"/>
        <w:tblCellMar>
          <w:top w:w="55" w:type="dxa"/>
          <w:start w:w="55" w:type="dxa"/>
          <w:bottom w:w="55" w:type="dxa"/>
          <w:end w:w="55" w:type="dxa"/>
        </w:tblCellMar>
      </w:tblPr>
      <w:tblGrid>
        <w:gridCol w:w="3175"/>
        <w:gridCol w:w="1762"/>
      </w:tblGrid>
      <w:tr>
        <w:trPr/>
        <w:tc>
          <w:tcPr>
            <w:tcW w:w="3175" w:type="dxa"/>
            <w:tcBorders>
              <w:top w:val="single" w:sz="4" w:space="0" w:color="000000"/>
              <w:start w:val="single" w:sz="4" w:space="0" w:color="000000"/>
              <w:bottom w:val="single" w:sz="4" w:space="0" w:color="000000"/>
            </w:tcBorders>
            <w:vAlign w:val="center"/>
          </w:tcPr>
          <w:p>
            <w:pPr>
              <w:pStyle w:val="TableContents"/>
              <w:widowControl w:val="false"/>
              <w:jc w:val="start"/>
              <w:rPr>
                <w:rFonts w:ascii="Liberation Serif" w:hAnsi="Liberation Serif"/>
                <w:b/>
                <w:b/>
                <w:bCs/>
                <w:i w:val="false"/>
                <w:i w:val="false"/>
                <w:iCs w:val="false"/>
                <w:strike w:val="false"/>
                <w:dstrike w:val="false"/>
                <w:outline w:val="false"/>
                <w:shadow w:val="false"/>
                <w:color w:val="000000"/>
                <w:sz w:val="24"/>
                <w:szCs w:val="24"/>
                <w:u w:val="none"/>
                <w:lang w:eastAsia="en-GB"/>
              </w:rPr>
            </w:pPr>
            <w:r>
              <w:rPr>
                <w:b/>
                <w:bCs/>
                <w:i w:val="false"/>
                <w:iCs w:val="false"/>
                <w:strike w:val="false"/>
                <w:dstrike w:val="false"/>
                <w:outline w:val="false"/>
                <w:shadow w:val="false"/>
                <w:color w:val="000000"/>
                <w:sz w:val="24"/>
                <w:szCs w:val="24"/>
                <w:u w:val="none"/>
                <w:lang w:eastAsia="en-GB"/>
              </w:rPr>
              <w:t>Variable</w:t>
            </w:r>
          </w:p>
        </w:tc>
        <w:tc>
          <w:tcPr>
            <w:tcW w:w="1762" w:type="dxa"/>
            <w:tcBorders>
              <w:top w:val="single" w:sz="4" w:space="0" w:color="000000"/>
              <w:start w:val="single" w:sz="4" w:space="0" w:color="000000"/>
              <w:bottom w:val="single" w:sz="4" w:space="0" w:color="000000"/>
              <w:end w:val="single" w:sz="4" w:space="0" w:color="000000"/>
            </w:tcBorders>
            <w:vAlign w:val="center"/>
          </w:tcPr>
          <w:p>
            <w:pPr>
              <w:pStyle w:val="TableContents"/>
              <w:widowControl w:val="false"/>
              <w:jc w:val="start"/>
              <w:rPr>
                <w:rFonts w:ascii="Liberation Serif" w:hAnsi="Liberation Serif"/>
                <w:b/>
                <w:b/>
                <w:bCs/>
                <w:i w:val="false"/>
                <w:i w:val="false"/>
                <w:iCs w:val="false"/>
                <w:strike w:val="false"/>
                <w:dstrike w:val="false"/>
                <w:outline w:val="false"/>
                <w:shadow w:val="false"/>
                <w:color w:val="000000"/>
                <w:sz w:val="24"/>
                <w:szCs w:val="24"/>
                <w:u w:val="none"/>
                <w:lang w:eastAsia="en-GB"/>
              </w:rPr>
            </w:pPr>
            <w:r>
              <w:rPr>
                <w:b/>
                <w:bCs/>
                <w:i w:val="false"/>
                <w:iCs w:val="false"/>
                <w:strike w:val="false"/>
                <w:dstrike w:val="false"/>
                <w:outline w:val="false"/>
                <w:shadow w:val="false"/>
                <w:color w:val="000000"/>
                <w:sz w:val="24"/>
                <w:szCs w:val="24"/>
                <w:u w:val="none"/>
                <w:lang w:eastAsia="en-GB"/>
              </w:rPr>
              <w:t>Water Used</w:t>
            </w:r>
          </w:p>
        </w:tc>
      </w:tr>
      <w:tr>
        <w:trPr/>
        <w:tc>
          <w:tcPr>
            <w:tcW w:w="3175" w:type="dxa"/>
            <w:tcBorders>
              <w:start w:val="single" w:sz="4" w:space="0" w:color="000000"/>
              <w:bottom w:val="single" w:sz="4" w:space="0" w:color="000000"/>
            </w:tcBorders>
            <w:vAlign w:val="center"/>
          </w:tcPr>
          <w:p>
            <w:pPr>
              <w:pStyle w:val="TableContents"/>
              <w:widowControl w:val="false"/>
              <w:jc w:val="start"/>
              <w:rPr>
                <w:rFonts w:ascii="Liberation Serif" w:hAnsi="Liberation Serif"/>
                <w:b/>
                <w:b/>
                <w:bCs/>
                <w:i w:val="false"/>
                <w:i w:val="false"/>
                <w:iCs w:val="false"/>
                <w:strike w:val="false"/>
                <w:dstrike w:val="false"/>
                <w:outline w:val="false"/>
                <w:shadow w:val="false"/>
                <w:color w:val="000000"/>
                <w:sz w:val="24"/>
                <w:szCs w:val="24"/>
                <w:u w:val="none"/>
                <w:lang w:eastAsia="en-GB"/>
              </w:rPr>
            </w:pPr>
            <w:r>
              <w:rPr>
                <w:b/>
                <w:bCs/>
                <w:i w:val="false"/>
                <w:iCs w:val="false"/>
                <w:strike w:val="false"/>
                <w:dstrike w:val="false"/>
                <w:outline w:val="false"/>
                <w:shadow w:val="false"/>
                <w:color w:val="000000"/>
                <w:sz w:val="24"/>
                <w:szCs w:val="24"/>
                <w:u w:val="none"/>
                <w:lang w:eastAsia="en-GB"/>
              </w:rPr>
              <w:t>Yield</w:t>
            </w:r>
          </w:p>
        </w:tc>
        <w:tc>
          <w:tcPr>
            <w:tcW w:w="1762" w:type="dxa"/>
            <w:tcBorders>
              <w:start w:val="single" w:sz="4" w:space="0" w:color="000000"/>
              <w:bottom w:val="single" w:sz="4" w:space="0" w:color="000000"/>
              <w:end w:val="single" w:sz="4" w:space="0" w:color="000000"/>
            </w:tcBorders>
            <w:vAlign w:val="center"/>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7.538E-01</w:t>
            </w:r>
          </w:p>
        </w:tc>
      </w:tr>
      <w:tr>
        <w:trPr/>
        <w:tc>
          <w:tcPr>
            <w:tcW w:w="3175" w:type="dxa"/>
            <w:tcBorders>
              <w:start w:val="single" w:sz="4" w:space="0" w:color="000000"/>
              <w:bottom w:val="single" w:sz="4" w:space="0" w:color="000000"/>
            </w:tcBorders>
            <w:vAlign w:val="center"/>
          </w:tcPr>
          <w:p>
            <w:pPr>
              <w:pStyle w:val="TableContents"/>
              <w:widowControl w:val="false"/>
              <w:jc w:val="start"/>
              <w:rPr>
                <w:rFonts w:ascii="Liberation Serif" w:hAnsi="Liberation Serif"/>
                <w:b/>
                <w:b/>
                <w:bCs/>
                <w:i w:val="false"/>
                <w:i w:val="false"/>
                <w:iCs w:val="false"/>
                <w:strike w:val="false"/>
                <w:dstrike w:val="false"/>
                <w:outline w:val="false"/>
                <w:shadow w:val="false"/>
                <w:color w:val="000000"/>
                <w:sz w:val="24"/>
                <w:szCs w:val="24"/>
                <w:u w:val="none"/>
                <w:lang w:eastAsia="en-GB"/>
              </w:rPr>
            </w:pPr>
            <w:r>
              <w:rPr>
                <w:b/>
                <w:bCs/>
                <w:i w:val="false"/>
                <w:iCs w:val="false"/>
                <w:strike w:val="false"/>
                <w:dstrike w:val="false"/>
                <w:outline w:val="false"/>
                <w:shadow w:val="false"/>
                <w:color w:val="000000"/>
                <w:sz w:val="24"/>
                <w:szCs w:val="24"/>
                <w:u w:val="none"/>
                <w:lang w:eastAsia="en-GB"/>
              </w:rPr>
              <w:t>Area</w:t>
            </w:r>
          </w:p>
        </w:tc>
        <w:tc>
          <w:tcPr>
            <w:tcW w:w="1762" w:type="dxa"/>
            <w:tcBorders>
              <w:start w:val="single" w:sz="4" w:space="0" w:color="000000"/>
              <w:bottom w:val="single" w:sz="4" w:space="0" w:color="000000"/>
              <w:end w:val="single" w:sz="4" w:space="0" w:color="000000"/>
            </w:tcBorders>
            <w:vAlign w:val="center"/>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6.981E-01</w:t>
            </w:r>
          </w:p>
        </w:tc>
      </w:tr>
      <w:tr>
        <w:trPr/>
        <w:tc>
          <w:tcPr>
            <w:tcW w:w="3175" w:type="dxa"/>
            <w:tcBorders>
              <w:start w:val="single" w:sz="4" w:space="0" w:color="000000"/>
              <w:bottom w:val="single" w:sz="4" w:space="0" w:color="000000"/>
            </w:tcBorders>
            <w:vAlign w:val="center"/>
          </w:tcPr>
          <w:p>
            <w:pPr>
              <w:pStyle w:val="TableContents"/>
              <w:widowControl w:val="false"/>
              <w:jc w:val="start"/>
              <w:rPr>
                <w:rFonts w:ascii="Liberation Serif" w:hAnsi="Liberation Serif"/>
                <w:b/>
                <w:b/>
                <w:bCs/>
                <w:i w:val="false"/>
                <w:i w:val="false"/>
                <w:iCs w:val="false"/>
                <w:strike w:val="false"/>
                <w:dstrike w:val="false"/>
                <w:outline w:val="false"/>
                <w:shadow w:val="false"/>
                <w:color w:val="000000"/>
                <w:sz w:val="24"/>
                <w:szCs w:val="24"/>
                <w:u w:val="none"/>
                <w:lang w:eastAsia="en-GB"/>
              </w:rPr>
            </w:pPr>
            <w:r>
              <w:rPr>
                <w:b/>
                <w:bCs/>
                <w:i w:val="false"/>
                <w:iCs w:val="false"/>
                <w:strike w:val="false"/>
                <w:dstrike w:val="false"/>
                <w:outline w:val="false"/>
                <w:shadow w:val="false"/>
                <w:color w:val="000000"/>
                <w:sz w:val="24"/>
                <w:szCs w:val="24"/>
                <w:u w:val="none"/>
                <w:lang w:eastAsia="en-GB"/>
              </w:rPr>
              <w:t>Scope One Emissions</w:t>
            </w:r>
          </w:p>
        </w:tc>
        <w:tc>
          <w:tcPr>
            <w:tcW w:w="1762" w:type="dxa"/>
            <w:tcBorders>
              <w:start w:val="single" w:sz="4" w:space="0" w:color="000000"/>
              <w:bottom w:val="single" w:sz="4" w:space="0" w:color="000000"/>
              <w:end w:val="single" w:sz="4" w:space="0" w:color="000000"/>
            </w:tcBorders>
            <w:vAlign w:val="center"/>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8.883E-01</w:t>
            </w:r>
          </w:p>
        </w:tc>
      </w:tr>
      <w:tr>
        <w:trPr/>
        <w:tc>
          <w:tcPr>
            <w:tcW w:w="3175" w:type="dxa"/>
            <w:tcBorders>
              <w:start w:val="single" w:sz="4" w:space="0" w:color="000000"/>
              <w:bottom w:val="single" w:sz="4" w:space="0" w:color="000000"/>
            </w:tcBorders>
            <w:vAlign w:val="center"/>
          </w:tcPr>
          <w:p>
            <w:pPr>
              <w:pStyle w:val="TableContents"/>
              <w:widowControl w:val="false"/>
              <w:jc w:val="start"/>
              <w:rPr>
                <w:rFonts w:ascii="Liberation Serif" w:hAnsi="Liberation Serif"/>
                <w:b/>
                <w:b/>
                <w:bCs/>
                <w:i w:val="false"/>
                <w:i w:val="false"/>
                <w:iCs w:val="false"/>
                <w:strike w:val="false"/>
                <w:dstrike w:val="false"/>
                <w:outline w:val="false"/>
                <w:shadow w:val="false"/>
                <w:color w:val="000000"/>
                <w:sz w:val="24"/>
                <w:szCs w:val="24"/>
                <w:u w:val="none"/>
                <w:lang w:eastAsia="en-GB"/>
              </w:rPr>
            </w:pPr>
            <w:r>
              <w:rPr>
                <w:b/>
                <w:bCs/>
                <w:i w:val="false"/>
                <w:iCs w:val="false"/>
                <w:strike w:val="false"/>
                <w:dstrike w:val="false"/>
                <w:outline w:val="false"/>
                <w:shadow w:val="false"/>
                <w:color w:val="000000"/>
                <w:sz w:val="24"/>
                <w:szCs w:val="24"/>
                <w:u w:val="none"/>
                <w:lang w:eastAsia="en-GB"/>
              </w:rPr>
              <w:t>Yield/Area</w:t>
            </w:r>
          </w:p>
        </w:tc>
        <w:tc>
          <w:tcPr>
            <w:tcW w:w="1762" w:type="dxa"/>
            <w:tcBorders>
              <w:start w:val="single" w:sz="4" w:space="0" w:color="000000"/>
              <w:bottom w:val="single" w:sz="4" w:space="0" w:color="000000"/>
              <w:end w:val="single" w:sz="4" w:space="0" w:color="000000"/>
            </w:tcBorders>
            <w:vAlign w:val="center"/>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6.836E-01</w:t>
            </w:r>
          </w:p>
        </w:tc>
      </w:tr>
      <w:tr>
        <w:trPr/>
        <w:tc>
          <w:tcPr>
            <w:tcW w:w="3175" w:type="dxa"/>
            <w:tcBorders>
              <w:start w:val="single" w:sz="4" w:space="0" w:color="000000"/>
              <w:bottom w:val="single" w:sz="4" w:space="0" w:color="000000"/>
            </w:tcBorders>
            <w:vAlign w:val="center"/>
          </w:tcPr>
          <w:p>
            <w:pPr>
              <w:pStyle w:val="TableContents"/>
              <w:widowControl w:val="false"/>
              <w:jc w:val="start"/>
              <w:rPr>
                <w:rFonts w:ascii="Liberation Serif" w:hAnsi="Liberation Serif"/>
                <w:b/>
                <w:b/>
                <w:bCs/>
                <w:i w:val="false"/>
                <w:i w:val="false"/>
                <w:iCs w:val="false"/>
                <w:strike w:val="false"/>
                <w:dstrike w:val="false"/>
                <w:outline w:val="false"/>
                <w:shadow w:val="false"/>
                <w:color w:val="000000"/>
                <w:sz w:val="24"/>
                <w:szCs w:val="24"/>
                <w:u w:val="none"/>
                <w:lang w:eastAsia="en-GB"/>
              </w:rPr>
            </w:pPr>
            <w:r>
              <w:rPr>
                <w:b/>
                <w:bCs/>
                <w:i w:val="false"/>
                <w:iCs w:val="false"/>
                <w:strike w:val="false"/>
                <w:dstrike w:val="false"/>
                <w:outline w:val="false"/>
                <w:shadow w:val="false"/>
                <w:color w:val="000000"/>
                <w:sz w:val="24"/>
                <w:szCs w:val="24"/>
                <w:u w:val="none"/>
                <w:lang w:eastAsia="en-GB"/>
              </w:rPr>
              <w:t>Average Price Per Tonne</w:t>
            </w:r>
          </w:p>
        </w:tc>
        <w:tc>
          <w:tcPr>
            <w:tcW w:w="1762" w:type="dxa"/>
            <w:tcBorders>
              <w:start w:val="single" w:sz="4" w:space="0" w:color="000000"/>
              <w:bottom w:val="single" w:sz="4" w:space="0" w:color="000000"/>
              <w:end w:val="single" w:sz="4" w:space="0" w:color="000000"/>
            </w:tcBorders>
            <w:vAlign w:val="center"/>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5.600E-02</w:t>
            </w:r>
          </w:p>
        </w:tc>
      </w:tr>
      <w:tr>
        <w:trPr/>
        <w:tc>
          <w:tcPr>
            <w:tcW w:w="3175" w:type="dxa"/>
            <w:tcBorders>
              <w:start w:val="single" w:sz="4" w:space="0" w:color="000000"/>
              <w:bottom w:val="single" w:sz="4" w:space="0" w:color="000000"/>
            </w:tcBorders>
            <w:vAlign w:val="center"/>
          </w:tcPr>
          <w:p>
            <w:pPr>
              <w:pStyle w:val="TableContents"/>
              <w:widowControl w:val="false"/>
              <w:jc w:val="start"/>
              <w:rPr>
                <w:rFonts w:ascii="Liberation Serif" w:hAnsi="Liberation Serif"/>
                <w:b/>
                <w:b/>
                <w:bCs/>
                <w:i w:val="false"/>
                <w:i w:val="false"/>
                <w:iCs w:val="false"/>
                <w:strike w:val="false"/>
                <w:dstrike w:val="false"/>
                <w:outline w:val="false"/>
                <w:shadow w:val="false"/>
                <w:color w:val="000000"/>
                <w:sz w:val="24"/>
                <w:szCs w:val="24"/>
                <w:u w:val="none"/>
                <w:lang w:eastAsia="en-GB"/>
              </w:rPr>
            </w:pPr>
            <w:r>
              <w:rPr>
                <w:b/>
                <w:bCs/>
                <w:i w:val="false"/>
                <w:iCs w:val="false"/>
                <w:strike w:val="false"/>
                <w:dstrike w:val="false"/>
                <w:outline w:val="false"/>
                <w:shadow w:val="false"/>
                <w:color w:val="000000"/>
                <w:sz w:val="24"/>
                <w:szCs w:val="24"/>
                <w:u w:val="none"/>
                <w:lang w:eastAsia="en-GB"/>
              </w:rPr>
              <w:t>Average Price for Yield/Area</w:t>
            </w:r>
          </w:p>
        </w:tc>
        <w:tc>
          <w:tcPr>
            <w:tcW w:w="1762" w:type="dxa"/>
            <w:tcBorders>
              <w:start w:val="single" w:sz="4" w:space="0" w:color="000000"/>
              <w:bottom w:val="single" w:sz="4" w:space="0" w:color="000000"/>
              <w:end w:val="single" w:sz="4" w:space="0" w:color="000000"/>
            </w:tcBorders>
            <w:vAlign w:val="center"/>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lang w:eastAsia="en-GB"/>
              </w:rPr>
            </w:pPr>
            <w:r>
              <w:rPr>
                <w:b w:val="false"/>
                <w:bCs w:val="false"/>
                <w:i w:val="false"/>
                <w:iCs w:val="false"/>
                <w:strike w:val="false"/>
                <w:dstrike w:val="false"/>
                <w:outline w:val="false"/>
                <w:shadow w:val="false"/>
                <w:color w:val="000000"/>
                <w:sz w:val="24"/>
                <w:szCs w:val="24"/>
                <w:u w:val="none"/>
                <w:lang w:eastAsia="en-GB"/>
              </w:rPr>
              <w:t>1.522E-01</w:t>
            </w:r>
          </w:p>
        </w:tc>
      </w:tr>
    </w:tbl>
    <w:p>
      <w:pPr>
        <w:pStyle w:val="Normal"/>
        <w:ind w:start="0" w:end="0" w:hanging="0"/>
        <w:rPr>
          <w:rFonts w:ascii="Calibri" w:hAnsi="Calibri" w:eastAsia="Times New Roman" w:cs="Calibri"/>
          <w:color w:val="auto"/>
          <w:sz w:val="22"/>
          <w:szCs w:val="22"/>
          <w:lang w:eastAsia="en-GB"/>
        </w:rPr>
      </w:pPr>
      <w:r>
        <w:rPr>
          <w:rFonts w:eastAsia="Times New Roman" w:cs="Calibri" w:ascii="Calibri" w:hAnsi="Calibri"/>
          <w:color w:val="auto"/>
          <w:sz w:val="22"/>
          <w:szCs w:val="22"/>
          <w:lang w:eastAsia="en-GB"/>
        </w:rPr>
      </w:r>
    </w:p>
    <w:p>
      <w:pPr>
        <w:pStyle w:val="ListParagraph"/>
        <w:ind w:start="0" w:end="0" w:hanging="0"/>
        <w:rPr>
          <w:rFonts w:ascii="Calibri" w:hAnsi="Calibri" w:eastAsia="Times New Roman" w:cs="Calibri"/>
          <w:color w:val="auto"/>
          <w:sz w:val="22"/>
          <w:szCs w:val="22"/>
          <w:lang w:eastAsia="en-GB"/>
        </w:rPr>
      </w:pPr>
      <w:r>
        <w:rPr>
          <w:rFonts w:eastAsia="Times New Roman" w:cs="Calibri" w:ascii="Calibri" w:hAnsi="Calibri"/>
          <w:b/>
          <w:bCs/>
          <w:color w:val="auto"/>
          <w:sz w:val="22"/>
          <w:szCs w:val="22"/>
          <w:lang w:eastAsia="en-GB"/>
        </w:rPr>
        <w:t>Table 4:</w:t>
      </w:r>
      <w:r>
        <w:rPr>
          <w:rFonts w:eastAsia="Times New Roman" w:cs="Calibri" w:ascii="Calibri" w:hAnsi="Calibri"/>
          <w:color w:val="auto"/>
          <w:sz w:val="22"/>
          <w:szCs w:val="22"/>
          <w:lang w:eastAsia="en-GB"/>
        </w:rPr>
        <w:t xml:space="preserve"> Summary statistics for each variable on the original scale.</w:t>
      </w:r>
    </w:p>
    <w:tbl>
      <w:tblPr>
        <w:tblW w:w="9642" w:type="dxa"/>
        <w:jc w:val="start"/>
        <w:tblInd w:w="55" w:type="dxa"/>
        <w:tblLayout w:type="fixed"/>
        <w:tblCellMar>
          <w:top w:w="55" w:type="dxa"/>
          <w:start w:w="55" w:type="dxa"/>
          <w:bottom w:w="55" w:type="dxa"/>
          <w:end w:w="55" w:type="dxa"/>
        </w:tblCellMar>
      </w:tblPr>
      <w:tblGrid>
        <w:gridCol w:w="1607"/>
        <w:gridCol w:w="1606"/>
        <w:gridCol w:w="1608"/>
        <w:gridCol w:w="1607"/>
        <w:gridCol w:w="1606"/>
        <w:gridCol w:w="1607"/>
      </w:tblGrid>
      <w:tr>
        <w:trPr>
          <w:trHeight w:val="948" w:hRule="atLeast"/>
        </w:trPr>
        <w:tc>
          <w:tcPr>
            <w:tcW w:w="1607" w:type="dxa"/>
            <w:tcBorders>
              <w:top w:val="single" w:sz="4" w:space="0" w:color="000000"/>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Variable</w:t>
            </w:r>
          </w:p>
        </w:tc>
        <w:tc>
          <w:tcPr>
            <w:tcW w:w="1606" w:type="dxa"/>
            <w:tcBorders>
              <w:top w:val="single" w:sz="4" w:space="0" w:color="000000"/>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Mean</w:t>
            </w:r>
          </w:p>
        </w:tc>
        <w:tc>
          <w:tcPr>
            <w:tcW w:w="1608" w:type="dxa"/>
            <w:tcBorders>
              <w:top w:val="single" w:sz="4" w:space="0" w:color="000000"/>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Std</w:t>
            </w:r>
          </w:p>
        </w:tc>
        <w:tc>
          <w:tcPr>
            <w:tcW w:w="1607" w:type="dxa"/>
            <w:tcBorders>
              <w:top w:val="single" w:sz="4" w:space="0" w:color="000000"/>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Minimum</w:t>
            </w:r>
          </w:p>
        </w:tc>
        <w:tc>
          <w:tcPr>
            <w:tcW w:w="1606" w:type="dxa"/>
            <w:tcBorders>
              <w:top w:val="single" w:sz="4" w:space="0" w:color="000000"/>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Median</w:t>
            </w:r>
          </w:p>
        </w:tc>
        <w:tc>
          <w:tcPr>
            <w:tcW w:w="1607" w:type="dxa"/>
            <w:tcBorders>
              <w:top w:val="single" w:sz="4" w:space="0" w:color="000000"/>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Maximum</w:t>
            </w:r>
          </w:p>
        </w:tc>
      </w:tr>
      <w:tr>
        <w:trPr>
          <w:trHeight w:val="948" w:hRule="atLeast"/>
        </w:trPr>
        <w:tc>
          <w:tcPr>
            <w:tcW w:w="1607"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Water Used (ML)</w:t>
            </w:r>
          </w:p>
        </w:tc>
        <w:tc>
          <w:tcPr>
            <w:tcW w:w="1606"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8.06E+06</w:t>
            </w:r>
          </w:p>
        </w:tc>
        <w:tc>
          <w:tcPr>
            <w:tcW w:w="1608"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5.86E+08</w:t>
            </w:r>
          </w:p>
        </w:tc>
        <w:tc>
          <w:tcPr>
            <w:tcW w:w="1607"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1.00E+00</w:t>
            </w:r>
          </w:p>
        </w:tc>
        <w:tc>
          <w:tcPr>
            <w:tcW w:w="1606"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4.70E+01</w:t>
            </w:r>
          </w:p>
        </w:tc>
        <w:tc>
          <w:tcPr>
            <w:tcW w:w="1607"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4.27E+10</w:t>
            </w:r>
          </w:p>
        </w:tc>
      </w:tr>
      <w:tr>
        <w:trPr>
          <w:trHeight w:val="948" w:hRule="atLeast"/>
        </w:trPr>
        <w:tc>
          <w:tcPr>
            <w:tcW w:w="1607"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Scope One Emissions (</w:t>
            </w:r>
            <w:r>
              <w:rPr>
                <w:b/>
                <w:bCs/>
                <w:i w:val="false"/>
                <w:iCs w:val="false"/>
                <w:strike w:val="false"/>
                <w:dstrike w:val="false"/>
                <w:outline w:val="false"/>
                <w:shadow w:val="false"/>
                <w:color w:val="000000"/>
                <w:sz w:val="24"/>
                <w:szCs w:val="24"/>
                <w:u w:val="none"/>
                <w:lang w:eastAsia="en-GB"/>
              </w:rPr>
              <w:t>tCO2e</w:t>
            </w:r>
            <w:r>
              <w:rPr>
                <w:b/>
                <w:bCs/>
                <w:i w:val="false"/>
                <w:iCs w:val="false"/>
                <w:strike w:val="false"/>
                <w:dstrike w:val="false"/>
                <w:outline w:val="false"/>
                <w:shadow w:val="false"/>
                <w:color w:val="000000"/>
                <w:sz w:val="24"/>
                <w:szCs w:val="24"/>
                <w:u w:val="none"/>
              </w:rPr>
              <w:t>)</w:t>
            </w:r>
          </w:p>
        </w:tc>
        <w:tc>
          <w:tcPr>
            <w:tcW w:w="1606"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4.35E+04</w:t>
            </w:r>
          </w:p>
        </w:tc>
        <w:tc>
          <w:tcPr>
            <w:tcW w:w="1608"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8.72E+04</w:t>
            </w:r>
          </w:p>
        </w:tc>
        <w:tc>
          <w:tcPr>
            <w:tcW w:w="1607"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6.76E+00</w:t>
            </w:r>
          </w:p>
        </w:tc>
        <w:tc>
          <w:tcPr>
            <w:tcW w:w="1606"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1.49E+04</w:t>
            </w:r>
          </w:p>
        </w:tc>
        <w:tc>
          <w:tcPr>
            <w:tcW w:w="1607"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2.11E+06</w:t>
            </w:r>
          </w:p>
        </w:tc>
      </w:tr>
      <w:tr>
        <w:trPr>
          <w:trHeight w:val="948" w:hRule="atLeast"/>
        </w:trPr>
        <w:tc>
          <w:tcPr>
            <w:tcW w:w="1607"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Grapes Harvested (tonnes)</w:t>
            </w:r>
          </w:p>
        </w:tc>
        <w:tc>
          <w:tcPr>
            <w:tcW w:w="1606"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8.35E+02</w:t>
            </w:r>
          </w:p>
        </w:tc>
        <w:tc>
          <w:tcPr>
            <w:tcW w:w="1608"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2.28E+03</w:t>
            </w:r>
          </w:p>
        </w:tc>
        <w:tc>
          <w:tcPr>
            <w:tcW w:w="1607"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1.00E+00</w:t>
            </w:r>
          </w:p>
        </w:tc>
        <w:tc>
          <w:tcPr>
            <w:tcW w:w="1606"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2.19E+02</w:t>
            </w:r>
          </w:p>
        </w:tc>
        <w:tc>
          <w:tcPr>
            <w:tcW w:w="1607"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7.23E+04</w:t>
            </w:r>
          </w:p>
        </w:tc>
      </w:tr>
      <w:tr>
        <w:trPr>
          <w:trHeight w:val="948" w:hRule="atLeast"/>
        </w:trPr>
        <w:tc>
          <w:tcPr>
            <w:tcW w:w="1607"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Area Harvested (M2)</w:t>
            </w:r>
          </w:p>
        </w:tc>
        <w:tc>
          <w:tcPr>
            <w:tcW w:w="1606"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7.14E+04</w:t>
            </w:r>
          </w:p>
        </w:tc>
        <w:tc>
          <w:tcPr>
            <w:tcW w:w="1608"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1.40E+05</w:t>
            </w:r>
          </w:p>
        </w:tc>
        <w:tc>
          <w:tcPr>
            <w:tcW w:w="1607"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2.90E+02</w:t>
            </w:r>
          </w:p>
        </w:tc>
        <w:tc>
          <w:tcPr>
            <w:tcW w:w="1606"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2.72E+04</w:t>
            </w:r>
          </w:p>
        </w:tc>
        <w:tc>
          <w:tcPr>
            <w:tcW w:w="1607"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2.44e+06</w:t>
            </w:r>
          </w:p>
        </w:tc>
      </w:tr>
      <w:tr>
        <w:trPr>
          <w:trHeight w:val="948" w:hRule="atLeast"/>
        </w:trPr>
        <w:tc>
          <w:tcPr>
            <w:tcW w:w="1607"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Average Per Tonne ($)</w:t>
            </w:r>
          </w:p>
        </w:tc>
        <w:tc>
          <w:tcPr>
            <w:tcW w:w="1606"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1.45E+03</w:t>
            </w:r>
          </w:p>
        </w:tc>
        <w:tc>
          <w:tcPr>
            <w:tcW w:w="1608"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9.32E+02</w:t>
            </w:r>
          </w:p>
        </w:tc>
        <w:tc>
          <w:tcPr>
            <w:tcW w:w="1607"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1.60E+02</w:t>
            </w:r>
          </w:p>
        </w:tc>
        <w:tc>
          <w:tcPr>
            <w:tcW w:w="1606"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1.37E+03</w:t>
            </w:r>
          </w:p>
        </w:tc>
        <w:tc>
          <w:tcPr>
            <w:tcW w:w="1607"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2.60E+04</w:t>
            </w:r>
          </w:p>
        </w:tc>
      </w:tr>
      <w:tr>
        <w:trPr>
          <w:trHeight w:val="948" w:hRule="atLeast"/>
        </w:trPr>
        <w:tc>
          <w:tcPr>
            <w:tcW w:w="1607"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Grapes Harvested (tonnes/M2)</w:t>
            </w:r>
          </w:p>
        </w:tc>
        <w:tc>
          <w:tcPr>
            <w:tcW w:w="1606"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1.04E-02</w:t>
            </w:r>
          </w:p>
        </w:tc>
        <w:tc>
          <w:tcPr>
            <w:tcW w:w="1608"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8.27E-03</w:t>
            </w:r>
          </w:p>
        </w:tc>
        <w:tc>
          <w:tcPr>
            <w:tcW w:w="1607"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4.00E-05</w:t>
            </w:r>
          </w:p>
        </w:tc>
        <w:tc>
          <w:tcPr>
            <w:tcW w:w="1606"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7.53E-03</w:t>
            </w:r>
          </w:p>
        </w:tc>
        <w:tc>
          <w:tcPr>
            <w:tcW w:w="1607"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8.63E-02</w:t>
            </w:r>
          </w:p>
        </w:tc>
      </w:tr>
      <w:tr>
        <w:trPr>
          <w:trHeight w:val="948" w:hRule="atLeast"/>
        </w:trPr>
        <w:tc>
          <w:tcPr>
            <w:tcW w:w="1607"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Average Per Tonne ($/m2)</w:t>
            </w:r>
          </w:p>
        </w:tc>
        <w:tc>
          <w:tcPr>
            <w:tcW w:w="1606"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1.12E-01</w:t>
            </w:r>
          </w:p>
        </w:tc>
        <w:tc>
          <w:tcPr>
            <w:tcW w:w="1608"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2.30E-01</w:t>
            </w:r>
          </w:p>
        </w:tc>
        <w:tc>
          <w:tcPr>
            <w:tcW w:w="1607"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1.75E-04</w:t>
            </w:r>
          </w:p>
        </w:tc>
        <w:tc>
          <w:tcPr>
            <w:tcW w:w="1606"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4.08E-02</w:t>
            </w:r>
          </w:p>
        </w:tc>
        <w:tc>
          <w:tcPr>
            <w:tcW w:w="1607"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5.92E+00</w:t>
            </w:r>
          </w:p>
        </w:tc>
      </w:tr>
    </w:tbl>
    <w:p>
      <w:pPr>
        <w:pStyle w:val="ListParagraph"/>
        <w:ind w:start="0" w:end="0" w:hanging="0"/>
        <w:rPr>
          <w:rFonts w:ascii="Calibri" w:hAnsi="Calibri" w:eastAsia="Times New Roman" w:cs="Calibri"/>
          <w:color w:val="000000"/>
          <w:sz w:val="22"/>
          <w:szCs w:val="22"/>
          <w:lang w:eastAsia="en-GB"/>
        </w:rPr>
      </w:pPr>
      <w:r>
        <w:rPr>
          <w:rFonts w:eastAsia="Times New Roman" w:cs="Calibri" w:ascii="Calibri" w:hAnsi="Calibri"/>
          <w:color w:val="000000"/>
          <w:sz w:val="22"/>
          <w:szCs w:val="22"/>
          <w:lang w:eastAsia="en-GB"/>
        </w:rPr>
      </w:r>
    </w:p>
    <w:p>
      <w:pPr>
        <w:pStyle w:val="ListParagraph"/>
        <w:ind w:start="0" w:end="0" w:hanging="0"/>
        <w:rPr>
          <w:rFonts w:ascii="Calibri" w:hAnsi="Calibri" w:eastAsia="Times New Roman" w:cs="Calibri"/>
          <w:b/>
          <w:b/>
          <w:bCs/>
          <w:color w:val="000000"/>
          <w:sz w:val="22"/>
          <w:szCs w:val="22"/>
          <w:u w:val="none"/>
          <w:lang w:eastAsia="en-GB"/>
        </w:rPr>
      </w:pPr>
      <w:r>
        <w:rPr>
          <w:rFonts w:eastAsia="Times New Roman" w:cs="Calibri" w:ascii="Calibri" w:hAnsi="Calibri"/>
          <w:b/>
          <w:bCs/>
          <w:color w:val="000000"/>
          <w:sz w:val="22"/>
          <w:szCs w:val="22"/>
          <w:u w:val="none"/>
          <w:shd w:fill="auto" w:val="clear"/>
          <w:lang w:eastAsia="en-GB"/>
        </w:rPr>
        <w:t>General Linear Models</w:t>
      </w:r>
    </w:p>
    <w:p>
      <w:pPr>
        <w:pStyle w:val="ListParagraph"/>
        <w:ind w:start="0" w:end="0" w:hanging="0"/>
        <w:rPr>
          <w:rFonts w:ascii="Calibri" w:hAnsi="Calibri" w:eastAsia="Times New Roman" w:cs="Calibri"/>
          <w:b w:val="false"/>
          <w:b w:val="false"/>
          <w:bCs w:val="false"/>
          <w:color w:val="000000"/>
          <w:sz w:val="22"/>
          <w:szCs w:val="22"/>
          <w:u w:val="none"/>
          <w:shd w:fill="auto" w:val="clear"/>
          <w:lang w:eastAsia="en-GB"/>
        </w:rPr>
      </w:pPr>
      <w:r>
        <w:rPr>
          <w:rFonts w:eastAsia="Times New Roman" w:cs="Calibri" w:ascii="Calibri" w:hAnsi="Calibri"/>
          <w:b w:val="false"/>
          <w:bCs w:val="false"/>
          <w:color w:val="000000"/>
          <w:sz w:val="22"/>
          <w:szCs w:val="22"/>
          <w:u w:val="none"/>
          <w:shd w:fill="auto" w:val="clear"/>
          <w:lang w:eastAsia="en-GB"/>
        </w:rPr>
        <w:t>All variables were considered significant contributors to the models, with the exception of scope one emissions in Models 3 and 4 (see Tables 5, 6, 7, 8). The inclusion of scope one emissions was done for comparison and as an interaction with area harvested. Even though scope one emissions was not a significant contributor within models 3 and 4, it was found to be significantly correlated on its own with both model average price per tonne, especially when it was scaled by area (see table 2). However, noting that irrigation systems still use fuel and that the application of water is a significant variable in every model, scope one emissions’ lack of significance and contribution given its F-statistics (See Tables 7 and 8), indicated that it is possible other vineyard activities requiring fuel are not as determining factors for a vineyards grape quality.</w:t>
      </w:r>
    </w:p>
    <w:p>
      <w:pPr>
        <w:pStyle w:val="ListParagraph"/>
        <w:ind w:start="0" w:end="0" w:hanging="0"/>
        <w:rPr>
          <w:rFonts w:ascii="Calibri" w:hAnsi="Calibri" w:eastAsia="Times New Roman" w:cs="Calibri"/>
          <w:b w:val="false"/>
          <w:b w:val="false"/>
          <w:bCs w:val="false"/>
          <w:color w:val="000000"/>
          <w:sz w:val="22"/>
          <w:szCs w:val="22"/>
          <w:u w:val="none"/>
          <w:shd w:fill="auto" w:val="clear"/>
          <w:lang w:eastAsia="en-GB"/>
        </w:rPr>
      </w:pPr>
      <w:r>
        <w:rPr>
          <w:rFonts w:eastAsia="Times New Roman" w:cs="Calibri" w:ascii="Calibri" w:hAnsi="Calibri"/>
          <w:b w:val="false"/>
          <w:bCs w:val="false"/>
          <w:color w:val="000000"/>
          <w:sz w:val="22"/>
          <w:szCs w:val="22"/>
          <w:u w:val="none"/>
          <w:shd w:fill="auto" w:val="clear"/>
          <w:lang w:eastAsia="en-GB"/>
        </w:rPr>
      </w:r>
    </w:p>
    <w:p>
      <w:pPr>
        <w:pStyle w:val="ListParagraph"/>
        <w:ind w:start="0" w:end="0" w:hanging="0"/>
        <w:rPr>
          <w:rFonts w:ascii="Calibri" w:hAnsi="Calibri" w:eastAsia="Times New Roman" w:cs="Calibri"/>
          <w:b w:val="false"/>
          <w:b w:val="false"/>
          <w:bCs w:val="false"/>
          <w:color w:val="000000"/>
          <w:sz w:val="22"/>
          <w:szCs w:val="22"/>
          <w:u w:val="none"/>
          <w:shd w:fill="auto" w:val="clear"/>
          <w:lang w:eastAsia="en-GB"/>
        </w:rPr>
      </w:pPr>
      <w:r>
        <w:rPr>
          <w:rFonts w:eastAsia="Times New Roman" w:cs="Calibri" w:ascii="Calibri" w:hAnsi="Calibri"/>
          <w:b w:val="false"/>
          <w:bCs w:val="false"/>
          <w:color w:val="000000"/>
          <w:sz w:val="22"/>
          <w:szCs w:val="22"/>
          <w:u w:val="none"/>
          <w:shd w:fill="auto" w:val="clear"/>
          <w:lang w:eastAsia="en-GB"/>
        </w:rPr>
        <w:t xml:space="preserve">The comparison of models performance shows that the average price per tonne of grapes describes a great deal of the relationship between predictor and response when comparing model 2 to model 4 (see Table 10). This relationship between yield and average price was also illustrated in the correlation values between them (see Table 2). </w:t>
      </w:r>
    </w:p>
    <w:p>
      <w:pPr>
        <w:pStyle w:val="ListParagraph"/>
        <w:ind w:start="0" w:end="0" w:hanging="0"/>
        <w:rPr>
          <w:rFonts w:ascii="Calibri" w:hAnsi="Calibri" w:eastAsia="Times New Roman" w:cs="Calibri"/>
          <w:b w:val="false"/>
          <w:b w:val="false"/>
          <w:bCs w:val="false"/>
          <w:color w:val="000000"/>
          <w:sz w:val="22"/>
          <w:szCs w:val="22"/>
          <w:u w:val="single"/>
          <w:shd w:fill="auto" w:val="clear"/>
          <w:lang w:eastAsia="en-GB"/>
        </w:rPr>
      </w:pPr>
      <w:r>
        <w:rPr>
          <w:rFonts w:eastAsia="Times New Roman" w:cs="Calibri" w:ascii="Calibri" w:hAnsi="Calibri"/>
          <w:b w:val="false"/>
          <w:bCs w:val="false"/>
          <w:color w:val="000000"/>
          <w:sz w:val="22"/>
          <w:szCs w:val="22"/>
          <w:u w:val="single"/>
          <w:shd w:fill="auto" w:val="clear"/>
          <w:lang w:eastAsia="en-GB"/>
        </w:rPr>
      </w:r>
      <w:r>
        <w:br w:type="page"/>
      </w:r>
    </w:p>
    <w:p>
      <w:pPr>
        <w:pStyle w:val="ListParagraph"/>
        <w:ind w:start="0" w:end="0" w:hanging="0"/>
        <w:rPr>
          <w:rFonts w:ascii="Calibri" w:hAnsi="Calibri" w:eastAsia="Times New Roman" w:cs="Calibri"/>
          <w:b w:val="false"/>
          <w:b w:val="false"/>
          <w:bCs w:val="false"/>
          <w:color w:val="000000"/>
          <w:sz w:val="22"/>
          <w:szCs w:val="22"/>
          <w:u w:val="single"/>
          <w:shd w:fill="auto" w:val="clear"/>
          <w:lang w:eastAsia="en-GB"/>
        </w:rPr>
      </w:pPr>
      <w:r>
        <w:rPr>
          <w:rFonts w:eastAsia="Times New Roman" w:cs="Calibri" w:ascii="Calibri" w:hAnsi="Calibri"/>
          <w:b w:val="false"/>
          <w:bCs w:val="false"/>
          <w:color w:val="000000"/>
          <w:sz w:val="22"/>
          <w:szCs w:val="22"/>
          <w:u w:val="single"/>
          <w:shd w:fill="auto" w:val="clear"/>
          <w:lang w:eastAsia="en-GB"/>
        </w:rPr>
      </w:r>
    </w:p>
    <w:p>
      <w:pPr>
        <w:pStyle w:val="ListParagraph"/>
        <w:ind w:start="0" w:end="0" w:hanging="0"/>
        <w:rPr/>
      </w:pPr>
      <w:r>
        <w:rPr>
          <w:rFonts w:eastAsia="Times New Roman" w:cs="Calibri" w:ascii="Calibri" w:hAnsi="Calibri"/>
          <w:b/>
          <w:bCs/>
          <w:color w:val="000000"/>
          <w:sz w:val="22"/>
          <w:szCs w:val="22"/>
          <w:shd w:fill="auto" w:val="clear"/>
          <w:lang w:eastAsia="en-GB"/>
        </w:rPr>
        <w:t xml:space="preserve">Table 5: </w:t>
      </w:r>
      <w:r>
        <w:rPr>
          <w:rFonts w:eastAsia="Times New Roman" w:cs="Calibri" w:ascii="Calibri" w:hAnsi="Calibri"/>
          <w:b w:val="false"/>
          <w:bCs w:val="false"/>
          <w:color w:val="000000"/>
          <w:sz w:val="22"/>
          <w:szCs w:val="22"/>
          <w:shd w:fill="auto" w:val="clear"/>
          <w:lang w:eastAsia="en-GB"/>
        </w:rPr>
        <w:t>Model 1 ANOVA summarising variable significance at the .5 level.</w:t>
      </w:r>
    </w:p>
    <w:tbl>
      <w:tblPr>
        <w:tblW w:w="9638" w:type="dxa"/>
        <w:jc w:val="start"/>
        <w:tblInd w:w="55" w:type="dxa"/>
        <w:tblLayout w:type="fixed"/>
        <w:tblCellMar>
          <w:top w:w="55" w:type="dxa"/>
          <w:start w:w="55" w:type="dxa"/>
          <w:bottom w:w="55" w:type="dxa"/>
          <w:end w:w="55" w:type="dxa"/>
        </w:tblCellMar>
      </w:tblPr>
      <w:tblGrid>
        <w:gridCol w:w="2319"/>
        <w:gridCol w:w="570"/>
        <w:gridCol w:w="1346"/>
        <w:gridCol w:w="1465"/>
        <w:gridCol w:w="1524"/>
        <w:gridCol w:w="2413"/>
      </w:tblGrid>
      <w:tr>
        <w:trPr>
          <w:trHeight w:val="396" w:hRule="atLeast"/>
        </w:trPr>
        <w:tc>
          <w:tcPr>
            <w:tcW w:w="2319" w:type="dxa"/>
            <w:tcBorders>
              <w:top w:val="single" w:sz="4" w:space="0" w:color="000000"/>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Variable</w:t>
            </w:r>
          </w:p>
        </w:tc>
        <w:tc>
          <w:tcPr>
            <w:tcW w:w="570" w:type="dxa"/>
            <w:tcBorders>
              <w:top w:val="single" w:sz="4" w:space="0" w:color="000000"/>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Df</w:t>
            </w:r>
          </w:p>
        </w:tc>
        <w:tc>
          <w:tcPr>
            <w:tcW w:w="1346" w:type="dxa"/>
            <w:tcBorders>
              <w:top w:val="single" w:sz="4" w:space="0" w:color="000000"/>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Sum Sq</w:t>
            </w:r>
          </w:p>
        </w:tc>
        <w:tc>
          <w:tcPr>
            <w:tcW w:w="1465" w:type="dxa"/>
            <w:tcBorders>
              <w:top w:val="single" w:sz="4" w:space="0" w:color="000000"/>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Mean Sq</w:t>
            </w:r>
          </w:p>
        </w:tc>
        <w:tc>
          <w:tcPr>
            <w:tcW w:w="1524" w:type="dxa"/>
            <w:tcBorders>
              <w:top w:val="single" w:sz="4" w:space="0" w:color="000000"/>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F Value</w:t>
            </w:r>
          </w:p>
        </w:tc>
        <w:tc>
          <w:tcPr>
            <w:tcW w:w="2413" w:type="dxa"/>
            <w:tcBorders>
              <w:top w:val="single" w:sz="4" w:space="0" w:color="000000"/>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Pr(&gt;F)</w:t>
            </w:r>
          </w:p>
        </w:tc>
      </w:tr>
      <w:tr>
        <w:trPr>
          <w:trHeight w:val="396" w:hRule="atLeast"/>
        </w:trPr>
        <w:tc>
          <w:tcPr>
            <w:tcW w:w="2319"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Year</w:t>
            </w:r>
          </w:p>
        </w:tc>
        <w:tc>
          <w:tcPr>
            <w:tcW w:w="570"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9</w:t>
            </w:r>
          </w:p>
        </w:tc>
        <w:tc>
          <w:tcPr>
            <w:tcW w:w="1346"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7.060E+01</w:t>
            </w:r>
          </w:p>
        </w:tc>
        <w:tc>
          <w:tcPr>
            <w:tcW w:w="1465"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7.800E+00</w:t>
            </w:r>
          </w:p>
        </w:tc>
        <w:tc>
          <w:tcPr>
            <w:tcW w:w="152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8.353E+01</w:t>
            </w:r>
          </w:p>
        </w:tc>
        <w:tc>
          <w:tcPr>
            <w:tcW w:w="2413"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&lt; 2.20E-16 ***</w:t>
            </w:r>
          </w:p>
        </w:tc>
      </w:tr>
      <w:tr>
        <w:trPr>
          <w:trHeight w:val="396" w:hRule="atLeast"/>
        </w:trPr>
        <w:tc>
          <w:tcPr>
            <w:tcW w:w="2319"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GI Region</w:t>
            </w:r>
          </w:p>
        </w:tc>
        <w:tc>
          <w:tcPr>
            <w:tcW w:w="570"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54</w:t>
            </w:r>
          </w:p>
        </w:tc>
        <w:tc>
          <w:tcPr>
            <w:tcW w:w="1346"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1.507E+03</w:t>
            </w:r>
          </w:p>
        </w:tc>
        <w:tc>
          <w:tcPr>
            <w:tcW w:w="1465"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2.790E+01</w:t>
            </w:r>
          </w:p>
        </w:tc>
        <w:tc>
          <w:tcPr>
            <w:tcW w:w="152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2.972E+02</w:t>
            </w:r>
          </w:p>
        </w:tc>
        <w:tc>
          <w:tcPr>
            <w:tcW w:w="2413"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&lt; 2.20E-16 ***</w:t>
            </w:r>
          </w:p>
        </w:tc>
      </w:tr>
      <w:tr>
        <w:trPr>
          <w:trHeight w:val="396" w:hRule="atLeast"/>
        </w:trPr>
        <w:tc>
          <w:tcPr>
            <w:tcW w:w="2319"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Area Harvested</w:t>
            </w:r>
          </w:p>
        </w:tc>
        <w:tc>
          <w:tcPr>
            <w:tcW w:w="570"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1346"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3.211E+03</w:t>
            </w:r>
          </w:p>
        </w:tc>
        <w:tc>
          <w:tcPr>
            <w:tcW w:w="1465"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3.211E+03</w:t>
            </w:r>
          </w:p>
        </w:tc>
        <w:tc>
          <w:tcPr>
            <w:tcW w:w="152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3.419E+04</w:t>
            </w:r>
          </w:p>
        </w:tc>
        <w:tc>
          <w:tcPr>
            <w:tcW w:w="2413"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&lt; 2.20E-16 ***</w:t>
            </w:r>
          </w:p>
        </w:tc>
      </w:tr>
      <w:tr>
        <w:trPr>
          <w:trHeight w:val="396" w:hRule="atLeast"/>
        </w:trPr>
        <w:tc>
          <w:tcPr>
            <w:tcW w:w="2319"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Water Used</w:t>
            </w:r>
          </w:p>
        </w:tc>
        <w:tc>
          <w:tcPr>
            <w:tcW w:w="570"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1346"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1.040E+01</w:t>
            </w:r>
          </w:p>
        </w:tc>
        <w:tc>
          <w:tcPr>
            <w:tcW w:w="1465"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1.040E+01</w:t>
            </w:r>
          </w:p>
        </w:tc>
        <w:tc>
          <w:tcPr>
            <w:tcW w:w="152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1.103E+02</w:t>
            </w:r>
          </w:p>
        </w:tc>
        <w:tc>
          <w:tcPr>
            <w:tcW w:w="2413"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&lt; 2.20E-16 ***</w:t>
            </w:r>
          </w:p>
        </w:tc>
      </w:tr>
      <w:tr>
        <w:trPr>
          <w:trHeight w:val="396" w:hRule="atLeast"/>
        </w:trPr>
        <w:tc>
          <w:tcPr>
            <w:tcW w:w="2319"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Scope One Emissions</w:t>
            </w:r>
          </w:p>
        </w:tc>
        <w:tc>
          <w:tcPr>
            <w:tcW w:w="570"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1346"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6.600E+00</w:t>
            </w:r>
          </w:p>
        </w:tc>
        <w:tc>
          <w:tcPr>
            <w:tcW w:w="1465"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6.600E+00</w:t>
            </w:r>
          </w:p>
        </w:tc>
        <w:tc>
          <w:tcPr>
            <w:tcW w:w="152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7.056E+01</w:t>
            </w:r>
          </w:p>
        </w:tc>
        <w:tc>
          <w:tcPr>
            <w:tcW w:w="2413"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&lt; 2.20E-16 ***</w:t>
            </w:r>
          </w:p>
        </w:tc>
      </w:tr>
    </w:tbl>
    <w:p>
      <w:pPr>
        <w:pStyle w:val="Normal"/>
        <w:ind w:start="0" w:end="0" w:hanging="0"/>
        <w:rPr>
          <w:rFonts w:ascii="Calibri" w:hAnsi="Calibri" w:eastAsia="Times New Roman" w:cs="Calibri"/>
          <w:b/>
          <w:b/>
          <w:bCs/>
          <w:color w:val="000000"/>
          <w:sz w:val="22"/>
          <w:szCs w:val="22"/>
          <w:shd w:fill="auto" w:val="clear"/>
          <w:lang w:eastAsia="en-GB"/>
        </w:rPr>
      </w:pPr>
      <w:r>
        <w:rPr>
          <w:rFonts w:eastAsia="Times New Roman" w:cs="Calibri" w:ascii="Calibri" w:hAnsi="Calibri"/>
          <w:b/>
          <w:bCs/>
          <w:color w:val="000000"/>
          <w:sz w:val="22"/>
          <w:szCs w:val="22"/>
          <w:shd w:fill="auto" w:val="clear"/>
          <w:lang w:eastAsia="en-GB"/>
        </w:rPr>
      </w:r>
    </w:p>
    <w:p>
      <w:pPr>
        <w:pStyle w:val="Normal"/>
        <w:ind w:start="0" w:end="0" w:hanging="0"/>
        <w:rPr>
          <w:rFonts w:ascii="Calibri" w:hAnsi="Calibri" w:eastAsia="Times New Roman" w:cs="Calibri"/>
          <w:color w:val="000000"/>
          <w:sz w:val="22"/>
          <w:szCs w:val="22"/>
          <w:lang w:eastAsia="en-GB"/>
        </w:rPr>
      </w:pPr>
      <w:r>
        <w:rPr>
          <w:rFonts w:eastAsia="Times New Roman" w:cs="Calibri" w:ascii="Calibri" w:hAnsi="Calibri"/>
          <w:b/>
          <w:bCs/>
          <w:color w:val="000000"/>
          <w:sz w:val="22"/>
          <w:szCs w:val="22"/>
          <w:shd w:fill="auto" w:val="clear"/>
          <w:lang w:eastAsia="en-GB"/>
        </w:rPr>
        <w:t xml:space="preserve">Table 6: </w:t>
      </w:r>
      <w:r>
        <w:rPr>
          <w:rFonts w:eastAsia="Times New Roman" w:cs="Calibri" w:ascii="Calibri" w:hAnsi="Calibri"/>
          <w:b w:val="false"/>
          <w:bCs w:val="false"/>
          <w:color w:val="000000"/>
          <w:sz w:val="22"/>
          <w:szCs w:val="22"/>
          <w:shd w:fill="auto" w:val="clear"/>
          <w:lang w:eastAsia="en-GB"/>
        </w:rPr>
        <w:t>Model 2 ANOVA summarising variable significance at the .5 level.</w:t>
      </w:r>
    </w:p>
    <w:tbl>
      <w:tblPr>
        <w:tblW w:w="9698" w:type="dxa"/>
        <w:jc w:val="start"/>
        <w:tblInd w:w="-5" w:type="dxa"/>
        <w:tblLayout w:type="fixed"/>
        <w:tblCellMar>
          <w:top w:w="55" w:type="dxa"/>
          <w:start w:w="55" w:type="dxa"/>
          <w:bottom w:w="55" w:type="dxa"/>
          <w:end w:w="55" w:type="dxa"/>
        </w:tblCellMar>
      </w:tblPr>
      <w:tblGrid>
        <w:gridCol w:w="4012"/>
        <w:gridCol w:w="490"/>
        <w:gridCol w:w="1193"/>
        <w:gridCol w:w="1194"/>
        <w:gridCol w:w="1194"/>
        <w:gridCol w:w="1614"/>
      </w:tblGrid>
      <w:tr>
        <w:trPr/>
        <w:tc>
          <w:tcPr>
            <w:tcW w:w="4012" w:type="dxa"/>
            <w:tcBorders>
              <w:top w:val="single" w:sz="4" w:space="0" w:color="000000"/>
              <w:start w:val="single" w:sz="4" w:space="0" w:color="000000"/>
              <w:bottom w:val="single" w:sz="4" w:space="0" w:color="000000"/>
            </w:tcBorders>
            <w:vAlign w:val="center"/>
          </w:tcPr>
          <w:p>
            <w:pPr>
              <w:pStyle w:val="Normal"/>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Variable</w:t>
            </w:r>
          </w:p>
        </w:tc>
        <w:tc>
          <w:tcPr>
            <w:tcW w:w="490" w:type="dxa"/>
            <w:tcBorders>
              <w:top w:val="single" w:sz="4" w:space="0" w:color="000000"/>
              <w:start w:val="single" w:sz="4" w:space="0" w:color="000000"/>
              <w:bottom w:val="single" w:sz="4" w:space="0" w:color="000000"/>
            </w:tcBorders>
            <w:vAlign w:val="center"/>
          </w:tcPr>
          <w:p>
            <w:pPr>
              <w:pStyle w:val="Normal"/>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Df</w:t>
            </w:r>
          </w:p>
        </w:tc>
        <w:tc>
          <w:tcPr>
            <w:tcW w:w="1193" w:type="dxa"/>
            <w:tcBorders>
              <w:top w:val="single" w:sz="4" w:space="0" w:color="000000"/>
              <w:start w:val="single" w:sz="4" w:space="0" w:color="000000"/>
              <w:bottom w:val="single" w:sz="4" w:space="0" w:color="000000"/>
            </w:tcBorders>
            <w:vAlign w:val="center"/>
          </w:tcPr>
          <w:p>
            <w:pPr>
              <w:pStyle w:val="Normal"/>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Sum Sq</w:t>
            </w:r>
          </w:p>
        </w:tc>
        <w:tc>
          <w:tcPr>
            <w:tcW w:w="1194" w:type="dxa"/>
            <w:tcBorders>
              <w:top w:val="single" w:sz="4" w:space="0" w:color="000000"/>
              <w:start w:val="single" w:sz="4" w:space="0" w:color="000000"/>
              <w:bottom w:val="single" w:sz="4" w:space="0" w:color="000000"/>
            </w:tcBorders>
            <w:vAlign w:val="center"/>
          </w:tcPr>
          <w:p>
            <w:pPr>
              <w:pStyle w:val="Normal"/>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Mean Sq</w:t>
            </w:r>
          </w:p>
        </w:tc>
        <w:tc>
          <w:tcPr>
            <w:tcW w:w="1194" w:type="dxa"/>
            <w:tcBorders>
              <w:top w:val="single" w:sz="4" w:space="0" w:color="000000"/>
              <w:start w:val="single" w:sz="4" w:space="0" w:color="000000"/>
              <w:bottom w:val="single" w:sz="4" w:space="0" w:color="000000"/>
            </w:tcBorders>
            <w:vAlign w:val="center"/>
          </w:tcPr>
          <w:p>
            <w:pPr>
              <w:pStyle w:val="Normal"/>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F Value</w:t>
            </w:r>
          </w:p>
        </w:tc>
        <w:tc>
          <w:tcPr>
            <w:tcW w:w="161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Pr(&gt;F)</w:t>
            </w:r>
          </w:p>
        </w:tc>
      </w:tr>
      <w:tr>
        <w:trPr/>
        <w:tc>
          <w:tcPr>
            <w:tcW w:w="4012" w:type="dxa"/>
            <w:tcBorders>
              <w:start w:val="single" w:sz="4" w:space="0" w:color="000000"/>
              <w:bottom w:val="single" w:sz="4" w:space="0" w:color="000000"/>
            </w:tcBorders>
            <w:vAlign w:val="center"/>
          </w:tcPr>
          <w:p>
            <w:pPr>
              <w:pStyle w:val="Normal"/>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Area Harvested</w:t>
            </w:r>
          </w:p>
        </w:tc>
        <w:tc>
          <w:tcPr>
            <w:tcW w:w="490" w:type="dxa"/>
            <w:tcBorders>
              <w:start w:val="single" w:sz="4" w:space="0" w:color="000000"/>
              <w:bottom w:val="single" w:sz="4" w:space="0" w:color="000000"/>
            </w:tcBorders>
            <w:vAlign w:val="center"/>
          </w:tcPr>
          <w:p>
            <w:pPr>
              <w:pStyle w:val="Normal"/>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1193" w:type="dxa"/>
            <w:tcBorders>
              <w:start w:val="single" w:sz="4" w:space="0" w:color="000000"/>
              <w:bottom w:val="single" w:sz="4" w:space="0" w:color="000000"/>
            </w:tcBorders>
            <w:vAlign w:val="center"/>
          </w:tcPr>
          <w:p>
            <w:pPr>
              <w:pStyle w:val="Normal"/>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2.407E+03</w:t>
            </w:r>
          </w:p>
        </w:tc>
        <w:tc>
          <w:tcPr>
            <w:tcW w:w="119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2.407E+03</w:t>
            </w:r>
          </w:p>
        </w:tc>
        <w:tc>
          <w:tcPr>
            <w:tcW w:w="119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1.080E+04</w:t>
            </w:r>
          </w:p>
        </w:tc>
        <w:tc>
          <w:tcPr>
            <w:tcW w:w="1614"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&lt; 2.20E-16 ***</w:t>
            </w:r>
          </w:p>
        </w:tc>
      </w:tr>
      <w:tr>
        <w:trPr/>
        <w:tc>
          <w:tcPr>
            <w:tcW w:w="4012" w:type="dxa"/>
            <w:tcBorders>
              <w:start w:val="single" w:sz="4" w:space="0" w:color="000000"/>
              <w:bottom w:val="single" w:sz="4" w:space="0" w:color="000000"/>
            </w:tcBorders>
            <w:vAlign w:val="center"/>
          </w:tcPr>
          <w:p>
            <w:pPr>
              <w:pStyle w:val="Normal"/>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Scope One Emissions</w:t>
            </w:r>
          </w:p>
        </w:tc>
        <w:tc>
          <w:tcPr>
            <w:tcW w:w="490" w:type="dxa"/>
            <w:tcBorders>
              <w:start w:val="single" w:sz="4" w:space="0" w:color="000000"/>
              <w:bottom w:val="single" w:sz="4" w:space="0" w:color="000000"/>
            </w:tcBorders>
            <w:vAlign w:val="center"/>
          </w:tcPr>
          <w:p>
            <w:pPr>
              <w:pStyle w:val="Normal"/>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1193" w:type="dxa"/>
            <w:tcBorders>
              <w:start w:val="single" w:sz="4" w:space="0" w:color="000000"/>
              <w:bottom w:val="single" w:sz="4" w:space="0" w:color="000000"/>
            </w:tcBorders>
            <w:vAlign w:val="center"/>
          </w:tcPr>
          <w:p>
            <w:pPr>
              <w:pStyle w:val="Normal"/>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3.989E+01</w:t>
            </w:r>
          </w:p>
        </w:tc>
        <w:tc>
          <w:tcPr>
            <w:tcW w:w="119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3.989E+01</w:t>
            </w:r>
          </w:p>
        </w:tc>
        <w:tc>
          <w:tcPr>
            <w:tcW w:w="119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1.789E+02</w:t>
            </w:r>
          </w:p>
        </w:tc>
        <w:tc>
          <w:tcPr>
            <w:tcW w:w="1614"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&lt; 2.20E-16 ***</w:t>
            </w:r>
          </w:p>
        </w:tc>
      </w:tr>
      <w:tr>
        <w:trPr/>
        <w:tc>
          <w:tcPr>
            <w:tcW w:w="4012" w:type="dxa"/>
            <w:tcBorders>
              <w:start w:val="single" w:sz="4" w:space="0" w:color="000000"/>
              <w:bottom w:val="single" w:sz="4" w:space="0" w:color="000000"/>
            </w:tcBorders>
            <w:vAlign w:val="center"/>
          </w:tcPr>
          <w:p>
            <w:pPr>
              <w:pStyle w:val="Normal"/>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Water Used</w:t>
            </w:r>
          </w:p>
        </w:tc>
        <w:tc>
          <w:tcPr>
            <w:tcW w:w="490" w:type="dxa"/>
            <w:tcBorders>
              <w:start w:val="single" w:sz="4" w:space="0" w:color="000000"/>
              <w:bottom w:val="single" w:sz="4" w:space="0" w:color="000000"/>
            </w:tcBorders>
            <w:vAlign w:val="center"/>
          </w:tcPr>
          <w:p>
            <w:pPr>
              <w:pStyle w:val="Normal"/>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1193"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5.500E+02</w:t>
            </w:r>
          </w:p>
        </w:tc>
        <w:tc>
          <w:tcPr>
            <w:tcW w:w="119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5.500E+02</w:t>
            </w:r>
          </w:p>
        </w:tc>
        <w:tc>
          <w:tcPr>
            <w:tcW w:w="119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2.467E+03</w:t>
            </w:r>
          </w:p>
        </w:tc>
        <w:tc>
          <w:tcPr>
            <w:tcW w:w="1614"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&lt; 2.20E-16 ***</w:t>
            </w:r>
          </w:p>
        </w:tc>
      </w:tr>
      <w:tr>
        <w:trPr/>
        <w:tc>
          <w:tcPr>
            <w:tcW w:w="4012" w:type="dxa"/>
            <w:tcBorders>
              <w:start w:val="single" w:sz="4" w:space="0" w:color="000000"/>
              <w:bottom w:val="single" w:sz="4" w:space="0" w:color="000000"/>
            </w:tcBorders>
            <w:vAlign w:val="center"/>
          </w:tcPr>
          <w:p>
            <w:pPr>
              <w:pStyle w:val="Normal"/>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Area Harvested*Scope One Emissions</w:t>
            </w:r>
          </w:p>
        </w:tc>
        <w:tc>
          <w:tcPr>
            <w:tcW w:w="490" w:type="dxa"/>
            <w:tcBorders>
              <w:start w:val="single" w:sz="4" w:space="0" w:color="000000"/>
              <w:bottom w:val="single" w:sz="4" w:space="0" w:color="000000"/>
            </w:tcBorders>
            <w:vAlign w:val="center"/>
          </w:tcPr>
          <w:p>
            <w:pPr>
              <w:pStyle w:val="Normal"/>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1193"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6.921E+01</w:t>
            </w:r>
          </w:p>
        </w:tc>
        <w:tc>
          <w:tcPr>
            <w:tcW w:w="119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6.921E+01</w:t>
            </w:r>
          </w:p>
        </w:tc>
        <w:tc>
          <w:tcPr>
            <w:tcW w:w="119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3.104E+02</w:t>
            </w:r>
          </w:p>
        </w:tc>
        <w:tc>
          <w:tcPr>
            <w:tcW w:w="1614"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&lt; 2.20E-16 ***</w:t>
            </w:r>
          </w:p>
        </w:tc>
      </w:tr>
      <w:tr>
        <w:trPr/>
        <w:tc>
          <w:tcPr>
            <w:tcW w:w="4012" w:type="dxa"/>
            <w:tcBorders>
              <w:start w:val="single" w:sz="4" w:space="0" w:color="000000"/>
              <w:bottom w:val="single" w:sz="4" w:space="0" w:color="000000"/>
            </w:tcBorders>
            <w:vAlign w:val="center"/>
          </w:tcPr>
          <w:p>
            <w:pPr>
              <w:pStyle w:val="Normal"/>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Area Harvested * Water Used</w:t>
            </w:r>
          </w:p>
        </w:tc>
        <w:tc>
          <w:tcPr>
            <w:tcW w:w="490" w:type="dxa"/>
            <w:tcBorders>
              <w:start w:val="single" w:sz="4" w:space="0" w:color="000000"/>
              <w:bottom w:val="single" w:sz="4" w:space="0" w:color="000000"/>
            </w:tcBorders>
            <w:vAlign w:val="center"/>
          </w:tcPr>
          <w:p>
            <w:pPr>
              <w:pStyle w:val="Normal"/>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1193"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1.040E+00</w:t>
            </w:r>
          </w:p>
        </w:tc>
        <w:tc>
          <w:tcPr>
            <w:tcW w:w="119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1.040E+00</w:t>
            </w:r>
          </w:p>
        </w:tc>
        <w:tc>
          <w:tcPr>
            <w:tcW w:w="119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4.686E+00</w:t>
            </w:r>
          </w:p>
        </w:tc>
        <w:tc>
          <w:tcPr>
            <w:tcW w:w="1614" w:type="dxa"/>
            <w:tcBorders>
              <w:start w:val="single" w:sz="4" w:space="0" w:color="000000"/>
              <w:bottom w:val="single" w:sz="4" w:space="0" w:color="000000"/>
              <w:end w:val="single" w:sz="4" w:space="0" w:color="000000"/>
            </w:tcBorders>
            <w:vAlign w:val="center"/>
          </w:tcPr>
          <w:p>
            <w:pPr>
              <w:pStyle w:val="Normal"/>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3.045E-02 **</w:t>
            </w:r>
          </w:p>
        </w:tc>
      </w:tr>
      <w:tr>
        <w:trPr/>
        <w:tc>
          <w:tcPr>
            <w:tcW w:w="4012" w:type="dxa"/>
            <w:tcBorders>
              <w:start w:val="single" w:sz="4" w:space="0" w:color="000000"/>
              <w:bottom w:val="single" w:sz="4" w:space="0" w:color="000000"/>
            </w:tcBorders>
            <w:vAlign w:val="center"/>
          </w:tcPr>
          <w:p>
            <w:pPr>
              <w:pStyle w:val="Normal"/>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Year * GI Region</w:t>
            </w:r>
          </w:p>
        </w:tc>
        <w:tc>
          <w:tcPr>
            <w:tcW w:w="490" w:type="dxa"/>
            <w:tcBorders>
              <w:start w:val="single" w:sz="4" w:space="0" w:color="000000"/>
              <w:bottom w:val="single" w:sz="4" w:space="0" w:color="000000"/>
            </w:tcBorders>
            <w:vAlign w:val="center"/>
          </w:tcPr>
          <w:p>
            <w:pPr>
              <w:pStyle w:val="Normal"/>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424</w:t>
            </w:r>
          </w:p>
        </w:tc>
        <w:tc>
          <w:tcPr>
            <w:tcW w:w="1193"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1.144E+03</w:t>
            </w:r>
          </w:p>
        </w:tc>
        <w:tc>
          <w:tcPr>
            <w:tcW w:w="119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2.700E+00</w:t>
            </w:r>
          </w:p>
        </w:tc>
        <w:tc>
          <w:tcPr>
            <w:tcW w:w="1194"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1.210E+01</w:t>
            </w:r>
          </w:p>
        </w:tc>
        <w:tc>
          <w:tcPr>
            <w:tcW w:w="1614"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&lt; 2.20E-16 ***</w:t>
            </w:r>
          </w:p>
        </w:tc>
      </w:tr>
    </w:tbl>
    <w:p>
      <w:pPr>
        <w:pStyle w:val="Normal"/>
        <w:rPr/>
      </w:pPr>
      <w:r>
        <w:rPr/>
      </w:r>
    </w:p>
    <w:p>
      <w:pPr>
        <w:pStyle w:val="Normal"/>
        <w:ind w:start="0" w:end="0" w:hanging="0"/>
        <w:rPr>
          <w:rFonts w:ascii="Calibri" w:hAnsi="Calibri" w:eastAsia="Times New Roman" w:cs="Calibri"/>
          <w:color w:val="000000"/>
          <w:sz w:val="22"/>
          <w:szCs w:val="22"/>
          <w:lang w:eastAsia="en-GB"/>
        </w:rPr>
      </w:pPr>
      <w:r>
        <w:rPr>
          <w:rFonts w:eastAsia="Times New Roman" w:cs="Calibri" w:ascii="Calibri" w:hAnsi="Calibri"/>
          <w:b/>
          <w:bCs/>
          <w:color w:val="000000"/>
          <w:sz w:val="22"/>
          <w:szCs w:val="22"/>
          <w:shd w:fill="auto" w:val="clear"/>
          <w:lang w:eastAsia="en-GB"/>
        </w:rPr>
        <w:t xml:space="preserve">Table 7: </w:t>
      </w:r>
      <w:r>
        <w:rPr>
          <w:rFonts w:eastAsia="Times New Roman" w:cs="Calibri" w:ascii="Calibri" w:hAnsi="Calibri"/>
          <w:b w:val="false"/>
          <w:bCs w:val="false"/>
          <w:color w:val="000000"/>
          <w:sz w:val="22"/>
          <w:szCs w:val="22"/>
          <w:shd w:fill="auto" w:val="clear"/>
          <w:lang w:eastAsia="en-GB"/>
        </w:rPr>
        <w:t>Model 3 ANOVA summarising variable significance at the .5 level.</w:t>
      </w:r>
    </w:p>
    <w:tbl>
      <w:tblPr>
        <w:tblW w:w="9615" w:type="dxa"/>
        <w:jc w:val="start"/>
        <w:tblInd w:w="-5" w:type="dxa"/>
        <w:tblLayout w:type="fixed"/>
        <w:tblCellMar>
          <w:top w:w="55" w:type="dxa"/>
          <w:start w:w="55" w:type="dxa"/>
          <w:bottom w:w="55" w:type="dxa"/>
          <w:end w:w="55" w:type="dxa"/>
        </w:tblCellMar>
      </w:tblPr>
      <w:tblGrid>
        <w:gridCol w:w="2804"/>
        <w:gridCol w:w="467"/>
        <w:gridCol w:w="1452"/>
        <w:gridCol w:w="1452"/>
        <w:gridCol w:w="1452"/>
        <w:gridCol w:w="1987"/>
      </w:tblGrid>
      <w:tr>
        <w:trPr/>
        <w:tc>
          <w:tcPr>
            <w:tcW w:w="2804" w:type="dxa"/>
            <w:tcBorders>
              <w:top w:val="single" w:sz="4" w:space="0" w:color="000000"/>
              <w:start w:val="single" w:sz="4" w:space="0" w:color="000000"/>
              <w:bottom w:val="single" w:sz="4" w:space="0" w:color="000000"/>
            </w:tcBorders>
            <w:vAlign w:val="bottom"/>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Variable</w:t>
            </w:r>
          </w:p>
        </w:tc>
        <w:tc>
          <w:tcPr>
            <w:tcW w:w="467" w:type="dxa"/>
            <w:tcBorders>
              <w:top w:val="single" w:sz="4" w:space="0" w:color="000000"/>
              <w:start w:val="single" w:sz="4" w:space="0" w:color="000000"/>
              <w:bottom w:val="single" w:sz="4" w:space="0" w:color="000000"/>
            </w:tcBorders>
            <w:vAlign w:val="bottom"/>
          </w:tcPr>
          <w:p>
            <w:pPr>
              <w:pStyle w:val="Normal"/>
              <w:widowControl w:val="false"/>
              <w:tabs>
                <w:tab w:val="clear" w:pos="709"/>
              </w:tabs>
              <w:jc w:val="star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Df</w:t>
            </w:r>
          </w:p>
        </w:tc>
        <w:tc>
          <w:tcPr>
            <w:tcW w:w="1452" w:type="dxa"/>
            <w:tcBorders>
              <w:top w:val="single" w:sz="4" w:space="0" w:color="000000"/>
              <w:start w:val="single" w:sz="4" w:space="0" w:color="000000"/>
              <w:bottom w:val="single" w:sz="4" w:space="0" w:color="000000"/>
            </w:tcBorders>
            <w:vAlign w:val="bottom"/>
          </w:tcPr>
          <w:p>
            <w:pPr>
              <w:pStyle w:val="Normal"/>
              <w:widowControl w:val="false"/>
              <w:tabs>
                <w:tab w:val="clear" w:pos="709"/>
              </w:tabs>
              <w:jc w:val="star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Sum Sq</w:t>
            </w:r>
          </w:p>
        </w:tc>
        <w:tc>
          <w:tcPr>
            <w:tcW w:w="1452" w:type="dxa"/>
            <w:tcBorders>
              <w:top w:val="single" w:sz="4" w:space="0" w:color="000000"/>
              <w:start w:val="single" w:sz="4" w:space="0" w:color="000000"/>
              <w:bottom w:val="single" w:sz="4" w:space="0" w:color="000000"/>
            </w:tcBorders>
            <w:vAlign w:val="bottom"/>
          </w:tcPr>
          <w:p>
            <w:pPr>
              <w:pStyle w:val="Normal"/>
              <w:widowControl w:val="false"/>
              <w:tabs>
                <w:tab w:val="clear" w:pos="709"/>
              </w:tabs>
              <w:jc w:val="star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Mean Sq</w:t>
            </w:r>
          </w:p>
        </w:tc>
        <w:tc>
          <w:tcPr>
            <w:tcW w:w="1452" w:type="dxa"/>
            <w:tcBorders>
              <w:top w:val="single" w:sz="4" w:space="0" w:color="000000"/>
              <w:start w:val="single" w:sz="4" w:space="0" w:color="000000"/>
              <w:bottom w:val="single" w:sz="4" w:space="0" w:color="000000"/>
            </w:tcBorders>
            <w:vAlign w:val="bottom"/>
          </w:tcPr>
          <w:p>
            <w:pPr>
              <w:pStyle w:val="Normal"/>
              <w:widowControl w:val="false"/>
              <w:tabs>
                <w:tab w:val="clear" w:pos="709"/>
              </w:tabs>
              <w:jc w:val="star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F Value</w:t>
            </w:r>
          </w:p>
        </w:tc>
        <w:tc>
          <w:tcPr>
            <w:tcW w:w="1987" w:type="dxa"/>
            <w:tcBorders>
              <w:top w:val="single" w:sz="4" w:space="0" w:color="000000"/>
              <w:start w:val="single" w:sz="4" w:space="0" w:color="000000"/>
              <w:bottom w:val="single" w:sz="4" w:space="0" w:color="000000"/>
              <w:end w:val="single" w:sz="4" w:space="0" w:color="000000"/>
            </w:tcBorders>
            <w:vAlign w:val="bottom"/>
          </w:tcPr>
          <w:p>
            <w:pPr>
              <w:pStyle w:val="Normal"/>
              <w:widowControl w:val="false"/>
              <w:tabs>
                <w:tab w:val="clear" w:pos="709"/>
              </w:tabs>
              <w:jc w:val="star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Pr(&gt;F)</w:t>
            </w:r>
          </w:p>
        </w:tc>
      </w:tr>
      <w:tr>
        <w:trPr/>
        <w:tc>
          <w:tcPr>
            <w:tcW w:w="2804" w:type="dxa"/>
            <w:tcBorders>
              <w:start w:val="single" w:sz="4" w:space="0" w:color="000000"/>
              <w:bottom w:val="single" w:sz="4" w:space="0" w:color="000000"/>
            </w:tcBorders>
            <w:vAlign w:val="bottom"/>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Year</w:t>
            </w:r>
          </w:p>
        </w:tc>
        <w:tc>
          <w:tcPr>
            <w:tcW w:w="467" w:type="dxa"/>
            <w:tcBorders>
              <w:start w:val="single" w:sz="4" w:space="0" w:color="000000"/>
              <w:bottom w:val="single" w:sz="4" w:space="0" w:color="000000"/>
            </w:tcBorders>
            <w:vAlign w:val="bottom"/>
          </w:tcPr>
          <w:p>
            <w:pPr>
              <w:pStyle w:val="Normal"/>
              <w:widowControl w:val="false"/>
              <w:tabs>
                <w:tab w:val="clear" w:pos="709"/>
              </w:tab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w:t>
            </w:r>
          </w:p>
        </w:tc>
        <w:tc>
          <w:tcPr>
            <w:tcW w:w="1452" w:type="dxa"/>
            <w:tcBorders>
              <w:start w:val="single" w:sz="4" w:space="0" w:color="000000"/>
              <w:bottom w:val="single" w:sz="4" w:space="0" w:color="000000"/>
            </w:tcBorders>
            <w:vAlign w:val="bottom"/>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1.324E+01</w:t>
            </w:r>
          </w:p>
        </w:tc>
        <w:tc>
          <w:tcPr>
            <w:tcW w:w="1452" w:type="dxa"/>
            <w:tcBorders>
              <w:start w:val="single" w:sz="4" w:space="0" w:color="000000"/>
              <w:bottom w:val="single" w:sz="4" w:space="0" w:color="000000"/>
            </w:tcBorders>
            <w:vAlign w:val="bottom"/>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2.210E+00</w:t>
            </w:r>
          </w:p>
        </w:tc>
        <w:tc>
          <w:tcPr>
            <w:tcW w:w="1452" w:type="dxa"/>
            <w:tcBorders>
              <w:start w:val="single" w:sz="4" w:space="0" w:color="000000"/>
              <w:bottom w:val="single" w:sz="4" w:space="0" w:color="000000"/>
            </w:tcBorders>
            <w:vAlign w:val="bottom"/>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8.748E+01</w:t>
            </w:r>
          </w:p>
        </w:tc>
        <w:tc>
          <w:tcPr>
            <w:tcW w:w="1987" w:type="dxa"/>
            <w:tcBorders>
              <w:start w:val="single" w:sz="4" w:space="0" w:color="000000"/>
              <w:bottom w:val="single" w:sz="4" w:space="0" w:color="000000"/>
              <w:end w:val="single" w:sz="4" w:space="0" w:color="000000"/>
            </w:tcBorders>
            <w:vAlign w:val="bottom"/>
          </w:tcPr>
          <w:p>
            <w:pPr>
              <w:pStyle w:val="Normal"/>
              <w:widowControl w:val="false"/>
              <w:tabs>
                <w:tab w:val="clear" w:pos="709"/>
              </w:tab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&lt; 2.20E-16 ***</w:t>
            </w:r>
          </w:p>
        </w:tc>
      </w:tr>
      <w:tr>
        <w:trPr/>
        <w:tc>
          <w:tcPr>
            <w:tcW w:w="2804" w:type="dxa"/>
            <w:tcBorders>
              <w:start w:val="single" w:sz="4" w:space="0" w:color="000000"/>
              <w:bottom w:val="single" w:sz="4" w:space="0" w:color="000000"/>
            </w:tcBorders>
            <w:vAlign w:val="bottom"/>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GI Region</w:t>
            </w:r>
          </w:p>
        </w:tc>
        <w:tc>
          <w:tcPr>
            <w:tcW w:w="467" w:type="dxa"/>
            <w:tcBorders>
              <w:start w:val="single" w:sz="4" w:space="0" w:color="000000"/>
              <w:bottom w:val="single" w:sz="4" w:space="0" w:color="000000"/>
            </w:tcBorders>
            <w:vAlign w:val="bottom"/>
          </w:tcPr>
          <w:p>
            <w:pPr>
              <w:pStyle w:val="Normal"/>
              <w:widowControl w:val="false"/>
              <w:tabs>
                <w:tab w:val="clear" w:pos="709"/>
              </w:tab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50</w:t>
            </w:r>
          </w:p>
        </w:tc>
        <w:tc>
          <w:tcPr>
            <w:tcW w:w="1452" w:type="dxa"/>
            <w:tcBorders>
              <w:start w:val="single" w:sz="4" w:space="0" w:color="000000"/>
              <w:bottom w:val="single" w:sz="4" w:space="0" w:color="000000"/>
            </w:tcBorders>
            <w:vAlign w:val="bottom"/>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6.498E+02</w:t>
            </w:r>
          </w:p>
        </w:tc>
        <w:tc>
          <w:tcPr>
            <w:tcW w:w="1452" w:type="dxa"/>
            <w:tcBorders>
              <w:start w:val="single" w:sz="4" w:space="0" w:color="000000"/>
              <w:bottom w:val="single" w:sz="4" w:space="0" w:color="000000"/>
            </w:tcBorders>
            <w:vAlign w:val="bottom"/>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1.300E+01</w:t>
            </w:r>
          </w:p>
        </w:tc>
        <w:tc>
          <w:tcPr>
            <w:tcW w:w="1452" w:type="dxa"/>
            <w:tcBorders>
              <w:start w:val="single" w:sz="4" w:space="0" w:color="000000"/>
              <w:bottom w:val="single" w:sz="4" w:space="0" w:color="000000"/>
            </w:tcBorders>
            <w:vAlign w:val="bottom"/>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5.151E+02</w:t>
            </w:r>
          </w:p>
        </w:tc>
        <w:tc>
          <w:tcPr>
            <w:tcW w:w="1987" w:type="dxa"/>
            <w:tcBorders>
              <w:start w:val="single" w:sz="4" w:space="0" w:color="000000"/>
              <w:bottom w:val="single" w:sz="4" w:space="0" w:color="000000"/>
              <w:end w:val="single" w:sz="4" w:space="0" w:color="000000"/>
            </w:tcBorders>
            <w:vAlign w:val="bottom"/>
          </w:tcPr>
          <w:p>
            <w:pPr>
              <w:pStyle w:val="Normal"/>
              <w:widowControl w:val="false"/>
              <w:tabs>
                <w:tab w:val="clear" w:pos="709"/>
              </w:tab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&lt; 2.20E-16 ***</w:t>
            </w:r>
          </w:p>
        </w:tc>
      </w:tr>
      <w:tr>
        <w:trPr/>
        <w:tc>
          <w:tcPr>
            <w:tcW w:w="2804" w:type="dxa"/>
            <w:tcBorders>
              <w:start w:val="single" w:sz="4" w:space="0" w:color="000000"/>
              <w:bottom w:val="single" w:sz="4" w:space="0" w:color="000000"/>
            </w:tcBorders>
            <w:vAlign w:val="bottom"/>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Area Harvested</w:t>
            </w:r>
          </w:p>
        </w:tc>
        <w:tc>
          <w:tcPr>
            <w:tcW w:w="467" w:type="dxa"/>
            <w:tcBorders>
              <w:start w:val="single" w:sz="4" w:space="0" w:color="000000"/>
              <w:bottom w:val="single" w:sz="4" w:space="0" w:color="000000"/>
            </w:tcBorders>
            <w:vAlign w:val="bottom"/>
          </w:tcPr>
          <w:p>
            <w:pPr>
              <w:pStyle w:val="Normal"/>
              <w:widowControl w:val="false"/>
              <w:tabs>
                <w:tab w:val="clear" w:pos="709"/>
              </w:tab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1452" w:type="dxa"/>
            <w:tcBorders>
              <w:start w:val="single" w:sz="4" w:space="0" w:color="000000"/>
              <w:bottom w:val="single" w:sz="4" w:space="0" w:color="000000"/>
            </w:tcBorders>
            <w:vAlign w:val="bottom"/>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2.142E+03</w:t>
            </w:r>
          </w:p>
        </w:tc>
        <w:tc>
          <w:tcPr>
            <w:tcW w:w="1452" w:type="dxa"/>
            <w:tcBorders>
              <w:start w:val="single" w:sz="4" w:space="0" w:color="000000"/>
              <w:bottom w:val="single" w:sz="4" w:space="0" w:color="000000"/>
            </w:tcBorders>
            <w:vAlign w:val="bottom"/>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2.142E+03</w:t>
            </w:r>
          </w:p>
        </w:tc>
        <w:tc>
          <w:tcPr>
            <w:tcW w:w="1452" w:type="dxa"/>
            <w:tcBorders>
              <w:start w:val="single" w:sz="4" w:space="0" w:color="000000"/>
              <w:bottom w:val="single" w:sz="4" w:space="0" w:color="000000"/>
            </w:tcBorders>
            <w:vAlign w:val="bottom"/>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8.491E+04</w:t>
            </w:r>
          </w:p>
        </w:tc>
        <w:tc>
          <w:tcPr>
            <w:tcW w:w="1987" w:type="dxa"/>
            <w:tcBorders>
              <w:start w:val="single" w:sz="4" w:space="0" w:color="000000"/>
              <w:bottom w:val="single" w:sz="4" w:space="0" w:color="000000"/>
              <w:end w:val="single" w:sz="4" w:space="0" w:color="000000"/>
            </w:tcBorders>
            <w:vAlign w:val="bottom"/>
          </w:tcPr>
          <w:p>
            <w:pPr>
              <w:pStyle w:val="Normal"/>
              <w:widowControl w:val="false"/>
              <w:tabs>
                <w:tab w:val="clear" w:pos="709"/>
              </w:tab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&lt; 2.20E-16 ***</w:t>
            </w:r>
          </w:p>
        </w:tc>
      </w:tr>
      <w:tr>
        <w:trPr/>
        <w:tc>
          <w:tcPr>
            <w:tcW w:w="2804" w:type="dxa"/>
            <w:tcBorders>
              <w:start w:val="single" w:sz="4" w:space="0" w:color="000000"/>
              <w:bottom w:val="single" w:sz="4" w:space="0" w:color="000000"/>
            </w:tcBorders>
            <w:vAlign w:val="bottom"/>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Water Used</w:t>
            </w:r>
          </w:p>
        </w:tc>
        <w:tc>
          <w:tcPr>
            <w:tcW w:w="467" w:type="dxa"/>
            <w:tcBorders>
              <w:start w:val="single" w:sz="4" w:space="0" w:color="000000"/>
              <w:bottom w:val="single" w:sz="4" w:space="0" w:color="000000"/>
            </w:tcBorders>
            <w:vAlign w:val="bottom"/>
          </w:tcPr>
          <w:p>
            <w:pPr>
              <w:pStyle w:val="Normal"/>
              <w:widowControl w:val="false"/>
              <w:tabs>
                <w:tab w:val="clear" w:pos="709"/>
              </w:tab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1452" w:type="dxa"/>
            <w:tcBorders>
              <w:start w:val="single" w:sz="4" w:space="0" w:color="000000"/>
              <w:bottom w:val="single" w:sz="4" w:space="0" w:color="000000"/>
            </w:tcBorders>
            <w:vAlign w:val="bottom"/>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3.200E-01</w:t>
            </w:r>
          </w:p>
        </w:tc>
        <w:tc>
          <w:tcPr>
            <w:tcW w:w="1452" w:type="dxa"/>
            <w:tcBorders>
              <w:start w:val="single" w:sz="4" w:space="0" w:color="000000"/>
              <w:bottom w:val="single" w:sz="4" w:space="0" w:color="000000"/>
            </w:tcBorders>
            <w:vAlign w:val="bottom"/>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3.200E-01</w:t>
            </w:r>
          </w:p>
        </w:tc>
        <w:tc>
          <w:tcPr>
            <w:tcW w:w="1452" w:type="dxa"/>
            <w:tcBorders>
              <w:start w:val="single" w:sz="4" w:space="0" w:color="000000"/>
              <w:bottom w:val="single" w:sz="4" w:space="0" w:color="000000"/>
            </w:tcBorders>
            <w:vAlign w:val="bottom"/>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1.259E+01</w:t>
            </w:r>
          </w:p>
        </w:tc>
        <w:tc>
          <w:tcPr>
            <w:tcW w:w="1987" w:type="dxa"/>
            <w:tcBorders>
              <w:start w:val="single" w:sz="4" w:space="0" w:color="000000"/>
              <w:bottom w:val="single" w:sz="4" w:space="0" w:color="000000"/>
              <w:end w:val="single" w:sz="4" w:space="0" w:color="000000"/>
            </w:tcBorders>
            <w:vAlign w:val="bottom"/>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3.947E-04 **</w:t>
            </w:r>
          </w:p>
        </w:tc>
      </w:tr>
      <w:tr>
        <w:trPr/>
        <w:tc>
          <w:tcPr>
            <w:tcW w:w="2804" w:type="dxa"/>
            <w:tcBorders>
              <w:start w:val="single" w:sz="4" w:space="0" w:color="000000"/>
              <w:bottom w:val="single" w:sz="4" w:space="0" w:color="000000"/>
            </w:tcBorders>
            <w:vAlign w:val="bottom"/>
          </w:tcPr>
          <w:p>
            <w:pPr>
              <w:pStyle w:val="TableContents"/>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Scope One Emissions</w:t>
            </w:r>
          </w:p>
        </w:tc>
        <w:tc>
          <w:tcPr>
            <w:tcW w:w="467" w:type="dxa"/>
            <w:tcBorders>
              <w:start w:val="single" w:sz="4" w:space="0" w:color="000000"/>
              <w:bottom w:val="single" w:sz="4" w:space="0" w:color="000000"/>
            </w:tcBorders>
            <w:vAlign w:val="bottom"/>
          </w:tcPr>
          <w:p>
            <w:pPr>
              <w:pStyle w:val="Normal"/>
              <w:widowControl w:val="false"/>
              <w:tabs>
                <w:tab w:val="clear" w:pos="709"/>
              </w:tab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1452" w:type="dxa"/>
            <w:tcBorders>
              <w:start w:val="single" w:sz="4" w:space="0" w:color="000000"/>
              <w:bottom w:val="single" w:sz="4" w:space="0" w:color="000000"/>
            </w:tcBorders>
            <w:vAlign w:val="bottom"/>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4.000E-02</w:t>
            </w:r>
          </w:p>
        </w:tc>
        <w:tc>
          <w:tcPr>
            <w:tcW w:w="1452" w:type="dxa"/>
            <w:tcBorders>
              <w:start w:val="single" w:sz="4" w:space="0" w:color="000000"/>
              <w:bottom w:val="single" w:sz="4" w:space="0" w:color="000000"/>
            </w:tcBorders>
            <w:vAlign w:val="bottom"/>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4.000E-02</w:t>
            </w:r>
          </w:p>
        </w:tc>
        <w:tc>
          <w:tcPr>
            <w:tcW w:w="1452" w:type="dxa"/>
            <w:tcBorders>
              <w:start w:val="single" w:sz="4" w:space="0" w:color="000000"/>
              <w:bottom w:val="single" w:sz="4" w:space="0" w:color="000000"/>
            </w:tcBorders>
            <w:vAlign w:val="bottom"/>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1.492E+00</w:t>
            </w:r>
          </w:p>
        </w:tc>
        <w:tc>
          <w:tcPr>
            <w:tcW w:w="1987" w:type="dxa"/>
            <w:tcBorders>
              <w:start w:val="single" w:sz="4" w:space="0" w:color="000000"/>
              <w:bottom w:val="single" w:sz="4" w:space="0" w:color="000000"/>
              <w:end w:val="single" w:sz="4" w:space="0" w:color="000000"/>
            </w:tcBorders>
            <w:vAlign w:val="bottom"/>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2.221E-01</w:t>
            </w:r>
          </w:p>
        </w:tc>
      </w:tr>
    </w:tbl>
    <w:p>
      <w:pPr>
        <w:pStyle w:val="Normal"/>
        <w:rPr/>
      </w:pPr>
      <w:r>
        <w:rPr/>
      </w:r>
    </w:p>
    <w:p>
      <w:pPr>
        <w:pStyle w:val="Normal"/>
        <w:ind w:start="0" w:end="0" w:hanging="0"/>
        <w:rPr>
          <w:rFonts w:ascii="Calibri" w:hAnsi="Calibri" w:eastAsia="Times New Roman" w:cs="Calibri"/>
          <w:color w:val="000000"/>
          <w:sz w:val="22"/>
          <w:szCs w:val="22"/>
          <w:lang w:eastAsia="en-GB"/>
        </w:rPr>
      </w:pPr>
      <w:r>
        <w:rPr>
          <w:rFonts w:eastAsia="Times New Roman" w:cs="Calibri" w:ascii="Calibri" w:hAnsi="Calibri"/>
          <w:b/>
          <w:bCs/>
          <w:color w:val="000000"/>
          <w:sz w:val="22"/>
          <w:szCs w:val="22"/>
          <w:shd w:fill="auto" w:val="clear"/>
          <w:lang w:eastAsia="en-GB"/>
        </w:rPr>
        <w:t xml:space="preserve">Table 8: </w:t>
      </w:r>
      <w:r>
        <w:rPr>
          <w:rFonts w:eastAsia="Times New Roman" w:cs="Calibri" w:ascii="Calibri" w:hAnsi="Calibri"/>
          <w:b w:val="false"/>
          <w:bCs w:val="false"/>
          <w:color w:val="000000"/>
          <w:sz w:val="22"/>
          <w:szCs w:val="22"/>
          <w:shd w:fill="auto" w:val="clear"/>
          <w:lang w:eastAsia="en-GB"/>
        </w:rPr>
        <w:t>Model 4 ANOVA summarising variable significance at the .5 level.</w:t>
      </w:r>
    </w:p>
    <w:tbl>
      <w:tblPr>
        <w:tblW w:w="9698" w:type="dxa"/>
        <w:jc w:val="start"/>
        <w:tblInd w:w="-5" w:type="dxa"/>
        <w:tblLayout w:type="fixed"/>
        <w:tblCellMar>
          <w:top w:w="55" w:type="dxa"/>
          <w:start w:w="55" w:type="dxa"/>
          <w:bottom w:w="55" w:type="dxa"/>
          <w:end w:w="55" w:type="dxa"/>
        </w:tblCellMar>
      </w:tblPr>
      <w:tblGrid>
        <w:gridCol w:w="4012"/>
        <w:gridCol w:w="490"/>
        <w:gridCol w:w="1193"/>
        <w:gridCol w:w="1194"/>
        <w:gridCol w:w="1194"/>
        <w:gridCol w:w="1614"/>
      </w:tblGrid>
      <w:tr>
        <w:trPr/>
        <w:tc>
          <w:tcPr>
            <w:tcW w:w="4012" w:type="dxa"/>
            <w:tcBorders>
              <w:top w:val="single" w:sz="4" w:space="0" w:color="000000"/>
              <w:start w:val="single" w:sz="4" w:space="0" w:color="000000"/>
              <w:bottom w:val="single" w:sz="4" w:space="0" w:color="000000"/>
            </w:tcBorders>
            <w:vAlign w:val="bottom"/>
          </w:tcPr>
          <w:p>
            <w:pPr>
              <w:pStyle w:val="Normal"/>
              <w:widowControl w:val="false"/>
              <w:jc w:val="star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Variable</w:t>
            </w:r>
          </w:p>
        </w:tc>
        <w:tc>
          <w:tcPr>
            <w:tcW w:w="490" w:type="dxa"/>
            <w:tcBorders>
              <w:top w:val="single" w:sz="4" w:space="0" w:color="000000"/>
              <w:start w:val="single" w:sz="4" w:space="0" w:color="000000"/>
              <w:bottom w:val="single" w:sz="4" w:space="0" w:color="000000"/>
            </w:tcBorders>
            <w:vAlign w:val="bottom"/>
          </w:tcPr>
          <w:p>
            <w:pPr>
              <w:pStyle w:val="Normal"/>
              <w:widowControl w:val="false"/>
              <w:tabs>
                <w:tab w:val="clear" w:pos="709"/>
              </w:tabs>
              <w:jc w:val="star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Df</w:t>
            </w:r>
          </w:p>
        </w:tc>
        <w:tc>
          <w:tcPr>
            <w:tcW w:w="1193" w:type="dxa"/>
            <w:tcBorders>
              <w:top w:val="single" w:sz="4" w:space="0" w:color="000000"/>
              <w:start w:val="single" w:sz="4" w:space="0" w:color="000000"/>
              <w:bottom w:val="single" w:sz="4" w:space="0" w:color="000000"/>
            </w:tcBorders>
            <w:vAlign w:val="bottom"/>
          </w:tcPr>
          <w:p>
            <w:pPr>
              <w:pStyle w:val="Normal"/>
              <w:widowControl w:val="false"/>
              <w:tabs>
                <w:tab w:val="clear" w:pos="709"/>
              </w:tabs>
              <w:jc w:val="star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Sum Sq</w:t>
            </w:r>
          </w:p>
        </w:tc>
        <w:tc>
          <w:tcPr>
            <w:tcW w:w="1194" w:type="dxa"/>
            <w:tcBorders>
              <w:top w:val="single" w:sz="4" w:space="0" w:color="000000"/>
              <w:start w:val="single" w:sz="4" w:space="0" w:color="000000"/>
              <w:bottom w:val="single" w:sz="4" w:space="0" w:color="000000"/>
            </w:tcBorders>
            <w:vAlign w:val="bottom"/>
          </w:tcPr>
          <w:p>
            <w:pPr>
              <w:pStyle w:val="Normal"/>
              <w:widowControl w:val="false"/>
              <w:tabs>
                <w:tab w:val="clear" w:pos="709"/>
              </w:tabs>
              <w:jc w:val="star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Mean Sq</w:t>
            </w:r>
          </w:p>
        </w:tc>
        <w:tc>
          <w:tcPr>
            <w:tcW w:w="1194" w:type="dxa"/>
            <w:tcBorders>
              <w:top w:val="single" w:sz="4" w:space="0" w:color="000000"/>
              <w:start w:val="single" w:sz="4" w:space="0" w:color="000000"/>
              <w:bottom w:val="single" w:sz="4" w:space="0" w:color="000000"/>
            </w:tcBorders>
            <w:vAlign w:val="bottom"/>
          </w:tcPr>
          <w:p>
            <w:pPr>
              <w:pStyle w:val="Normal"/>
              <w:widowControl w:val="false"/>
              <w:tabs>
                <w:tab w:val="clear" w:pos="709"/>
              </w:tabs>
              <w:jc w:val="star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F Value</w:t>
            </w:r>
          </w:p>
        </w:tc>
        <w:tc>
          <w:tcPr>
            <w:tcW w:w="1614" w:type="dxa"/>
            <w:tcBorders>
              <w:top w:val="single" w:sz="4" w:space="0" w:color="000000"/>
              <w:start w:val="single" w:sz="4" w:space="0" w:color="000000"/>
              <w:bottom w:val="single" w:sz="4" w:space="0" w:color="000000"/>
              <w:end w:val="single" w:sz="4" w:space="0" w:color="000000"/>
            </w:tcBorders>
            <w:vAlign w:val="bottom"/>
          </w:tcPr>
          <w:p>
            <w:pPr>
              <w:pStyle w:val="Normal"/>
              <w:widowControl w:val="false"/>
              <w:tabs>
                <w:tab w:val="clear" w:pos="709"/>
              </w:tabs>
              <w:jc w:val="star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Pr(&gt;F)</w:t>
            </w:r>
          </w:p>
        </w:tc>
      </w:tr>
      <w:tr>
        <w:trPr/>
        <w:tc>
          <w:tcPr>
            <w:tcW w:w="4012" w:type="dxa"/>
            <w:tcBorders>
              <w:start w:val="single" w:sz="4" w:space="0" w:color="000000"/>
              <w:bottom w:val="single" w:sz="4" w:space="0" w:color="000000"/>
            </w:tcBorders>
            <w:vAlign w:val="bottom"/>
          </w:tcPr>
          <w:p>
            <w:pPr>
              <w:pStyle w:val="Normal"/>
              <w:widowControl w:val="false"/>
              <w:jc w:val="star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Area Harvested</w:t>
            </w:r>
          </w:p>
        </w:tc>
        <w:tc>
          <w:tcPr>
            <w:tcW w:w="490" w:type="dxa"/>
            <w:tcBorders>
              <w:start w:val="single" w:sz="4" w:space="0" w:color="000000"/>
              <w:bottom w:val="single" w:sz="4" w:space="0" w:color="000000"/>
            </w:tcBorders>
            <w:vAlign w:val="bottom"/>
          </w:tcPr>
          <w:p>
            <w:pPr>
              <w:pStyle w:val="Normal"/>
              <w:widowControl w:val="false"/>
              <w:tabs>
                <w:tab w:val="clear" w:pos="709"/>
              </w:tab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1193" w:type="dxa"/>
            <w:tcBorders>
              <w:start w:val="single" w:sz="4" w:space="0" w:color="000000"/>
              <w:bottom w:val="single" w:sz="4" w:space="0" w:color="000000"/>
            </w:tcBorders>
            <w:vAlign w:val="bottom"/>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2.066E+03</w:t>
            </w:r>
          </w:p>
        </w:tc>
        <w:tc>
          <w:tcPr>
            <w:tcW w:w="1194" w:type="dxa"/>
            <w:tcBorders>
              <w:start w:val="single" w:sz="4" w:space="0" w:color="000000"/>
              <w:bottom w:val="single" w:sz="4" w:space="0" w:color="000000"/>
            </w:tcBorders>
            <w:vAlign w:val="bottom"/>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2.066E+03</w:t>
            </w:r>
          </w:p>
        </w:tc>
        <w:tc>
          <w:tcPr>
            <w:tcW w:w="1194" w:type="dxa"/>
            <w:tcBorders>
              <w:start w:val="single" w:sz="4" w:space="0" w:color="000000"/>
              <w:bottom w:val="single" w:sz="4" w:space="0" w:color="000000"/>
            </w:tcBorders>
            <w:vAlign w:val="bottom"/>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5.700E+04</w:t>
            </w:r>
          </w:p>
        </w:tc>
        <w:tc>
          <w:tcPr>
            <w:tcW w:w="1614" w:type="dxa"/>
            <w:tcBorders>
              <w:start w:val="single" w:sz="4" w:space="0" w:color="000000"/>
              <w:bottom w:val="single" w:sz="4" w:space="0" w:color="000000"/>
              <w:end w:val="single" w:sz="4" w:space="0" w:color="000000"/>
            </w:tcBorders>
            <w:vAlign w:val="bottom"/>
          </w:tcPr>
          <w:p>
            <w:pPr>
              <w:pStyle w:val="Normal"/>
              <w:widowControl w:val="false"/>
              <w:tabs>
                <w:tab w:val="clear" w:pos="709"/>
              </w:tab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&lt; 2.20E-16 ***</w:t>
            </w:r>
          </w:p>
        </w:tc>
      </w:tr>
      <w:tr>
        <w:trPr/>
        <w:tc>
          <w:tcPr>
            <w:tcW w:w="4012" w:type="dxa"/>
            <w:tcBorders>
              <w:start w:val="single" w:sz="4" w:space="0" w:color="000000"/>
              <w:bottom w:val="single" w:sz="4" w:space="0" w:color="000000"/>
            </w:tcBorders>
            <w:vAlign w:val="bottom"/>
          </w:tcPr>
          <w:p>
            <w:pPr>
              <w:pStyle w:val="Normal"/>
              <w:widowControl w:val="false"/>
              <w:jc w:val="star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Scope One Emissions</w:t>
            </w:r>
          </w:p>
        </w:tc>
        <w:tc>
          <w:tcPr>
            <w:tcW w:w="490" w:type="dxa"/>
            <w:tcBorders>
              <w:start w:val="single" w:sz="4" w:space="0" w:color="000000"/>
              <w:bottom w:val="single" w:sz="4" w:space="0" w:color="000000"/>
            </w:tcBorders>
            <w:vAlign w:val="bottom"/>
          </w:tcPr>
          <w:p>
            <w:pPr>
              <w:pStyle w:val="Normal"/>
              <w:widowControl w:val="false"/>
              <w:tabs>
                <w:tab w:val="clear" w:pos="709"/>
              </w:tab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1193" w:type="dxa"/>
            <w:tcBorders>
              <w:start w:val="single" w:sz="4" w:space="0" w:color="000000"/>
              <w:bottom w:val="single" w:sz="4" w:space="0" w:color="000000"/>
            </w:tcBorders>
            <w:vAlign w:val="bottom"/>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6.000E-02</w:t>
            </w:r>
          </w:p>
        </w:tc>
        <w:tc>
          <w:tcPr>
            <w:tcW w:w="1194" w:type="dxa"/>
            <w:tcBorders>
              <w:start w:val="single" w:sz="4" w:space="0" w:color="000000"/>
              <w:bottom w:val="single" w:sz="4" w:space="0" w:color="000000"/>
            </w:tcBorders>
            <w:vAlign w:val="bottom"/>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6.000E-02</w:t>
            </w:r>
          </w:p>
        </w:tc>
        <w:tc>
          <w:tcPr>
            <w:tcW w:w="1194" w:type="dxa"/>
            <w:tcBorders>
              <w:start w:val="single" w:sz="4" w:space="0" w:color="000000"/>
              <w:bottom w:val="single" w:sz="4" w:space="0" w:color="000000"/>
            </w:tcBorders>
            <w:vAlign w:val="bottom"/>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1.569E+00</w:t>
            </w:r>
          </w:p>
        </w:tc>
        <w:tc>
          <w:tcPr>
            <w:tcW w:w="1614" w:type="dxa"/>
            <w:tcBorders>
              <w:start w:val="single" w:sz="4" w:space="0" w:color="000000"/>
              <w:bottom w:val="single" w:sz="4" w:space="0" w:color="000000"/>
              <w:end w:val="single" w:sz="4" w:space="0" w:color="000000"/>
            </w:tcBorders>
            <w:vAlign w:val="bottom"/>
          </w:tcPr>
          <w:p>
            <w:pPr>
              <w:pStyle w:val="Normal"/>
              <w:widowControl w:val="false"/>
              <w:tabs>
                <w:tab w:val="clear" w:pos="709"/>
              </w:tab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2.105E-01</w:t>
            </w:r>
          </w:p>
        </w:tc>
      </w:tr>
      <w:tr>
        <w:trPr/>
        <w:tc>
          <w:tcPr>
            <w:tcW w:w="4012" w:type="dxa"/>
            <w:tcBorders>
              <w:start w:val="single" w:sz="4" w:space="0" w:color="000000"/>
              <w:bottom w:val="single" w:sz="4" w:space="0" w:color="000000"/>
            </w:tcBorders>
            <w:vAlign w:val="bottom"/>
          </w:tcPr>
          <w:p>
            <w:pPr>
              <w:pStyle w:val="Normal"/>
              <w:widowControl w:val="false"/>
              <w:jc w:val="star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Water Used</w:t>
            </w:r>
          </w:p>
        </w:tc>
        <w:tc>
          <w:tcPr>
            <w:tcW w:w="490" w:type="dxa"/>
            <w:tcBorders>
              <w:start w:val="single" w:sz="4" w:space="0" w:color="000000"/>
              <w:bottom w:val="single" w:sz="4" w:space="0" w:color="000000"/>
            </w:tcBorders>
            <w:vAlign w:val="bottom"/>
          </w:tcPr>
          <w:p>
            <w:pPr>
              <w:pStyle w:val="Normal"/>
              <w:widowControl w:val="false"/>
              <w:tabs>
                <w:tab w:val="clear" w:pos="709"/>
              </w:tab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1193" w:type="dxa"/>
            <w:tcBorders>
              <w:start w:val="single" w:sz="4" w:space="0" w:color="000000"/>
              <w:bottom w:val="single" w:sz="4" w:space="0" w:color="000000"/>
            </w:tcBorders>
            <w:vAlign w:val="bottom"/>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2.014E+02</w:t>
            </w:r>
          </w:p>
        </w:tc>
        <w:tc>
          <w:tcPr>
            <w:tcW w:w="1194" w:type="dxa"/>
            <w:tcBorders>
              <w:start w:val="single" w:sz="4" w:space="0" w:color="000000"/>
              <w:bottom w:val="single" w:sz="4" w:space="0" w:color="000000"/>
            </w:tcBorders>
            <w:vAlign w:val="bottom"/>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2.014E+02</w:t>
            </w:r>
          </w:p>
        </w:tc>
        <w:tc>
          <w:tcPr>
            <w:tcW w:w="1194" w:type="dxa"/>
            <w:tcBorders>
              <w:start w:val="single" w:sz="4" w:space="0" w:color="000000"/>
              <w:bottom w:val="single" w:sz="4" w:space="0" w:color="000000"/>
            </w:tcBorders>
            <w:vAlign w:val="bottom"/>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5.557E+03</w:t>
            </w:r>
          </w:p>
        </w:tc>
        <w:tc>
          <w:tcPr>
            <w:tcW w:w="1614" w:type="dxa"/>
            <w:tcBorders>
              <w:start w:val="single" w:sz="4" w:space="0" w:color="000000"/>
              <w:bottom w:val="single" w:sz="4" w:space="0" w:color="000000"/>
              <w:end w:val="single" w:sz="4" w:space="0" w:color="000000"/>
            </w:tcBorders>
            <w:vAlign w:val="bottom"/>
          </w:tcPr>
          <w:p>
            <w:pPr>
              <w:pStyle w:val="Normal"/>
              <w:widowControl w:val="false"/>
              <w:tabs>
                <w:tab w:val="clear" w:pos="709"/>
              </w:tab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&lt; 2.20E-16 ***</w:t>
            </w:r>
          </w:p>
        </w:tc>
      </w:tr>
      <w:tr>
        <w:trPr/>
        <w:tc>
          <w:tcPr>
            <w:tcW w:w="4012" w:type="dxa"/>
            <w:tcBorders>
              <w:start w:val="single" w:sz="4" w:space="0" w:color="000000"/>
              <w:bottom w:val="single" w:sz="4" w:space="0" w:color="000000"/>
            </w:tcBorders>
            <w:vAlign w:val="bottom"/>
          </w:tcPr>
          <w:p>
            <w:pPr>
              <w:pStyle w:val="Normal"/>
              <w:widowControl w:val="false"/>
              <w:jc w:val="star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Area Harvested*Scope One Emissions</w:t>
            </w:r>
          </w:p>
        </w:tc>
        <w:tc>
          <w:tcPr>
            <w:tcW w:w="490" w:type="dxa"/>
            <w:tcBorders>
              <w:start w:val="single" w:sz="4" w:space="0" w:color="000000"/>
              <w:bottom w:val="single" w:sz="4" w:space="0" w:color="000000"/>
            </w:tcBorders>
            <w:vAlign w:val="bottom"/>
          </w:tcPr>
          <w:p>
            <w:pPr>
              <w:pStyle w:val="Normal"/>
              <w:widowControl w:val="false"/>
              <w:tabs>
                <w:tab w:val="clear" w:pos="709"/>
              </w:tab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1193" w:type="dxa"/>
            <w:tcBorders>
              <w:start w:val="single" w:sz="4" w:space="0" w:color="000000"/>
              <w:bottom w:val="single" w:sz="4" w:space="0" w:color="000000"/>
            </w:tcBorders>
            <w:vAlign w:val="bottom"/>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5.246E+01</w:t>
            </w:r>
          </w:p>
        </w:tc>
        <w:tc>
          <w:tcPr>
            <w:tcW w:w="1194" w:type="dxa"/>
            <w:tcBorders>
              <w:start w:val="single" w:sz="4" w:space="0" w:color="000000"/>
              <w:bottom w:val="single" w:sz="4" w:space="0" w:color="000000"/>
            </w:tcBorders>
            <w:vAlign w:val="bottom"/>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5.246E+01</w:t>
            </w:r>
          </w:p>
        </w:tc>
        <w:tc>
          <w:tcPr>
            <w:tcW w:w="1194" w:type="dxa"/>
            <w:tcBorders>
              <w:start w:val="single" w:sz="4" w:space="0" w:color="000000"/>
              <w:bottom w:val="single" w:sz="4" w:space="0" w:color="000000"/>
            </w:tcBorders>
            <w:vAlign w:val="bottom"/>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1.448E+03</w:t>
            </w:r>
          </w:p>
        </w:tc>
        <w:tc>
          <w:tcPr>
            <w:tcW w:w="1614" w:type="dxa"/>
            <w:tcBorders>
              <w:start w:val="single" w:sz="4" w:space="0" w:color="000000"/>
              <w:bottom w:val="single" w:sz="4" w:space="0" w:color="000000"/>
              <w:end w:val="single" w:sz="4" w:space="0" w:color="000000"/>
            </w:tcBorders>
            <w:vAlign w:val="bottom"/>
          </w:tcPr>
          <w:p>
            <w:pPr>
              <w:pStyle w:val="Normal"/>
              <w:widowControl w:val="false"/>
              <w:tabs>
                <w:tab w:val="clear" w:pos="709"/>
              </w:tab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&lt; 2.20E-16 ***</w:t>
            </w:r>
          </w:p>
        </w:tc>
      </w:tr>
      <w:tr>
        <w:trPr/>
        <w:tc>
          <w:tcPr>
            <w:tcW w:w="4012" w:type="dxa"/>
            <w:tcBorders>
              <w:start w:val="single" w:sz="4" w:space="0" w:color="000000"/>
              <w:bottom w:val="single" w:sz="4" w:space="0" w:color="000000"/>
            </w:tcBorders>
            <w:vAlign w:val="bottom"/>
          </w:tcPr>
          <w:p>
            <w:pPr>
              <w:pStyle w:val="Normal"/>
              <w:widowControl w:val="false"/>
              <w:jc w:val="star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Area Harvested * Water Used</w:t>
            </w:r>
          </w:p>
        </w:tc>
        <w:tc>
          <w:tcPr>
            <w:tcW w:w="490" w:type="dxa"/>
            <w:tcBorders>
              <w:start w:val="single" w:sz="4" w:space="0" w:color="000000"/>
              <w:bottom w:val="single" w:sz="4" w:space="0" w:color="000000"/>
            </w:tcBorders>
            <w:vAlign w:val="bottom"/>
          </w:tcPr>
          <w:p>
            <w:pPr>
              <w:pStyle w:val="Normal"/>
              <w:widowControl w:val="false"/>
              <w:tabs>
                <w:tab w:val="clear" w:pos="709"/>
              </w:tab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1193" w:type="dxa"/>
            <w:tcBorders>
              <w:start w:val="single" w:sz="4" w:space="0" w:color="000000"/>
              <w:bottom w:val="single" w:sz="4" w:space="0" w:color="000000"/>
            </w:tcBorders>
            <w:vAlign w:val="bottom"/>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7.270E+00</w:t>
            </w:r>
          </w:p>
        </w:tc>
        <w:tc>
          <w:tcPr>
            <w:tcW w:w="1194" w:type="dxa"/>
            <w:tcBorders>
              <w:start w:val="single" w:sz="4" w:space="0" w:color="000000"/>
              <w:bottom w:val="single" w:sz="4" w:space="0" w:color="000000"/>
            </w:tcBorders>
            <w:vAlign w:val="bottom"/>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7.270E+00</w:t>
            </w:r>
          </w:p>
        </w:tc>
        <w:tc>
          <w:tcPr>
            <w:tcW w:w="1194" w:type="dxa"/>
            <w:tcBorders>
              <w:start w:val="single" w:sz="4" w:space="0" w:color="000000"/>
              <w:bottom w:val="single" w:sz="4" w:space="0" w:color="000000"/>
            </w:tcBorders>
            <w:vAlign w:val="bottom"/>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2.005E+02</w:t>
            </w:r>
          </w:p>
        </w:tc>
        <w:tc>
          <w:tcPr>
            <w:tcW w:w="1614" w:type="dxa"/>
            <w:tcBorders>
              <w:start w:val="single" w:sz="4" w:space="0" w:color="000000"/>
              <w:bottom w:val="single" w:sz="4" w:space="0" w:color="000000"/>
              <w:end w:val="single" w:sz="4" w:space="0" w:color="000000"/>
            </w:tcBorders>
            <w:vAlign w:val="bottom"/>
          </w:tcPr>
          <w:p>
            <w:pPr>
              <w:pStyle w:val="Normal"/>
              <w:widowControl w:val="false"/>
              <w:tabs>
                <w:tab w:val="clear" w:pos="709"/>
              </w:tab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&lt; 2.20E-16 ***</w:t>
            </w:r>
          </w:p>
        </w:tc>
      </w:tr>
      <w:tr>
        <w:trPr/>
        <w:tc>
          <w:tcPr>
            <w:tcW w:w="4012" w:type="dxa"/>
            <w:tcBorders>
              <w:start w:val="single" w:sz="4" w:space="0" w:color="000000"/>
              <w:bottom w:val="single" w:sz="4" w:space="0" w:color="000000"/>
            </w:tcBorders>
            <w:vAlign w:val="bottom"/>
          </w:tcPr>
          <w:p>
            <w:pPr>
              <w:pStyle w:val="Normal"/>
              <w:widowControl w:val="false"/>
              <w:jc w:val="star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Year * GI Region</w:t>
            </w:r>
          </w:p>
        </w:tc>
        <w:tc>
          <w:tcPr>
            <w:tcW w:w="490" w:type="dxa"/>
            <w:tcBorders>
              <w:start w:val="single" w:sz="4" w:space="0" w:color="000000"/>
              <w:bottom w:val="single" w:sz="4" w:space="0" w:color="000000"/>
            </w:tcBorders>
            <w:vAlign w:val="bottom"/>
          </w:tcPr>
          <w:p>
            <w:pPr>
              <w:pStyle w:val="Normal"/>
              <w:widowControl w:val="false"/>
              <w:tabs>
                <w:tab w:val="clear" w:pos="709"/>
              </w:tab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243</w:t>
            </w:r>
          </w:p>
        </w:tc>
        <w:tc>
          <w:tcPr>
            <w:tcW w:w="1193" w:type="dxa"/>
            <w:tcBorders>
              <w:start w:val="single" w:sz="4" w:space="0" w:color="000000"/>
              <w:bottom w:val="single" w:sz="4" w:space="0" w:color="000000"/>
            </w:tcBorders>
            <w:vAlign w:val="bottom"/>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4.546E+02</w:t>
            </w:r>
          </w:p>
        </w:tc>
        <w:tc>
          <w:tcPr>
            <w:tcW w:w="1194" w:type="dxa"/>
            <w:tcBorders>
              <w:start w:val="single" w:sz="4" w:space="0" w:color="000000"/>
              <w:bottom w:val="single" w:sz="4" w:space="0" w:color="000000"/>
            </w:tcBorders>
            <w:vAlign w:val="bottom"/>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1.870E+00</w:t>
            </w:r>
          </w:p>
        </w:tc>
        <w:tc>
          <w:tcPr>
            <w:tcW w:w="1194" w:type="dxa"/>
            <w:tcBorders>
              <w:start w:val="single" w:sz="4" w:space="0" w:color="000000"/>
              <w:bottom w:val="single" w:sz="4" w:space="0" w:color="000000"/>
            </w:tcBorders>
            <w:vAlign w:val="bottom"/>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5.162E+01</w:t>
            </w:r>
          </w:p>
        </w:tc>
        <w:tc>
          <w:tcPr>
            <w:tcW w:w="1614" w:type="dxa"/>
            <w:tcBorders>
              <w:start w:val="single" w:sz="4" w:space="0" w:color="000000"/>
              <w:bottom w:val="single" w:sz="4" w:space="0" w:color="000000"/>
              <w:end w:val="single" w:sz="4" w:space="0" w:color="000000"/>
            </w:tcBorders>
            <w:vAlign w:val="bottom"/>
          </w:tcPr>
          <w:p>
            <w:pPr>
              <w:pStyle w:val="Normal"/>
              <w:widowControl w:val="false"/>
              <w:tabs>
                <w:tab w:val="clear" w:pos="709"/>
              </w:tab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&lt; 2.20E-16 ***</w:t>
            </w:r>
          </w:p>
        </w:tc>
      </w:tr>
    </w:tbl>
    <w:p>
      <w:pPr>
        <w:pStyle w:val="Normal"/>
        <w:rPr>
          <w:rFonts w:ascii="Calibri" w:hAnsi="Calibri" w:eastAsia="Times New Roman" w:cs="Calibri"/>
          <w:b/>
          <w:b/>
          <w:bCs/>
          <w:color w:val="000000"/>
          <w:sz w:val="22"/>
          <w:szCs w:val="22"/>
          <w:shd w:fill="auto" w:val="clear"/>
          <w:lang w:eastAsia="en-GB"/>
        </w:rPr>
      </w:pPr>
      <w:r>
        <w:rPr>
          <w:rFonts w:eastAsia="Times New Roman" w:cs="Calibri" w:ascii="Calibri" w:hAnsi="Calibri"/>
          <w:b/>
          <w:bCs/>
          <w:color w:val="000000"/>
          <w:sz w:val="22"/>
          <w:szCs w:val="22"/>
          <w:shd w:fill="auto" w:val="clear"/>
          <w:lang w:eastAsia="en-GB"/>
        </w:rPr>
      </w:r>
      <w:r>
        <w:br w:type="page"/>
      </w:r>
    </w:p>
    <w:p>
      <w:pPr>
        <w:pStyle w:val="Normal"/>
        <w:rPr>
          <w:rFonts w:ascii="Calibri" w:hAnsi="Calibri" w:eastAsia="Times New Roman" w:cs="Calibri"/>
          <w:b/>
          <w:b/>
          <w:bCs/>
          <w:color w:val="000000"/>
          <w:sz w:val="22"/>
          <w:szCs w:val="22"/>
          <w:shd w:fill="auto" w:val="clear"/>
          <w:lang w:eastAsia="en-GB"/>
        </w:rPr>
      </w:pPr>
      <w:r>
        <w:rPr>
          <w:rFonts w:eastAsia="Times New Roman" w:cs="Calibri" w:ascii="Calibri" w:hAnsi="Calibri"/>
          <w:b/>
          <w:bCs/>
          <w:color w:val="000000"/>
          <w:sz w:val="22"/>
          <w:szCs w:val="22"/>
          <w:shd w:fill="auto" w:val="clear"/>
          <w:lang w:eastAsia="en-GB"/>
        </w:rPr>
      </w:r>
    </w:p>
    <w:p>
      <w:pPr>
        <w:pStyle w:val="Normal"/>
        <w:ind w:start="0" w:end="0" w:hanging="0"/>
        <w:rPr>
          <w:rFonts w:ascii="Calibri" w:hAnsi="Calibri" w:eastAsia="Times New Roman" w:cs="Calibri"/>
          <w:color w:val="000000"/>
          <w:sz w:val="22"/>
          <w:szCs w:val="22"/>
          <w:lang w:eastAsia="en-GB"/>
        </w:rPr>
      </w:pPr>
      <w:r>
        <w:rPr>
          <w:rFonts w:eastAsia="Times New Roman" w:cs="Calibri" w:ascii="Calibri" w:hAnsi="Calibri"/>
          <w:b/>
          <w:bCs/>
          <w:color w:val="000000"/>
          <w:sz w:val="22"/>
          <w:szCs w:val="22"/>
          <w:shd w:fill="auto" w:val="clear"/>
          <w:lang w:eastAsia="en-GB"/>
        </w:rPr>
        <w:t xml:space="preserve">Table 9: </w:t>
      </w:r>
      <w:r>
        <w:rPr>
          <w:rFonts w:eastAsia="Times New Roman" w:cs="Calibri" w:ascii="Calibri" w:hAnsi="Calibri"/>
          <w:b w:val="false"/>
          <w:bCs w:val="false"/>
          <w:color w:val="000000"/>
          <w:sz w:val="22"/>
          <w:szCs w:val="22"/>
          <w:shd w:fill="auto" w:val="clear"/>
          <w:lang w:eastAsia="en-GB"/>
        </w:rPr>
        <w:t>Comparison of Model Residuals</w:t>
      </w:r>
    </w:p>
    <w:tbl>
      <w:tblPr>
        <w:tblW w:w="5149" w:type="dxa"/>
        <w:jc w:val="start"/>
        <w:tblInd w:w="-5" w:type="dxa"/>
        <w:tblLayout w:type="fixed"/>
        <w:tblCellMar>
          <w:top w:w="55" w:type="dxa"/>
          <w:start w:w="55" w:type="dxa"/>
          <w:bottom w:w="55" w:type="dxa"/>
          <w:end w:w="55" w:type="dxa"/>
        </w:tblCellMar>
      </w:tblPr>
      <w:tblGrid>
        <w:gridCol w:w="1245"/>
        <w:gridCol w:w="810"/>
        <w:gridCol w:w="1583"/>
        <w:gridCol w:w="1510"/>
      </w:tblGrid>
      <w:tr>
        <w:trPr/>
        <w:tc>
          <w:tcPr>
            <w:tcW w:w="1245" w:type="dxa"/>
            <w:tcBorders>
              <w:top w:val="single" w:sz="4" w:space="0" w:color="000000"/>
              <w:start w:val="single" w:sz="4" w:space="0" w:color="000000"/>
              <w:bottom w:val="single" w:sz="4" w:space="0" w:color="000000"/>
            </w:tcBorders>
            <w:vAlign w:val="center"/>
          </w:tcPr>
          <w:p>
            <w:pPr>
              <w:pStyle w:val="Normal"/>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tc>
        <w:tc>
          <w:tcPr>
            <w:tcW w:w="810" w:type="dxa"/>
            <w:tcBorders>
              <w:top w:val="single" w:sz="4" w:space="0" w:color="000000"/>
              <w:start w:val="single" w:sz="4" w:space="0" w:color="000000"/>
              <w:bottom w:val="single" w:sz="4" w:space="0" w:color="000000"/>
            </w:tcBorders>
            <w:vAlign w:val="center"/>
          </w:tcPr>
          <w:p>
            <w:pPr>
              <w:pStyle w:val="Normal"/>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Df</w:t>
            </w:r>
          </w:p>
        </w:tc>
        <w:tc>
          <w:tcPr>
            <w:tcW w:w="1583" w:type="dxa"/>
            <w:tcBorders>
              <w:top w:val="single" w:sz="4" w:space="0" w:color="000000"/>
              <w:start w:val="single" w:sz="4" w:space="0" w:color="000000"/>
              <w:bottom w:val="single" w:sz="4" w:space="0" w:color="000000"/>
            </w:tcBorders>
            <w:vAlign w:val="center"/>
          </w:tcPr>
          <w:p>
            <w:pPr>
              <w:pStyle w:val="Normal"/>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Sum Sq</w:t>
            </w:r>
          </w:p>
        </w:tc>
        <w:tc>
          <w:tcPr>
            <w:tcW w:w="1510"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Mean Sq</w:t>
            </w:r>
          </w:p>
        </w:tc>
      </w:tr>
      <w:tr>
        <w:trPr/>
        <w:tc>
          <w:tcPr>
            <w:tcW w:w="1245" w:type="dxa"/>
            <w:tcBorders>
              <w:start w:val="single" w:sz="4" w:space="0" w:color="000000"/>
              <w:bottom w:val="single" w:sz="4" w:space="0" w:color="000000"/>
            </w:tcBorders>
            <w:vAlign w:val="center"/>
          </w:tcPr>
          <w:p>
            <w:pPr>
              <w:pStyle w:val="Normal"/>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Model 1</w:t>
            </w:r>
          </w:p>
        </w:tc>
        <w:tc>
          <w:tcPr>
            <w:tcW w:w="810"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5231</w:t>
            </w:r>
          </w:p>
        </w:tc>
        <w:tc>
          <w:tcPr>
            <w:tcW w:w="1583"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4.913E+02</w:t>
            </w:r>
          </w:p>
        </w:tc>
        <w:tc>
          <w:tcPr>
            <w:tcW w:w="1510"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1.000E-01</w:t>
            </w:r>
          </w:p>
        </w:tc>
      </w:tr>
      <w:tr>
        <w:trPr/>
        <w:tc>
          <w:tcPr>
            <w:tcW w:w="1245" w:type="dxa"/>
            <w:tcBorders>
              <w:start w:val="single" w:sz="4" w:space="0" w:color="000000"/>
              <w:bottom w:val="single" w:sz="4" w:space="0" w:color="000000"/>
            </w:tcBorders>
            <w:vAlign w:val="center"/>
          </w:tcPr>
          <w:p>
            <w:pPr>
              <w:pStyle w:val="Normal"/>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Model 2</w:t>
            </w:r>
          </w:p>
        </w:tc>
        <w:tc>
          <w:tcPr>
            <w:tcW w:w="810"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4868</w:t>
            </w:r>
          </w:p>
        </w:tc>
        <w:tc>
          <w:tcPr>
            <w:tcW w:w="1583"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1.085E+03</w:t>
            </w:r>
          </w:p>
        </w:tc>
        <w:tc>
          <w:tcPr>
            <w:tcW w:w="1510"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2.200E-01</w:t>
            </w:r>
          </w:p>
        </w:tc>
      </w:tr>
      <w:tr>
        <w:trPr/>
        <w:tc>
          <w:tcPr>
            <w:tcW w:w="1245" w:type="dxa"/>
            <w:tcBorders>
              <w:start w:val="single" w:sz="4" w:space="0" w:color="000000"/>
              <w:bottom w:val="single" w:sz="4" w:space="0" w:color="000000"/>
            </w:tcBorders>
            <w:vAlign w:val="center"/>
          </w:tcPr>
          <w:p>
            <w:pPr>
              <w:pStyle w:val="Normal"/>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Model 3</w:t>
            </w:r>
          </w:p>
        </w:tc>
        <w:tc>
          <w:tcPr>
            <w:tcW w:w="810"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2818</w:t>
            </w:r>
          </w:p>
        </w:tc>
        <w:tc>
          <w:tcPr>
            <w:tcW w:w="1583"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7.111E+01</w:t>
            </w:r>
          </w:p>
        </w:tc>
        <w:tc>
          <w:tcPr>
            <w:tcW w:w="1510"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3.000E-02</w:t>
            </w:r>
          </w:p>
        </w:tc>
      </w:tr>
      <w:tr>
        <w:trPr/>
        <w:tc>
          <w:tcPr>
            <w:tcW w:w="1245" w:type="dxa"/>
            <w:tcBorders>
              <w:start w:val="single" w:sz="4" w:space="0" w:color="000000"/>
              <w:bottom w:val="single" w:sz="4" w:space="0" w:color="000000"/>
            </w:tcBorders>
            <w:vAlign w:val="center"/>
          </w:tcPr>
          <w:p>
            <w:pPr>
              <w:pStyle w:val="Normal"/>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Model 4</w:t>
            </w:r>
          </w:p>
        </w:tc>
        <w:tc>
          <w:tcPr>
            <w:tcW w:w="810"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2629</w:t>
            </w:r>
          </w:p>
        </w:tc>
        <w:tc>
          <w:tcPr>
            <w:tcW w:w="1583"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9.528E+01</w:t>
            </w:r>
          </w:p>
        </w:tc>
        <w:tc>
          <w:tcPr>
            <w:tcW w:w="1510"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4.000E-02</w:t>
            </w:r>
          </w:p>
        </w:tc>
      </w:tr>
    </w:tbl>
    <w:p>
      <w:pPr>
        <w:pStyle w:val="Normal"/>
        <w:rPr/>
      </w:pPr>
      <w:r>
        <w:rPr/>
      </w:r>
    </w:p>
    <w:p>
      <w:pPr>
        <w:pStyle w:val="Normal"/>
        <w:ind w:start="0" w:end="0" w:hanging="0"/>
        <w:rPr>
          <w:rFonts w:ascii="Calibri" w:hAnsi="Calibri" w:eastAsia="Times New Roman" w:cs="Calibri"/>
          <w:color w:val="000000"/>
          <w:sz w:val="22"/>
          <w:szCs w:val="22"/>
          <w:lang w:eastAsia="en-GB"/>
        </w:rPr>
      </w:pPr>
      <w:r>
        <w:rPr>
          <w:rFonts w:eastAsia="Times New Roman" w:cs="Calibri" w:ascii="Calibri" w:hAnsi="Calibri"/>
          <w:b/>
          <w:bCs/>
          <w:color w:val="000000"/>
          <w:sz w:val="22"/>
          <w:szCs w:val="22"/>
          <w:shd w:fill="auto" w:val="clear"/>
          <w:lang w:eastAsia="en-GB"/>
        </w:rPr>
        <w:t xml:space="preserve">Table 10: </w:t>
      </w:r>
      <w:r>
        <w:rPr>
          <w:rFonts w:eastAsia="Times New Roman" w:cs="Calibri" w:ascii="Calibri" w:hAnsi="Calibri"/>
          <w:b w:val="false"/>
          <w:bCs w:val="false"/>
          <w:color w:val="000000"/>
          <w:sz w:val="22"/>
          <w:szCs w:val="22"/>
          <w:shd w:fill="auto" w:val="clear"/>
          <w:lang w:eastAsia="en-GB"/>
        </w:rPr>
        <w:t>Comparison of Model performance.</w:t>
      </w:r>
    </w:p>
    <w:tbl>
      <w:tblPr>
        <w:tblW w:w="7710" w:type="dxa"/>
        <w:jc w:val="start"/>
        <w:tblInd w:w="-5" w:type="dxa"/>
        <w:tblLayout w:type="fixed"/>
        <w:tblCellMar>
          <w:top w:w="55" w:type="dxa"/>
          <w:start w:w="55" w:type="dxa"/>
          <w:bottom w:w="55" w:type="dxa"/>
          <w:end w:w="55" w:type="dxa"/>
        </w:tblCellMar>
      </w:tblPr>
      <w:tblGrid>
        <w:gridCol w:w="1074"/>
        <w:gridCol w:w="1280"/>
        <w:gridCol w:w="1281"/>
        <w:gridCol w:w="1549"/>
        <w:gridCol w:w="1347"/>
        <w:gridCol w:w="1178"/>
      </w:tblGrid>
      <w:tr>
        <w:trPr/>
        <w:tc>
          <w:tcPr>
            <w:tcW w:w="1074" w:type="dxa"/>
            <w:tcBorders>
              <w:top w:val="single" w:sz="4" w:space="0" w:color="000000"/>
              <w:start w:val="single" w:sz="4" w:space="0" w:color="000000"/>
              <w:bottom w:val="single" w:sz="4" w:space="0" w:color="000000"/>
            </w:tcBorders>
            <w:vAlign w:val="center"/>
          </w:tcPr>
          <w:p>
            <w:pPr>
              <w:pStyle w:val="Normal"/>
              <w:widowControl w:val="false"/>
              <w:tabs>
                <w:tab w:val="clear" w:pos="709"/>
              </w:tabs>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tc>
        <w:tc>
          <w:tcPr>
            <w:tcW w:w="1280" w:type="dxa"/>
            <w:tcBorders>
              <w:top w:val="single" w:sz="4" w:space="0" w:color="000000"/>
              <w:start w:val="single" w:sz="4" w:space="0" w:color="000000"/>
              <w:bottom w:val="single" w:sz="4" w:space="0" w:color="000000"/>
            </w:tcBorders>
            <w:vAlign w:val="center"/>
          </w:tcPr>
          <w:p>
            <w:pPr>
              <w:pStyle w:val="Normal"/>
              <w:widowControl w:val="false"/>
              <w:tabs>
                <w:tab w:val="clear" w:pos="709"/>
              </w:tabs>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RSE</w:t>
            </w:r>
          </w:p>
        </w:tc>
        <w:tc>
          <w:tcPr>
            <w:tcW w:w="1281" w:type="dxa"/>
            <w:tcBorders>
              <w:top w:val="single" w:sz="4" w:space="0" w:color="000000"/>
              <w:start w:val="single" w:sz="4" w:space="0" w:color="000000"/>
              <w:bottom w:val="single" w:sz="4" w:space="0" w:color="000000"/>
            </w:tcBorders>
            <w:vAlign w:val="center"/>
          </w:tcPr>
          <w:p>
            <w:pPr>
              <w:pStyle w:val="Normal"/>
              <w:widowControl w:val="false"/>
              <w:tabs>
                <w:tab w:val="clear" w:pos="709"/>
              </w:tabs>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R</w:t>
            </w:r>
            <w:r>
              <w:rPr>
                <w:b/>
                <w:bCs/>
                <w:i w:val="false"/>
                <w:iCs w:val="false"/>
                <w:strike w:val="false"/>
                <w:dstrike w:val="false"/>
                <w:outline w:val="false"/>
                <w:shadow w:val="false"/>
                <w:color w:val="000000"/>
                <w:sz w:val="24"/>
                <w:szCs w:val="24"/>
                <w:u w:val="none"/>
                <w:vertAlign w:val="superscript"/>
              </w:rPr>
              <w:t>2</w:t>
            </w:r>
          </w:p>
        </w:tc>
        <w:tc>
          <w:tcPr>
            <w:tcW w:w="1549" w:type="dxa"/>
            <w:tcBorders>
              <w:top w:val="single" w:sz="4" w:space="0" w:color="000000"/>
              <w:start w:val="single" w:sz="4" w:space="0" w:color="000000"/>
              <w:bottom w:val="single" w:sz="4" w:space="0" w:color="000000"/>
            </w:tcBorders>
            <w:vAlign w:val="center"/>
          </w:tcPr>
          <w:p>
            <w:pPr>
              <w:pStyle w:val="Normal"/>
              <w:widowControl w:val="false"/>
              <w:tabs>
                <w:tab w:val="clear" w:pos="709"/>
              </w:tabs>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Adjusted R</w:t>
            </w:r>
            <w:r>
              <w:rPr>
                <w:b/>
                <w:bCs/>
                <w:i w:val="false"/>
                <w:iCs w:val="false"/>
                <w:strike w:val="false"/>
                <w:dstrike w:val="false"/>
                <w:outline w:val="false"/>
                <w:shadow w:val="false"/>
                <w:color w:val="000000"/>
                <w:sz w:val="24"/>
                <w:szCs w:val="24"/>
                <w:u w:val="none"/>
                <w:vertAlign w:val="superscript"/>
              </w:rPr>
              <w:t>2</w:t>
            </w:r>
          </w:p>
        </w:tc>
        <w:tc>
          <w:tcPr>
            <w:tcW w:w="1347" w:type="dxa"/>
            <w:tcBorders>
              <w:top w:val="single" w:sz="4" w:space="0" w:color="000000"/>
              <w:start w:val="single" w:sz="4" w:space="0" w:color="000000"/>
              <w:bottom w:val="single" w:sz="4" w:space="0" w:color="000000"/>
            </w:tcBorders>
            <w:vAlign w:val="center"/>
          </w:tcPr>
          <w:p>
            <w:pPr>
              <w:pStyle w:val="Normal"/>
              <w:widowControl w:val="false"/>
              <w:tabs>
                <w:tab w:val="clear" w:pos="709"/>
              </w:tabs>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F-statistic</w:t>
            </w:r>
          </w:p>
        </w:tc>
        <w:tc>
          <w:tcPr>
            <w:tcW w:w="1178"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tabs>
                <w:tab w:val="clear" w:pos="709"/>
              </w:tabs>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P-Value</w:t>
            </w:r>
          </w:p>
        </w:tc>
      </w:tr>
      <w:tr>
        <w:trPr/>
        <w:tc>
          <w:tcPr>
            <w:tcW w:w="1074" w:type="dxa"/>
            <w:tcBorders>
              <w:start w:val="single" w:sz="4" w:space="0" w:color="000000"/>
              <w:bottom w:val="single" w:sz="4" w:space="0" w:color="000000"/>
            </w:tcBorders>
            <w:vAlign w:val="center"/>
          </w:tcPr>
          <w:p>
            <w:pPr>
              <w:pStyle w:val="Normal"/>
              <w:widowControl w:val="false"/>
              <w:tabs>
                <w:tab w:val="clear" w:pos="709"/>
              </w:tabs>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Model 1</w:t>
            </w:r>
          </w:p>
        </w:tc>
        <w:tc>
          <w:tcPr>
            <w:tcW w:w="1280"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3.065E-01</w:t>
            </w:r>
          </w:p>
        </w:tc>
        <w:tc>
          <w:tcPr>
            <w:tcW w:w="1281"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9.072E-01</w:t>
            </w:r>
          </w:p>
        </w:tc>
        <w:tc>
          <w:tcPr>
            <w:tcW w:w="1549"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9.061E-01</w:t>
            </w:r>
          </w:p>
        </w:tc>
        <w:tc>
          <w:tcPr>
            <w:tcW w:w="1347"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7.753E+02</w:t>
            </w:r>
          </w:p>
        </w:tc>
        <w:tc>
          <w:tcPr>
            <w:tcW w:w="1178" w:type="dxa"/>
            <w:tcBorders>
              <w:start w:val="single" w:sz="4" w:space="0" w:color="000000"/>
              <w:bottom w:val="single" w:sz="4" w:space="0" w:color="000000"/>
              <w:end w:val="single" w:sz="4" w:space="0" w:color="000000"/>
            </w:tcBorders>
            <w:vAlign w:val="center"/>
          </w:tcPr>
          <w:p>
            <w:pPr>
              <w:pStyle w:val="Normal"/>
              <w:widowControl w:val="false"/>
              <w:tabs>
                <w:tab w:val="clear" w:pos="709"/>
              </w:tab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&lt; 2.2e-16</w:t>
            </w:r>
          </w:p>
        </w:tc>
      </w:tr>
      <w:tr>
        <w:trPr/>
        <w:tc>
          <w:tcPr>
            <w:tcW w:w="1074" w:type="dxa"/>
            <w:tcBorders>
              <w:start w:val="single" w:sz="4" w:space="0" w:color="000000"/>
              <w:bottom w:val="single" w:sz="4" w:space="0" w:color="000000"/>
            </w:tcBorders>
            <w:vAlign w:val="center"/>
          </w:tcPr>
          <w:p>
            <w:pPr>
              <w:pStyle w:val="Normal"/>
              <w:widowControl w:val="false"/>
              <w:tabs>
                <w:tab w:val="clear" w:pos="709"/>
              </w:tabs>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Model 2</w:t>
            </w:r>
          </w:p>
        </w:tc>
        <w:tc>
          <w:tcPr>
            <w:tcW w:w="1280"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4.722E-01</w:t>
            </w:r>
          </w:p>
        </w:tc>
        <w:tc>
          <w:tcPr>
            <w:tcW w:w="1281"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7.951E-01</w:t>
            </w:r>
          </w:p>
        </w:tc>
        <w:tc>
          <w:tcPr>
            <w:tcW w:w="1549"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7.770E-01</w:t>
            </w:r>
          </w:p>
        </w:tc>
        <w:tc>
          <w:tcPr>
            <w:tcW w:w="1347"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4.403E+01</w:t>
            </w:r>
          </w:p>
        </w:tc>
        <w:tc>
          <w:tcPr>
            <w:tcW w:w="1178" w:type="dxa"/>
            <w:tcBorders>
              <w:start w:val="single" w:sz="4" w:space="0" w:color="000000"/>
              <w:bottom w:val="single" w:sz="4" w:space="0" w:color="000000"/>
              <w:end w:val="single" w:sz="4" w:space="0" w:color="000000"/>
            </w:tcBorders>
            <w:vAlign w:val="center"/>
          </w:tcPr>
          <w:p>
            <w:pPr>
              <w:pStyle w:val="Normal"/>
              <w:widowControl w:val="false"/>
              <w:tabs>
                <w:tab w:val="clear" w:pos="709"/>
              </w:tab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&lt; 2.2e-16</w:t>
            </w:r>
          </w:p>
        </w:tc>
      </w:tr>
      <w:tr>
        <w:trPr/>
        <w:tc>
          <w:tcPr>
            <w:tcW w:w="1074" w:type="dxa"/>
            <w:tcBorders>
              <w:start w:val="single" w:sz="4" w:space="0" w:color="000000"/>
              <w:bottom w:val="single" w:sz="4" w:space="0" w:color="000000"/>
            </w:tcBorders>
            <w:vAlign w:val="center"/>
          </w:tcPr>
          <w:p>
            <w:pPr>
              <w:pStyle w:val="Normal"/>
              <w:widowControl w:val="false"/>
              <w:tabs>
                <w:tab w:val="clear" w:pos="709"/>
              </w:tabs>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Model 3</w:t>
            </w:r>
          </w:p>
        </w:tc>
        <w:tc>
          <w:tcPr>
            <w:tcW w:w="1280"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1.589E-01</w:t>
            </w:r>
          </w:p>
        </w:tc>
        <w:tc>
          <w:tcPr>
            <w:tcW w:w="1281"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9.753E-01</w:t>
            </w:r>
          </w:p>
        </w:tc>
        <w:tc>
          <w:tcPr>
            <w:tcW w:w="1549"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9.748E-01</w:t>
            </w:r>
          </w:p>
        </w:tc>
        <w:tc>
          <w:tcPr>
            <w:tcW w:w="1347"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1.885E+03</w:t>
            </w:r>
          </w:p>
        </w:tc>
        <w:tc>
          <w:tcPr>
            <w:tcW w:w="1178" w:type="dxa"/>
            <w:tcBorders>
              <w:start w:val="single" w:sz="4" w:space="0" w:color="000000"/>
              <w:bottom w:val="single" w:sz="4" w:space="0" w:color="000000"/>
              <w:end w:val="single" w:sz="4" w:space="0" w:color="000000"/>
            </w:tcBorders>
            <w:vAlign w:val="center"/>
          </w:tcPr>
          <w:p>
            <w:pPr>
              <w:pStyle w:val="Normal"/>
              <w:widowControl w:val="false"/>
              <w:tabs>
                <w:tab w:val="clear" w:pos="709"/>
              </w:tab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&lt; 2.2e-16</w:t>
            </w:r>
          </w:p>
        </w:tc>
      </w:tr>
      <w:tr>
        <w:trPr/>
        <w:tc>
          <w:tcPr>
            <w:tcW w:w="1074" w:type="dxa"/>
            <w:tcBorders>
              <w:start w:val="single" w:sz="4" w:space="0" w:color="000000"/>
              <w:bottom w:val="single" w:sz="4" w:space="0" w:color="000000"/>
            </w:tcBorders>
            <w:vAlign w:val="center"/>
          </w:tcPr>
          <w:p>
            <w:pPr>
              <w:pStyle w:val="Normal"/>
              <w:widowControl w:val="false"/>
              <w:tabs>
                <w:tab w:val="clear" w:pos="709"/>
              </w:tabs>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Model 4</w:t>
            </w:r>
          </w:p>
        </w:tc>
        <w:tc>
          <w:tcPr>
            <w:tcW w:w="1280"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1.904E-01</w:t>
            </w:r>
          </w:p>
        </w:tc>
        <w:tc>
          <w:tcPr>
            <w:tcW w:w="1281"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9.669E-01</w:t>
            </w:r>
          </w:p>
        </w:tc>
        <w:tc>
          <w:tcPr>
            <w:tcW w:w="1549"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9.638E-01</w:t>
            </w:r>
          </w:p>
        </w:tc>
        <w:tc>
          <w:tcPr>
            <w:tcW w:w="1347" w:type="dxa"/>
            <w:tcBorders>
              <w:star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3.095E+02</w:t>
            </w:r>
          </w:p>
        </w:tc>
        <w:tc>
          <w:tcPr>
            <w:tcW w:w="1178" w:type="dxa"/>
            <w:tcBorders>
              <w:start w:val="single" w:sz="4" w:space="0" w:color="000000"/>
              <w:bottom w:val="single" w:sz="4" w:space="0" w:color="000000"/>
              <w:end w:val="single" w:sz="4" w:space="0" w:color="000000"/>
            </w:tcBorders>
            <w:vAlign w:val="center"/>
          </w:tcPr>
          <w:p>
            <w:pPr>
              <w:pStyle w:val="Normal"/>
              <w:widowControl w:val="false"/>
              <w:tabs>
                <w:tab w:val="clear" w:pos="709"/>
              </w:tab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&lt; 2.2e-16</w:t>
            </w:r>
          </w:p>
        </w:tc>
      </w:tr>
    </w:tbl>
    <w:p>
      <w:pPr>
        <w:pStyle w:val="Normal"/>
        <w:rPr/>
      </w:pPr>
      <w:r>
        <w:rPr/>
      </w:r>
    </w:p>
    <w:p>
      <w:pPr>
        <w:pStyle w:val="ListParagraph"/>
        <w:ind w:start="0" w:end="0" w:hanging="0"/>
        <w:rPr>
          <w:rFonts w:ascii="Calibri" w:hAnsi="Calibri" w:eastAsia="Times New Roman" w:cs="Calibri"/>
          <w:b w:val="false"/>
          <w:b w:val="false"/>
          <w:bCs w:val="false"/>
          <w:color w:val="000000"/>
          <w:sz w:val="22"/>
          <w:szCs w:val="22"/>
          <w:u w:val="none"/>
          <w:shd w:fill="auto" w:val="clear"/>
          <w:lang w:eastAsia="en-GB"/>
        </w:rPr>
      </w:pPr>
      <w:r>
        <w:rPr>
          <w:rFonts w:eastAsia="Times New Roman" w:cs="Calibri" w:ascii="Calibri" w:hAnsi="Calibri"/>
          <w:b w:val="false"/>
          <w:bCs w:val="false"/>
          <w:color w:val="000000"/>
          <w:sz w:val="22"/>
          <w:szCs w:val="22"/>
          <w:u w:val="none"/>
          <w:shd w:fill="auto" w:val="clear"/>
          <w:lang w:eastAsia="en-GB"/>
        </w:rPr>
        <w:t>Models 1 and 2 suffered from overestimating yield, with Models 3 and 4 underestimating crop value (See Figures 1, 2, 3 and 4). Reviewing the data to uncover reasons for this included the use of binary variables such as the utilisation of renewable energy, contractors, and the occurrence of disease, fire and frost; however none of these variables were able to explain why some vineyards produced less, or why other vineyards sold at higher prices than predicted. A wide variety of these influences were likely already explained within the use of year and GI Region, or the interaction of both variables. The change between some regions was dramatic, with particularly warmer and drier regions producing much higher volumes of grapes at lower prices (See Figures 5 and 6). The use of other variables and methods, specifically splines, were able to create a more normally distributed set of residuals but at a drastically reduced accuracy when comparing R</w:t>
      </w:r>
      <w:r>
        <w:rPr>
          <w:rFonts w:eastAsia="Times New Roman" w:cs="Calibri" w:ascii="Calibri" w:hAnsi="Calibri"/>
          <w:b w:val="false"/>
          <w:bCs w:val="false"/>
          <w:color w:val="000000"/>
          <w:sz w:val="22"/>
          <w:szCs w:val="22"/>
          <w:u w:val="none"/>
          <w:shd w:fill="auto" w:val="clear"/>
          <w:vertAlign w:val="superscript"/>
          <w:lang w:eastAsia="en-GB"/>
        </w:rPr>
        <w:t>2</w:t>
      </w:r>
      <w:r>
        <w:rPr>
          <w:rFonts w:eastAsia="Times New Roman" w:cs="Calibri" w:ascii="Calibri" w:hAnsi="Calibri"/>
          <w:b w:val="false"/>
          <w:bCs w:val="false"/>
          <w:color w:val="000000"/>
          <w:position w:val="0"/>
          <w:sz w:val="22"/>
          <w:sz w:val="22"/>
          <w:szCs w:val="22"/>
          <w:u w:val="none"/>
          <w:shd w:fill="auto" w:val="clear"/>
          <w:vertAlign w:val="baseline"/>
          <w:lang w:eastAsia="en-GB"/>
        </w:rPr>
        <w:t xml:space="preserve"> and RSE. The introduction of known average prices per tonne also helped increase R</w:t>
      </w:r>
      <w:r>
        <w:rPr>
          <w:rFonts w:eastAsia="Times New Roman" w:cs="Calibri" w:ascii="Calibri" w:hAnsi="Calibri"/>
          <w:b w:val="false"/>
          <w:bCs w:val="false"/>
          <w:color w:val="000000"/>
          <w:sz w:val="22"/>
          <w:szCs w:val="22"/>
          <w:u w:val="none"/>
          <w:shd w:fill="auto" w:val="clear"/>
          <w:vertAlign w:val="superscript"/>
          <w:lang w:eastAsia="en-GB"/>
        </w:rPr>
        <w:t>2</w:t>
      </w:r>
      <w:r>
        <w:rPr>
          <w:rFonts w:eastAsia="Times New Roman" w:cs="Calibri" w:ascii="Calibri" w:hAnsi="Calibri"/>
          <w:b w:val="false"/>
          <w:bCs w:val="false"/>
          <w:color w:val="000000"/>
          <w:position w:val="0"/>
          <w:sz w:val="22"/>
          <w:sz w:val="22"/>
          <w:szCs w:val="22"/>
          <w:u w:val="none"/>
          <w:shd w:fill="auto" w:val="clear"/>
          <w:vertAlign w:val="baseline"/>
          <w:lang w:eastAsia="en-GB"/>
        </w:rPr>
        <w:t xml:space="preserve"> values a small amount; it is important to not that it is common practice for wineries to purchase grapes at a regional average rate, likely resulting in much less variance within a region.</w:t>
      </w:r>
    </w:p>
    <w:p>
      <w:pPr>
        <w:pStyle w:val="ListParagraph"/>
        <w:ind w:start="0" w:end="0" w:hanging="0"/>
        <w:rPr>
          <w:rFonts w:ascii="Calibri" w:hAnsi="Calibri" w:eastAsia="Times New Roman" w:cs="Calibri"/>
          <w:b/>
          <w:b/>
          <w:bCs/>
          <w:color w:val="000000"/>
          <w:sz w:val="22"/>
          <w:szCs w:val="22"/>
          <w:shd w:fill="auto" w:val="clear"/>
          <w:lang w:eastAsia="en-GB"/>
        </w:rPr>
      </w:pPr>
      <w:r>
        <w:rPr>
          <w:rFonts w:eastAsia="Times New Roman" w:cs="Calibri" w:ascii="Calibri" w:hAnsi="Calibri"/>
          <w:b/>
          <w:bCs/>
          <w:color w:val="000000"/>
          <w:sz w:val="22"/>
          <w:szCs w:val="22"/>
          <w:shd w:fill="auto" w:val="clear"/>
          <w:lang w:eastAsia="en-GB"/>
        </w:rPr>
      </w:r>
    </w:p>
    <w:p>
      <w:pPr>
        <w:pStyle w:val="Normal"/>
        <w:ind w:start="0" w:end="0" w:hanging="0"/>
        <w:rPr>
          <w:rFonts w:ascii="Calibri" w:hAnsi="Calibri" w:eastAsia="Times New Roman" w:cs="Calibri"/>
          <w:color w:val="000000"/>
          <w:sz w:val="22"/>
          <w:szCs w:val="22"/>
          <w:lang w:eastAsia="en-GB"/>
        </w:rPr>
      </w:pPr>
      <w:r>
        <w:rPr>
          <w:rFonts w:eastAsia="Times New Roman" w:cs="Calibri" w:ascii="Calibri" w:hAnsi="Calibri"/>
          <w:b/>
          <w:bCs/>
          <w:color w:val="000000"/>
          <w:sz w:val="22"/>
          <w:szCs w:val="22"/>
          <w:shd w:fill="auto" w:val="clear"/>
          <w:lang w:eastAsia="en-GB"/>
        </w:rPr>
        <w:t xml:space="preserve">Figure 1: </w:t>
      </w:r>
      <w:r>
        <w:rPr>
          <w:rFonts w:eastAsia="Times New Roman" w:cs="Calibri" w:ascii="Calibri" w:hAnsi="Calibri"/>
          <w:b w:val="false"/>
          <w:bCs w:val="false"/>
          <w:color w:val="000000"/>
          <w:sz w:val="22"/>
          <w:szCs w:val="22"/>
          <w:shd w:fill="auto" w:val="clear"/>
          <w:lang w:eastAsia="en-GB"/>
        </w:rPr>
        <w:t>Model 1 residuals vs fitted (left) and QQ plot (right).</w:t>
      </w:r>
      <w:r>
        <w:rPr>
          <w:rFonts w:eastAsia="Times New Roman" w:cs="Calibri" w:ascii="Calibri" w:hAnsi="Calibri"/>
          <w:b/>
          <w:bCs/>
          <w:color w:val="000000"/>
          <w:sz w:val="22"/>
          <w:szCs w:val="22"/>
          <w:shd w:fill="auto" w:val="clear"/>
          <w:lang w:eastAsia="en-GB"/>
        </w:rPr>
        <w:t xml:space="preserve"> </w:t>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widowControl w:val="false"/>
              <w:rPr>
                <w:rFonts w:ascii="Calibri" w:hAnsi="Calibri" w:eastAsia="Times New Roman" w:cs="Calibri"/>
                <w:sz w:val="22"/>
                <w:szCs w:val="22"/>
              </w:rPr>
            </w:pPr>
            <w:r>
              <w:rPr>
                <w:rFonts w:eastAsia="Times New Roman" w:cs="Calibri" w:ascii="Calibri" w:hAnsi="Calibri"/>
                <w:sz w:val="22"/>
                <w:szCs w:val="22"/>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060065" cy="2948940"/>
                  <wp:effectExtent l="0" t="0" r="0" b="0"/>
                  <wp:wrapSquare wrapText="largest"/>
                  <wp:docPr id="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 descr="" title=""/>
                          <pic:cNvPicPr>
                            <a:picLocks noChangeAspect="1" noChangeArrowheads="1"/>
                          </pic:cNvPicPr>
                        </pic:nvPicPr>
                        <pic:blipFill>
                          <a:blip r:embed="rId5"/>
                          <a:stretch>
                            <a:fillRect/>
                          </a:stretch>
                        </pic:blipFill>
                        <pic:spPr bwMode="auto">
                          <a:xfrm>
                            <a:off x="0" y="0"/>
                            <a:ext cx="3060065" cy="2948940"/>
                          </a:xfrm>
                          <a:prstGeom prst="rect">
                            <a:avLst/>
                          </a:prstGeom>
                        </pic:spPr>
                      </pic:pic>
                    </a:graphicData>
                  </a:graphic>
                </wp:anchor>
              </w:drawing>
            </w:r>
          </w:p>
        </w:tc>
        <w:tc>
          <w:tcPr>
            <w:tcW w:w="4819" w:type="dxa"/>
            <w:tcBorders/>
          </w:tcPr>
          <w:p>
            <w:pPr>
              <w:pStyle w:val="TableContents"/>
              <w:widowControl w:val="false"/>
              <w:rPr>
                <w:rFonts w:ascii="Calibri" w:hAnsi="Calibri" w:eastAsia="Times New Roman" w:cs="Calibri"/>
                <w:sz w:val="22"/>
                <w:szCs w:val="22"/>
              </w:rPr>
            </w:pPr>
            <w:r>
              <w:rPr>
                <w:rFonts w:eastAsia="Times New Roman" w:cs="Calibri" w:ascii="Calibri" w:hAnsi="Calibri"/>
                <w:sz w:val="22"/>
                <w:szCs w:val="22"/>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3060065" cy="2830830"/>
                  <wp:effectExtent l="0" t="0" r="0" b="0"/>
                  <wp:wrapSquare wrapText="largest"/>
                  <wp:docPr id="5"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 descr="" title=""/>
                          <pic:cNvPicPr>
                            <a:picLocks noChangeAspect="1" noChangeArrowheads="1"/>
                          </pic:cNvPicPr>
                        </pic:nvPicPr>
                        <pic:blipFill>
                          <a:blip r:embed="rId6"/>
                          <a:stretch>
                            <a:fillRect/>
                          </a:stretch>
                        </pic:blipFill>
                        <pic:spPr bwMode="auto">
                          <a:xfrm>
                            <a:off x="0" y="0"/>
                            <a:ext cx="3060065" cy="2830830"/>
                          </a:xfrm>
                          <a:prstGeom prst="rect">
                            <a:avLst/>
                          </a:prstGeom>
                        </pic:spPr>
                      </pic:pic>
                    </a:graphicData>
                  </a:graphic>
                </wp:anchor>
              </w:drawing>
            </w:r>
          </w:p>
        </w:tc>
      </w:tr>
    </w:tbl>
    <w:p>
      <w:pPr>
        <w:pStyle w:val="Normal"/>
        <w:ind w:start="0" w:end="0" w:hanging="0"/>
        <w:rPr>
          <w:rFonts w:ascii="Calibri" w:hAnsi="Calibri" w:eastAsia="Times New Roman" w:cs="Calibri"/>
          <w:b/>
          <w:b/>
          <w:bCs/>
          <w:color w:val="000000"/>
          <w:sz w:val="22"/>
          <w:szCs w:val="22"/>
          <w:shd w:fill="auto" w:val="clear"/>
          <w:lang w:eastAsia="en-GB"/>
        </w:rPr>
      </w:pPr>
      <w:r>
        <w:rPr>
          <w:rFonts w:eastAsia="Times New Roman" w:cs="Calibri" w:ascii="Calibri" w:hAnsi="Calibri"/>
          <w:b/>
          <w:bCs/>
          <w:color w:val="000000"/>
          <w:sz w:val="22"/>
          <w:szCs w:val="22"/>
          <w:shd w:fill="auto" w:val="clear"/>
          <w:lang w:eastAsia="en-GB"/>
        </w:rPr>
      </w:r>
    </w:p>
    <w:p>
      <w:pPr>
        <w:pStyle w:val="Normal"/>
        <w:ind w:start="0" w:end="0" w:hanging="0"/>
        <w:rPr>
          <w:rFonts w:ascii="Calibri" w:hAnsi="Calibri" w:eastAsia="Times New Roman" w:cs="Calibri"/>
          <w:b/>
          <w:b/>
          <w:bCs/>
          <w:color w:val="000000"/>
          <w:sz w:val="22"/>
          <w:szCs w:val="22"/>
          <w:shd w:fill="auto" w:val="clear"/>
          <w:lang w:eastAsia="en-GB"/>
        </w:rPr>
      </w:pPr>
      <w:r>
        <w:rPr>
          <w:rFonts w:eastAsia="Times New Roman" w:cs="Calibri" w:ascii="Calibri" w:hAnsi="Calibri"/>
          <w:b/>
          <w:bCs/>
          <w:color w:val="000000"/>
          <w:sz w:val="22"/>
          <w:szCs w:val="22"/>
          <w:shd w:fill="auto" w:val="clear"/>
          <w:lang w:eastAsia="en-GB"/>
        </w:rPr>
      </w:r>
    </w:p>
    <w:p>
      <w:pPr>
        <w:pStyle w:val="Normal"/>
        <w:ind w:start="0" w:end="0" w:hanging="0"/>
        <w:rPr>
          <w:rFonts w:ascii="Calibri" w:hAnsi="Calibri" w:eastAsia="Times New Roman" w:cs="Calibri"/>
          <w:b/>
          <w:b/>
          <w:bCs/>
          <w:color w:val="000000"/>
          <w:sz w:val="22"/>
          <w:szCs w:val="22"/>
          <w:shd w:fill="auto" w:val="clear"/>
          <w:lang w:eastAsia="en-GB"/>
        </w:rPr>
      </w:pPr>
      <w:r>
        <w:rPr>
          <w:rFonts w:eastAsia="Times New Roman" w:cs="Calibri" w:ascii="Calibri" w:hAnsi="Calibri"/>
          <w:b/>
          <w:bCs/>
          <w:color w:val="000000"/>
          <w:sz w:val="22"/>
          <w:szCs w:val="22"/>
          <w:shd w:fill="auto" w:val="clear"/>
          <w:lang w:eastAsia="en-GB"/>
        </w:rPr>
      </w:r>
    </w:p>
    <w:p>
      <w:pPr>
        <w:pStyle w:val="Normal"/>
        <w:ind w:start="0" w:end="0" w:hanging="0"/>
        <w:rPr>
          <w:rFonts w:ascii="Calibri" w:hAnsi="Calibri" w:eastAsia="Times New Roman" w:cs="Calibri"/>
          <w:color w:val="000000"/>
          <w:sz w:val="22"/>
          <w:szCs w:val="22"/>
          <w:lang w:eastAsia="en-GB"/>
        </w:rPr>
      </w:pPr>
      <w:r>
        <w:rPr>
          <w:rFonts w:eastAsia="Times New Roman" w:cs="Calibri" w:ascii="Calibri" w:hAnsi="Calibri"/>
          <w:b/>
          <w:bCs/>
          <w:color w:val="000000"/>
          <w:sz w:val="22"/>
          <w:szCs w:val="22"/>
          <w:shd w:fill="auto" w:val="clear"/>
          <w:lang w:eastAsia="en-GB"/>
        </w:rPr>
        <w:t xml:space="preserve">Figure 2:  </w:t>
      </w:r>
      <w:r>
        <w:rPr>
          <w:rFonts w:eastAsia="Times New Roman" w:cs="Calibri" w:ascii="Calibri" w:hAnsi="Calibri"/>
          <w:b w:val="false"/>
          <w:bCs w:val="false"/>
          <w:color w:val="000000"/>
          <w:sz w:val="22"/>
          <w:szCs w:val="22"/>
          <w:shd w:fill="auto" w:val="clear"/>
          <w:lang w:eastAsia="en-GB"/>
        </w:rPr>
        <w:t>Model 2 residuals vs fitted (left) and QQ plot (right).</w:t>
      </w:r>
      <w:r>
        <w:rPr>
          <w:rFonts w:eastAsia="Times New Roman" w:cs="Calibri" w:ascii="Calibri" w:hAnsi="Calibri"/>
          <w:b/>
          <w:bCs/>
          <w:color w:val="000000"/>
          <w:sz w:val="22"/>
          <w:szCs w:val="22"/>
          <w:shd w:fill="auto" w:val="clear"/>
          <w:lang w:eastAsia="en-GB"/>
        </w:rPr>
        <w:t xml:space="preserve"> </w:t>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widowControl w:val="false"/>
              <w:rPr>
                <w:rFonts w:ascii="Calibri" w:hAnsi="Calibri" w:eastAsia="Times New Roman" w:cs="Calibri"/>
                <w:sz w:val="22"/>
                <w:szCs w:val="22"/>
              </w:rPr>
            </w:pPr>
            <w:r>
              <w:rPr>
                <w:rFonts w:eastAsia="Times New Roman" w:cs="Calibri" w:ascii="Calibri" w:hAnsi="Calibri"/>
                <w:sz w:val="22"/>
                <w:szCs w:val="22"/>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3060065" cy="2761615"/>
                  <wp:effectExtent l="0" t="0" r="0" b="0"/>
                  <wp:wrapSquare wrapText="largest"/>
                  <wp:docPr id="6"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descr="" title=""/>
                          <pic:cNvPicPr>
                            <a:picLocks noChangeAspect="1" noChangeArrowheads="1"/>
                          </pic:cNvPicPr>
                        </pic:nvPicPr>
                        <pic:blipFill>
                          <a:blip r:embed="rId7"/>
                          <a:stretch>
                            <a:fillRect/>
                          </a:stretch>
                        </pic:blipFill>
                        <pic:spPr bwMode="auto">
                          <a:xfrm>
                            <a:off x="0" y="0"/>
                            <a:ext cx="3060065" cy="2761615"/>
                          </a:xfrm>
                          <a:prstGeom prst="rect">
                            <a:avLst/>
                          </a:prstGeom>
                        </pic:spPr>
                      </pic:pic>
                    </a:graphicData>
                  </a:graphic>
                </wp:anchor>
              </w:drawing>
            </w:r>
          </w:p>
        </w:tc>
        <w:tc>
          <w:tcPr>
            <w:tcW w:w="4819" w:type="dxa"/>
            <w:tcBorders/>
          </w:tcPr>
          <w:p>
            <w:pPr>
              <w:pStyle w:val="TableContents"/>
              <w:widowControl w:val="false"/>
              <w:rPr>
                <w:rFonts w:ascii="Calibri" w:hAnsi="Calibri" w:eastAsia="Times New Roman" w:cs="Calibri"/>
                <w:sz w:val="22"/>
                <w:szCs w:val="22"/>
              </w:rPr>
            </w:pPr>
            <w:r>
              <w:rPr>
                <w:rFonts w:eastAsia="Times New Roman" w:cs="Calibri" w:ascii="Calibri" w:hAnsi="Calibri"/>
                <w:sz w:val="22"/>
                <w:szCs w:val="22"/>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060065" cy="2717165"/>
                  <wp:effectExtent l="0" t="0" r="0" b="0"/>
                  <wp:wrapSquare wrapText="largest"/>
                  <wp:docPr id="7"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title=""/>
                          <pic:cNvPicPr>
                            <a:picLocks noChangeAspect="1" noChangeArrowheads="1"/>
                          </pic:cNvPicPr>
                        </pic:nvPicPr>
                        <pic:blipFill>
                          <a:blip r:embed="rId8"/>
                          <a:stretch>
                            <a:fillRect/>
                          </a:stretch>
                        </pic:blipFill>
                        <pic:spPr bwMode="auto">
                          <a:xfrm>
                            <a:off x="0" y="0"/>
                            <a:ext cx="3060065" cy="2717165"/>
                          </a:xfrm>
                          <a:prstGeom prst="rect">
                            <a:avLst/>
                          </a:prstGeom>
                        </pic:spPr>
                      </pic:pic>
                    </a:graphicData>
                  </a:graphic>
                </wp:anchor>
              </w:drawing>
            </w:r>
          </w:p>
        </w:tc>
      </w:tr>
    </w:tbl>
    <w:p>
      <w:pPr>
        <w:pStyle w:val="Normal"/>
        <w:ind w:start="0" w:end="0" w:hanging="0"/>
        <w:rPr>
          <w:rFonts w:ascii="Calibri" w:hAnsi="Calibri" w:eastAsia="Times New Roman" w:cs="Calibri"/>
          <w:b/>
          <w:b/>
          <w:bCs/>
          <w:color w:val="000000"/>
          <w:sz w:val="22"/>
          <w:szCs w:val="22"/>
          <w:shd w:fill="auto" w:val="clear"/>
          <w:lang w:eastAsia="en-GB"/>
        </w:rPr>
      </w:pPr>
      <w:r>
        <w:rPr>
          <w:rFonts w:eastAsia="Times New Roman" w:cs="Calibri" w:ascii="Calibri" w:hAnsi="Calibri"/>
          <w:b/>
          <w:bCs/>
          <w:color w:val="000000"/>
          <w:sz w:val="22"/>
          <w:szCs w:val="22"/>
          <w:shd w:fill="auto" w:val="clear"/>
          <w:lang w:eastAsia="en-GB"/>
        </w:rPr>
      </w:r>
    </w:p>
    <w:p>
      <w:pPr>
        <w:pStyle w:val="Normal"/>
        <w:ind w:start="0" w:end="0" w:hanging="0"/>
        <w:rPr>
          <w:rFonts w:ascii="Calibri" w:hAnsi="Calibri" w:eastAsia="Times New Roman" w:cs="Calibri"/>
          <w:color w:val="000000"/>
          <w:sz w:val="22"/>
          <w:szCs w:val="22"/>
          <w:lang w:eastAsia="en-GB"/>
        </w:rPr>
      </w:pPr>
      <w:r>
        <w:rPr>
          <w:rFonts w:eastAsia="Times New Roman" w:cs="Calibri" w:ascii="Calibri" w:hAnsi="Calibri"/>
          <w:b/>
          <w:bCs/>
          <w:color w:val="000000"/>
          <w:sz w:val="22"/>
          <w:szCs w:val="22"/>
          <w:shd w:fill="auto" w:val="clear"/>
          <w:lang w:eastAsia="en-GB"/>
        </w:rPr>
        <w:t xml:space="preserve">Figure 3:  </w:t>
      </w:r>
      <w:r>
        <w:rPr>
          <w:rFonts w:eastAsia="Times New Roman" w:cs="Calibri" w:ascii="Calibri" w:hAnsi="Calibri"/>
          <w:b w:val="false"/>
          <w:bCs w:val="false"/>
          <w:color w:val="000000"/>
          <w:sz w:val="22"/>
          <w:szCs w:val="22"/>
          <w:shd w:fill="auto" w:val="clear"/>
          <w:lang w:eastAsia="en-GB"/>
        </w:rPr>
        <w:t>Model 3 residuals vs fitted (left) and QQ plot (right).</w:t>
      </w:r>
      <w:r>
        <w:rPr>
          <w:rFonts w:eastAsia="Times New Roman" w:cs="Calibri" w:ascii="Calibri" w:hAnsi="Calibri"/>
          <w:b/>
          <w:bCs/>
          <w:color w:val="000000"/>
          <w:sz w:val="22"/>
          <w:szCs w:val="22"/>
          <w:shd w:fill="auto" w:val="clear"/>
          <w:lang w:eastAsia="en-GB"/>
        </w:rPr>
        <w:t xml:space="preserve"> </w:t>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widowControl w:val="false"/>
              <w:rPr>
                <w:rFonts w:ascii="Calibri" w:hAnsi="Calibri" w:eastAsia="Times New Roman" w:cs="Calibri"/>
                <w:sz w:val="22"/>
                <w:szCs w:val="22"/>
              </w:rPr>
            </w:pPr>
            <w:r>
              <w:rPr>
                <w:rFonts w:eastAsia="Times New Roman" w:cs="Calibri" w:ascii="Calibri" w:hAnsi="Calibri"/>
                <w:sz w:val="22"/>
                <w:szCs w:val="22"/>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060065" cy="2799715"/>
                  <wp:effectExtent l="0" t="0" r="0" b="0"/>
                  <wp:wrapSquare wrapText="largest"/>
                  <wp:docPr id="8"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title=""/>
                          <pic:cNvPicPr>
                            <a:picLocks noChangeAspect="1" noChangeArrowheads="1"/>
                          </pic:cNvPicPr>
                        </pic:nvPicPr>
                        <pic:blipFill>
                          <a:blip r:embed="rId9"/>
                          <a:stretch>
                            <a:fillRect/>
                          </a:stretch>
                        </pic:blipFill>
                        <pic:spPr bwMode="auto">
                          <a:xfrm>
                            <a:off x="0" y="0"/>
                            <a:ext cx="3060065" cy="2799715"/>
                          </a:xfrm>
                          <a:prstGeom prst="rect">
                            <a:avLst/>
                          </a:prstGeom>
                        </pic:spPr>
                      </pic:pic>
                    </a:graphicData>
                  </a:graphic>
                </wp:anchor>
              </w:drawing>
            </w:r>
          </w:p>
        </w:tc>
        <w:tc>
          <w:tcPr>
            <w:tcW w:w="4819" w:type="dxa"/>
            <w:tcBorders/>
          </w:tcPr>
          <w:p>
            <w:pPr>
              <w:pStyle w:val="TableContents"/>
              <w:widowControl w:val="false"/>
              <w:rPr>
                <w:rFonts w:ascii="Calibri" w:hAnsi="Calibri" w:eastAsia="Times New Roman" w:cs="Calibri"/>
                <w:sz w:val="22"/>
                <w:szCs w:val="22"/>
              </w:rPr>
            </w:pPr>
            <w:r>
              <w:rPr>
                <w:rFonts w:eastAsia="Times New Roman" w:cs="Calibri" w:ascii="Calibri" w:hAnsi="Calibri"/>
                <w:sz w:val="22"/>
                <w:szCs w:val="22"/>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060065" cy="2740025"/>
                  <wp:effectExtent l="0" t="0" r="0" b="0"/>
                  <wp:wrapSquare wrapText="largest"/>
                  <wp:docPr id="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title=""/>
                          <pic:cNvPicPr>
                            <a:picLocks noChangeAspect="1" noChangeArrowheads="1"/>
                          </pic:cNvPicPr>
                        </pic:nvPicPr>
                        <pic:blipFill>
                          <a:blip r:embed="rId10"/>
                          <a:stretch>
                            <a:fillRect/>
                          </a:stretch>
                        </pic:blipFill>
                        <pic:spPr bwMode="auto">
                          <a:xfrm>
                            <a:off x="0" y="0"/>
                            <a:ext cx="3060065" cy="2740025"/>
                          </a:xfrm>
                          <a:prstGeom prst="rect">
                            <a:avLst/>
                          </a:prstGeom>
                        </pic:spPr>
                      </pic:pic>
                    </a:graphicData>
                  </a:graphic>
                </wp:anchor>
              </w:drawing>
            </w:r>
          </w:p>
        </w:tc>
      </w:tr>
    </w:tbl>
    <w:p>
      <w:pPr>
        <w:pStyle w:val="Normal"/>
        <w:ind w:start="0" w:end="0" w:hanging="0"/>
        <w:rPr>
          <w:rFonts w:ascii="Calibri" w:hAnsi="Calibri" w:eastAsia="Times New Roman" w:cs="Calibri"/>
          <w:b/>
          <w:b/>
          <w:bCs/>
          <w:color w:val="000000"/>
          <w:sz w:val="22"/>
          <w:szCs w:val="22"/>
          <w:shd w:fill="auto" w:val="clear"/>
          <w:lang w:eastAsia="en-GB"/>
        </w:rPr>
      </w:pPr>
      <w:r>
        <w:rPr>
          <w:rFonts w:eastAsia="Times New Roman" w:cs="Calibri" w:ascii="Calibri" w:hAnsi="Calibri"/>
          <w:b/>
          <w:bCs/>
          <w:color w:val="000000"/>
          <w:sz w:val="22"/>
          <w:szCs w:val="22"/>
          <w:shd w:fill="auto" w:val="clear"/>
          <w:lang w:eastAsia="en-GB"/>
        </w:rPr>
      </w:r>
    </w:p>
    <w:p>
      <w:pPr>
        <w:pStyle w:val="Normal"/>
        <w:ind w:start="0" w:end="0" w:hanging="0"/>
        <w:rPr>
          <w:rFonts w:ascii="Calibri" w:hAnsi="Calibri" w:eastAsia="Times New Roman" w:cs="Calibri"/>
          <w:b/>
          <w:b/>
          <w:bCs/>
          <w:color w:val="000000"/>
          <w:sz w:val="22"/>
          <w:szCs w:val="22"/>
          <w:shd w:fill="auto" w:val="clear"/>
          <w:lang w:eastAsia="en-GB"/>
        </w:rPr>
      </w:pPr>
      <w:r>
        <w:rPr>
          <w:rFonts w:eastAsia="Times New Roman" w:cs="Calibri" w:ascii="Calibri" w:hAnsi="Calibri"/>
          <w:b/>
          <w:bCs/>
          <w:color w:val="000000"/>
          <w:sz w:val="22"/>
          <w:szCs w:val="22"/>
          <w:shd w:fill="auto" w:val="clear"/>
          <w:lang w:eastAsia="en-GB"/>
        </w:rPr>
      </w:r>
      <w:r>
        <w:br w:type="page"/>
      </w:r>
    </w:p>
    <w:p>
      <w:pPr>
        <w:pStyle w:val="Normal"/>
        <w:ind w:start="0" w:end="0" w:hanging="0"/>
        <w:rPr>
          <w:rFonts w:ascii="Calibri" w:hAnsi="Calibri" w:eastAsia="Times New Roman" w:cs="Calibri"/>
          <w:color w:val="000000"/>
          <w:sz w:val="22"/>
          <w:szCs w:val="22"/>
          <w:lang w:eastAsia="en-GB"/>
        </w:rPr>
      </w:pPr>
      <w:r>
        <w:rPr>
          <w:rFonts w:eastAsia="Times New Roman" w:cs="Calibri" w:ascii="Calibri" w:hAnsi="Calibri"/>
          <w:b/>
          <w:bCs/>
          <w:color w:val="000000"/>
          <w:sz w:val="22"/>
          <w:szCs w:val="22"/>
          <w:shd w:fill="auto" w:val="clear"/>
          <w:lang w:eastAsia="en-GB"/>
        </w:rPr>
        <w:t xml:space="preserve">Figure 4:  </w:t>
      </w:r>
      <w:r>
        <w:rPr>
          <w:rFonts w:eastAsia="Times New Roman" w:cs="Calibri" w:ascii="Calibri" w:hAnsi="Calibri"/>
          <w:b w:val="false"/>
          <w:bCs w:val="false"/>
          <w:color w:val="000000"/>
          <w:sz w:val="22"/>
          <w:szCs w:val="22"/>
          <w:shd w:fill="auto" w:val="clear"/>
          <w:lang w:eastAsia="en-GB"/>
        </w:rPr>
        <w:t>Model 4 residuals vs fitted (left) and QQ plot (right).</w:t>
      </w:r>
      <w:r>
        <w:rPr>
          <w:rFonts w:eastAsia="Times New Roman" w:cs="Calibri" w:ascii="Calibri" w:hAnsi="Calibri"/>
          <w:b/>
          <w:bCs/>
          <w:color w:val="000000"/>
          <w:sz w:val="22"/>
          <w:szCs w:val="22"/>
          <w:shd w:fill="auto" w:val="clear"/>
          <w:lang w:eastAsia="en-GB"/>
        </w:rPr>
        <w:t xml:space="preserve"> </w:t>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widowControl w:val="false"/>
              <w:rPr>
                <w:rFonts w:ascii="Calibri" w:hAnsi="Calibri" w:eastAsia="Times New Roman" w:cs="Calibri"/>
                <w:sz w:val="22"/>
                <w:szCs w:val="22"/>
              </w:rPr>
            </w:pPr>
            <w:r>
              <w:rPr>
                <w:rFonts w:eastAsia="Times New Roman" w:cs="Calibri" w:ascii="Calibri" w:hAnsi="Calibri"/>
                <w:sz w:val="22"/>
                <w:szCs w:val="22"/>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060065" cy="2778760"/>
                  <wp:effectExtent l="0" t="0" r="0" b="0"/>
                  <wp:wrapSquare wrapText="largest"/>
                  <wp:docPr id="10"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title=""/>
                          <pic:cNvPicPr>
                            <a:picLocks noChangeAspect="1" noChangeArrowheads="1"/>
                          </pic:cNvPicPr>
                        </pic:nvPicPr>
                        <pic:blipFill>
                          <a:blip r:embed="rId11"/>
                          <a:stretch>
                            <a:fillRect/>
                          </a:stretch>
                        </pic:blipFill>
                        <pic:spPr bwMode="auto">
                          <a:xfrm>
                            <a:off x="0" y="0"/>
                            <a:ext cx="3060065" cy="2778760"/>
                          </a:xfrm>
                          <a:prstGeom prst="rect">
                            <a:avLst/>
                          </a:prstGeom>
                        </pic:spPr>
                      </pic:pic>
                    </a:graphicData>
                  </a:graphic>
                </wp:anchor>
              </w:drawing>
            </w:r>
          </w:p>
        </w:tc>
        <w:tc>
          <w:tcPr>
            <w:tcW w:w="4819" w:type="dxa"/>
            <w:tcBorders/>
          </w:tcPr>
          <w:p>
            <w:pPr>
              <w:pStyle w:val="TableContents"/>
              <w:widowControl w:val="false"/>
              <w:rPr>
                <w:rFonts w:ascii="Calibri" w:hAnsi="Calibri" w:eastAsia="Times New Roman" w:cs="Calibri"/>
                <w:sz w:val="22"/>
                <w:szCs w:val="22"/>
              </w:rPr>
            </w:pPr>
            <w:r>
              <w:rPr>
                <w:rFonts w:eastAsia="Times New Roman" w:cs="Calibri" w:ascii="Calibri" w:hAnsi="Calibri"/>
                <w:sz w:val="22"/>
                <w:szCs w:val="22"/>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060065" cy="2821305"/>
                  <wp:effectExtent l="0" t="0" r="0" b="0"/>
                  <wp:wrapSquare wrapText="largest"/>
                  <wp:docPr id="11"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title=""/>
                          <pic:cNvPicPr>
                            <a:picLocks noChangeAspect="1" noChangeArrowheads="1"/>
                          </pic:cNvPicPr>
                        </pic:nvPicPr>
                        <pic:blipFill>
                          <a:blip r:embed="rId12"/>
                          <a:stretch>
                            <a:fillRect/>
                          </a:stretch>
                        </pic:blipFill>
                        <pic:spPr bwMode="auto">
                          <a:xfrm>
                            <a:off x="0" y="0"/>
                            <a:ext cx="3060065" cy="2821305"/>
                          </a:xfrm>
                          <a:prstGeom prst="rect">
                            <a:avLst/>
                          </a:prstGeom>
                        </pic:spPr>
                      </pic:pic>
                    </a:graphicData>
                  </a:graphic>
                </wp:anchor>
              </w:drawing>
            </w:r>
          </w:p>
        </w:tc>
      </w:tr>
    </w:tbl>
    <w:p>
      <w:pPr>
        <w:pStyle w:val="Normal"/>
        <w:ind w:start="0" w:end="0" w:hanging="0"/>
        <w:rPr>
          <w:rFonts w:ascii="Calibri" w:hAnsi="Calibri" w:eastAsia="Times New Roman" w:cs="Calibri"/>
          <w:b/>
          <w:b/>
          <w:bCs/>
          <w:color w:val="000000"/>
          <w:sz w:val="22"/>
          <w:szCs w:val="22"/>
          <w:shd w:fill="auto" w:val="clear"/>
          <w:lang w:eastAsia="en-GB"/>
        </w:rPr>
      </w:pPr>
      <w:r>
        <w:rPr>
          <w:rFonts w:eastAsia="Times New Roman" w:cs="Calibri" w:ascii="Calibri" w:hAnsi="Calibri"/>
          <w:b/>
          <w:bCs/>
          <w:color w:val="000000"/>
          <w:sz w:val="22"/>
          <w:szCs w:val="22"/>
          <w:shd w:fill="auto" w:val="clear"/>
          <w:lang w:eastAsia="en-GB"/>
        </w:rPr>
      </w:r>
    </w:p>
    <w:p>
      <w:pPr>
        <w:pStyle w:val="Normal"/>
        <w:ind w:start="0" w:end="0" w:hanging="0"/>
        <w:rPr>
          <w:rFonts w:ascii="Calibri" w:hAnsi="Calibri" w:eastAsia="Times New Roman" w:cs="Calibri"/>
          <w:b/>
          <w:b/>
          <w:bCs/>
          <w:color w:val="000000"/>
          <w:sz w:val="22"/>
          <w:szCs w:val="22"/>
          <w:shd w:fill="auto" w:val="clear"/>
          <w:lang w:eastAsia="en-GB"/>
        </w:rPr>
      </w:pPr>
      <w:r>
        <w:rPr>
          <w:rFonts w:eastAsia="Times New Roman" w:cs="Calibri" w:ascii="Calibri" w:hAnsi="Calibri"/>
          <w:b/>
          <w:bCs/>
          <w:color w:val="000000"/>
          <w:sz w:val="22"/>
          <w:szCs w:val="22"/>
          <w:shd w:fill="auto" w:val="clear"/>
          <w:lang w:eastAsia="en-GB"/>
        </w:rPr>
      </w:r>
    </w:p>
    <w:p>
      <w:pPr>
        <w:pStyle w:val="Normal"/>
        <w:ind w:start="0" w:end="0" w:hanging="0"/>
        <w:rPr>
          <w:rFonts w:ascii="Calibri" w:hAnsi="Calibri" w:eastAsia="Times New Roman" w:cs="Calibri"/>
          <w:color w:val="000000"/>
          <w:sz w:val="22"/>
          <w:szCs w:val="22"/>
          <w:lang w:eastAsia="en-GB"/>
        </w:rPr>
      </w:pPr>
      <w:r>
        <w:rPr>
          <w:rFonts w:eastAsia="Times New Roman" w:cs="Calibri" w:ascii="Calibri" w:hAnsi="Calibri"/>
          <w:b/>
          <w:bCs/>
          <w:color w:val="000000"/>
          <w:sz w:val="22"/>
          <w:szCs w:val="22"/>
          <w:shd w:fill="auto" w:val="clear"/>
          <w:lang w:eastAsia="en-GB"/>
        </w:rPr>
        <w:t xml:space="preserve">Figure 5: </w:t>
      </w:r>
      <w:r>
        <w:rPr>
          <w:rFonts w:eastAsia="Times New Roman" w:cs="Calibri" w:ascii="Calibri" w:hAnsi="Calibri"/>
          <w:b w:val="false"/>
          <w:bCs w:val="false"/>
          <w:color w:val="000000"/>
          <w:sz w:val="22"/>
          <w:szCs w:val="22"/>
          <w:shd w:fill="auto" w:val="clear"/>
          <w:lang w:eastAsia="en-GB"/>
        </w:rPr>
        <w:t>Average Yield per hectare for each GI Region</w:t>
      </w:r>
    </w:p>
    <w:p>
      <w:pPr>
        <w:pStyle w:val="Normal"/>
        <w:ind w:start="0" w:end="0" w:hanging="0"/>
        <w:rPr>
          <w:rFonts w:ascii="Calibri" w:hAnsi="Calibri" w:eastAsia="Times New Roman" w:cs="Calibri"/>
          <w:color w:val="000000"/>
          <w:sz w:val="22"/>
          <w:szCs w:val="22"/>
          <w:lang w:eastAsia="en-GB"/>
        </w:rPr>
      </w:pPr>
      <w:r>
        <w:rPr>
          <w:rFonts w:eastAsia="Times New Roman" w:cs="Calibri" w:ascii="Calibri" w:hAnsi="Calibri"/>
          <w:color w:val="000000"/>
          <w:sz w:val="22"/>
          <w:szCs w:val="22"/>
          <w:lang w:eastAsia="en-GB"/>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162935"/>
            <wp:effectExtent l="0" t="0" r="0" b="0"/>
            <wp:wrapSquare wrapText="largest"/>
            <wp:docPr id="1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title=""/>
                    <pic:cNvPicPr>
                      <a:picLocks noChangeAspect="1" noChangeArrowheads="1"/>
                    </pic:cNvPicPr>
                  </pic:nvPicPr>
                  <pic:blipFill>
                    <a:blip r:embed="rId13"/>
                    <a:stretch>
                      <a:fillRect/>
                    </a:stretch>
                  </pic:blipFill>
                  <pic:spPr bwMode="auto">
                    <a:xfrm>
                      <a:off x="0" y="0"/>
                      <a:ext cx="6120130" cy="3162935"/>
                    </a:xfrm>
                    <a:prstGeom prst="rect">
                      <a:avLst/>
                    </a:prstGeom>
                  </pic:spPr>
                </pic:pic>
              </a:graphicData>
            </a:graphic>
          </wp:anchor>
        </w:drawing>
      </w:r>
    </w:p>
    <w:p>
      <w:pPr>
        <w:pStyle w:val="Normal"/>
        <w:ind w:start="0" w:end="0" w:hanging="0"/>
        <w:rPr>
          <w:rFonts w:ascii="Calibri" w:hAnsi="Calibri" w:eastAsia="Times New Roman" w:cs="Calibri"/>
          <w:b/>
          <w:b/>
          <w:bCs/>
          <w:color w:val="000000"/>
          <w:sz w:val="22"/>
          <w:szCs w:val="22"/>
          <w:shd w:fill="auto" w:val="clear"/>
          <w:lang w:eastAsia="en-GB"/>
        </w:rPr>
      </w:pPr>
      <w:r>
        <w:rPr>
          <w:rFonts w:eastAsia="Times New Roman" w:cs="Calibri" w:ascii="Calibri" w:hAnsi="Calibri"/>
          <w:b/>
          <w:bCs/>
          <w:color w:val="000000"/>
          <w:sz w:val="22"/>
          <w:szCs w:val="22"/>
          <w:shd w:fill="auto" w:val="clear"/>
          <w:lang w:eastAsia="en-GB"/>
        </w:rPr>
      </w:r>
      <w:r>
        <w:br w:type="page"/>
      </w:r>
    </w:p>
    <w:p>
      <w:pPr>
        <w:pStyle w:val="Normal"/>
        <w:ind w:start="0" w:end="0" w:hanging="0"/>
        <w:rPr>
          <w:rFonts w:ascii="Calibri" w:hAnsi="Calibri" w:eastAsia="Times New Roman" w:cs="Calibri"/>
          <w:color w:val="000000"/>
          <w:sz w:val="22"/>
          <w:szCs w:val="22"/>
          <w:lang w:eastAsia="en-GB"/>
        </w:rPr>
      </w:pPr>
      <w:r>
        <w:rPr>
          <w:rFonts w:eastAsia="Times New Roman" w:cs="Calibri" w:ascii="Calibri" w:hAnsi="Calibri"/>
          <w:b/>
          <w:bCs/>
          <w:color w:val="000000"/>
          <w:sz w:val="22"/>
          <w:szCs w:val="22"/>
          <w:shd w:fill="auto" w:val="clear"/>
          <w:lang w:eastAsia="en-GB"/>
        </w:rPr>
        <w:t xml:space="preserve">Figure 6: </w:t>
      </w:r>
      <w:r>
        <w:rPr>
          <w:rFonts w:eastAsia="Times New Roman" w:cs="Calibri" w:ascii="Calibri" w:hAnsi="Calibri"/>
          <w:b w:val="false"/>
          <w:bCs w:val="false"/>
          <w:color w:val="000000"/>
          <w:sz w:val="22"/>
          <w:szCs w:val="22"/>
          <w:shd w:fill="auto" w:val="clear"/>
          <w:lang w:eastAsia="en-GB"/>
        </w:rPr>
        <w:t>Average Price Per Tonne for each GI Region</w:t>
      </w:r>
    </w:p>
    <w:p>
      <w:pPr>
        <w:pStyle w:val="Normal"/>
        <w:ind w:start="0" w:end="0" w:hanging="0"/>
        <w:rPr>
          <w:rFonts w:ascii="Calibri" w:hAnsi="Calibri" w:eastAsia="Times New Roman" w:cs="Calibri"/>
          <w:b/>
          <w:b/>
          <w:bCs/>
          <w:color w:val="000000"/>
          <w:sz w:val="22"/>
          <w:szCs w:val="22"/>
          <w:shd w:fill="auto" w:val="clear"/>
          <w:lang w:eastAsia="en-GB"/>
        </w:rPr>
      </w:pPr>
      <w:r>
        <w:rPr>
          <w:rFonts w:eastAsia="Times New Roman" w:cs="Calibri" w:ascii="Calibri" w:hAnsi="Calibri"/>
          <w:b/>
          <w:bCs/>
          <w:color w:val="000000"/>
          <w:sz w:val="22"/>
          <w:szCs w:val="22"/>
          <w:shd w:fill="auto" w:val="clear"/>
          <w:lang w:eastAsia="en-GB"/>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108325"/>
            <wp:effectExtent l="0" t="0" r="0" b="0"/>
            <wp:wrapSquare wrapText="largest"/>
            <wp:docPr id="1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title=""/>
                    <pic:cNvPicPr>
                      <a:picLocks noChangeAspect="1" noChangeArrowheads="1"/>
                    </pic:cNvPicPr>
                  </pic:nvPicPr>
                  <pic:blipFill>
                    <a:blip r:embed="rId14"/>
                    <a:stretch>
                      <a:fillRect/>
                    </a:stretch>
                  </pic:blipFill>
                  <pic:spPr bwMode="auto">
                    <a:xfrm>
                      <a:off x="0" y="0"/>
                      <a:ext cx="6120130" cy="3108325"/>
                    </a:xfrm>
                    <a:prstGeom prst="rect">
                      <a:avLst/>
                    </a:prstGeom>
                  </pic:spPr>
                </pic:pic>
              </a:graphicData>
            </a:graphic>
          </wp:anchor>
        </w:drawing>
      </w:r>
    </w:p>
    <w:p>
      <w:pPr>
        <w:pStyle w:val="ListParagraph"/>
        <w:ind w:start="0" w:end="0" w:hanging="0"/>
        <w:rPr/>
      </w:pPr>
      <w:r>
        <w:rPr>
          <w:rFonts w:eastAsia="Times New Roman" w:cs="Calibri" w:ascii="Calibri" w:hAnsi="Calibri"/>
          <w:b w:val="false"/>
          <w:bCs w:val="false"/>
          <w:color w:val="000000"/>
          <w:sz w:val="22"/>
          <w:szCs w:val="22"/>
          <w:shd w:fill="auto" w:val="clear"/>
          <w:lang w:eastAsia="en-GB"/>
        </w:rPr>
        <w:t>Although the initial correlation between average sales price and yield was a negative trend (see table 2), these models were able to shed light on several contributing factors to yield and average sales price. Correlation values showed that water and emissions increased with yield but decreased with average sale price (see Table 4). In alternative attempts at models it was found that without the incorporation of GI Region or year the predictions greatly under performed. The possible reason behind this effect was that different strategies are likely employed between different regions, where some regions target the mass production of cheaper grapes over quality. This is most notable when grouping regions by climate, especially when considering GI Regions in the ‘Hot Very Dry’ climate (see Figure 7). The effect of climate when used in models was not more significant than the more granular use of GI regions. The interaction between year and GI Region likely accounted for localised events such as bushfires, which would be impactful, but only at a local level in both time and space.</w:t>
      </w:r>
    </w:p>
    <w:p>
      <w:pPr>
        <w:pStyle w:val="ListParagraph"/>
        <w:ind w:start="0" w:end="0" w:hanging="0"/>
        <w:rPr>
          <w:rFonts w:ascii="Calibri" w:hAnsi="Calibri" w:eastAsia="Times New Roman" w:cs="Calibri"/>
          <w:b/>
          <w:b/>
          <w:bCs/>
          <w:color w:val="000000"/>
          <w:sz w:val="22"/>
          <w:szCs w:val="22"/>
          <w:shd w:fill="auto" w:val="clear"/>
          <w:lang w:eastAsia="en-GB"/>
        </w:rPr>
      </w:pPr>
      <w:r>
        <w:rPr>
          <w:rFonts w:eastAsia="Times New Roman" w:cs="Calibri" w:ascii="Calibri" w:hAnsi="Calibri"/>
          <w:b/>
          <w:bCs/>
          <w:color w:val="000000"/>
          <w:sz w:val="22"/>
          <w:szCs w:val="22"/>
          <w:shd w:fill="auto" w:val="clear"/>
          <w:lang w:eastAsia="en-GB"/>
        </w:rPr>
      </w:r>
      <w:r>
        <w:br w:type="page"/>
      </w:r>
    </w:p>
    <w:p>
      <w:pPr>
        <w:pStyle w:val="ListParagraph"/>
        <w:ind w:start="0" w:end="0" w:hanging="0"/>
        <w:rPr/>
      </w:pPr>
      <w:r>
        <w:rPr>
          <w:rFonts w:eastAsia="Times New Roman" w:cs="Calibri" w:ascii="Calibri" w:hAnsi="Calibri"/>
          <w:b/>
          <w:bCs/>
          <w:color w:val="000000"/>
          <w:sz w:val="22"/>
          <w:szCs w:val="22"/>
          <w:shd w:fill="auto" w:val="clear"/>
          <w:lang w:eastAsia="en-GB"/>
        </w:rPr>
        <w:t xml:space="preserve">Figure 7: </w:t>
      </w:r>
      <w:r>
        <w:rPr>
          <w:rFonts w:eastAsia="Times New Roman" w:cs="Calibri" w:ascii="Calibri" w:hAnsi="Calibri"/>
          <w:b w:val="false"/>
          <w:bCs w:val="false"/>
          <w:color w:val="000000"/>
          <w:sz w:val="22"/>
          <w:szCs w:val="22"/>
          <w:shd w:fill="auto" w:val="clear"/>
          <w:lang w:eastAsia="en-GB"/>
        </w:rPr>
        <w:t>Value of tonnes harvested per hectare against the yield per hectare. With the variable transformed, with means centred on zero and scaled by standard deviation.</w:t>
      </w:r>
    </w:p>
    <w:p>
      <w:pPr>
        <w:pStyle w:val="ListParagraph"/>
        <w:ind w:start="0" w:end="0" w:hanging="0"/>
        <w:rPr>
          <w:rFonts w:ascii="Calibri" w:hAnsi="Calibri" w:eastAsia="Times New Roman" w:cs="Calibri"/>
          <w:b w:val="false"/>
          <w:b w:val="false"/>
          <w:bCs w:val="false"/>
          <w:color w:val="000000"/>
          <w:sz w:val="22"/>
          <w:szCs w:val="22"/>
          <w:shd w:fill="auto" w:val="clear"/>
          <w:lang w:eastAsia="en-GB"/>
        </w:rPr>
      </w:pPr>
      <w:r>
        <w:rPr>
          <w:rFonts w:eastAsia="Times New Roman" w:cs="Calibri" w:ascii="Calibri" w:hAnsi="Calibri"/>
          <w:b w:val="false"/>
          <w:bCs w:val="false"/>
          <w:color w:val="000000"/>
          <w:sz w:val="22"/>
          <w:szCs w:val="22"/>
          <w:shd w:fill="auto" w:val="clear"/>
          <w:lang w:eastAsia="en-GB"/>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3292475"/>
            <wp:effectExtent l="0" t="0" r="0" b="0"/>
            <wp:wrapSquare wrapText="largest"/>
            <wp:docPr id="1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title=""/>
                    <pic:cNvPicPr>
                      <a:picLocks noChangeAspect="1" noChangeArrowheads="1"/>
                    </pic:cNvPicPr>
                  </pic:nvPicPr>
                  <pic:blipFill>
                    <a:blip r:embed="rId15"/>
                    <a:stretch>
                      <a:fillRect/>
                    </a:stretch>
                  </pic:blipFill>
                  <pic:spPr bwMode="auto">
                    <a:xfrm>
                      <a:off x="0" y="0"/>
                      <a:ext cx="6120130" cy="3292475"/>
                    </a:xfrm>
                    <a:prstGeom prst="rect">
                      <a:avLst/>
                    </a:prstGeom>
                  </pic:spPr>
                </pic:pic>
              </a:graphicData>
            </a:graphic>
          </wp:anchor>
        </w:drawing>
      </w:r>
    </w:p>
    <w:p>
      <w:pPr>
        <w:pStyle w:val="ListParagraph"/>
        <w:ind w:start="0" w:end="0" w:hanging="0"/>
        <w:rPr>
          <w:rFonts w:ascii="Calibri" w:hAnsi="Calibri" w:eastAsia="Times New Roman" w:cs="Calibri"/>
          <w:color w:val="000000"/>
          <w:u w:val="none"/>
          <w:lang w:eastAsia="en-GB"/>
        </w:rPr>
      </w:pPr>
      <w:r>
        <w:rPr>
          <w:rFonts w:eastAsia="Times New Roman" w:cs="Calibri" w:ascii="Calibri" w:hAnsi="Calibri"/>
          <w:b/>
          <w:bCs/>
          <w:color w:val="000000"/>
          <w:sz w:val="22"/>
          <w:szCs w:val="22"/>
          <w:u w:val="none"/>
          <w:lang w:eastAsia="en-GB"/>
        </w:rPr>
        <w:t>Model Validation</w:t>
      </w:r>
    </w:p>
    <w:p>
      <w:pPr>
        <w:pStyle w:val="ListParagraph"/>
        <w:ind w:start="0" w:end="0" w:hanging="0"/>
        <w:rPr>
          <w:rFonts w:ascii="Calibri" w:hAnsi="Calibri" w:eastAsia="Times New Roman" w:cs="Calibri"/>
          <w:b w:val="false"/>
          <w:b w:val="false"/>
          <w:bCs w:val="false"/>
          <w:color w:val="000000"/>
          <w:u w:val="none"/>
          <w:lang w:eastAsia="en-GB"/>
        </w:rPr>
      </w:pPr>
      <w:r>
        <w:rPr>
          <w:rFonts w:eastAsia="Times New Roman" w:cs="Calibri" w:ascii="Calibri" w:hAnsi="Calibri"/>
          <w:b w:val="false"/>
          <w:bCs w:val="false"/>
          <w:color w:val="000000"/>
          <w:sz w:val="22"/>
          <w:szCs w:val="22"/>
          <w:u w:val="none"/>
          <w:lang w:eastAsia="en-GB"/>
        </w:rPr>
        <w:t>To validate the performance of these models k-fold cross validation was used. This was done using 10 folds, k=10, repeated 100 times. The models performed similarly to their original counter parts (see Table 11).</w:t>
      </w:r>
    </w:p>
    <w:p>
      <w:pPr>
        <w:pStyle w:val="ListParagraph"/>
        <w:ind w:start="0" w:end="0" w:hanging="0"/>
        <w:rPr>
          <w:sz w:val="22"/>
          <w:szCs w:val="22"/>
        </w:rPr>
      </w:pPr>
      <w:r>
        <w:rPr>
          <w:sz w:val="22"/>
          <w:szCs w:val="22"/>
        </w:rPr>
      </w:r>
    </w:p>
    <w:p>
      <w:pPr>
        <w:pStyle w:val="ListParagraph"/>
        <w:ind w:start="0" w:end="0" w:hanging="0"/>
        <w:rPr>
          <w:rFonts w:ascii="Calibri" w:hAnsi="Calibri" w:eastAsia="Times New Roman" w:cs="Calibri"/>
          <w:b w:val="false"/>
          <w:b w:val="false"/>
          <w:bCs w:val="false"/>
          <w:color w:val="000000"/>
          <w:sz w:val="22"/>
          <w:szCs w:val="22"/>
          <w:u w:val="none"/>
          <w:lang w:eastAsia="en-GB"/>
        </w:rPr>
      </w:pPr>
      <w:r>
        <w:rPr>
          <w:rFonts w:eastAsia="Times New Roman" w:cs="Calibri" w:ascii="Calibri" w:hAnsi="Calibri"/>
          <w:b/>
          <w:bCs/>
          <w:color w:val="000000"/>
          <w:sz w:val="22"/>
          <w:szCs w:val="22"/>
          <w:u w:val="none"/>
          <w:lang w:eastAsia="en-GB"/>
        </w:rPr>
        <w:t>Table 11:</w:t>
      </w:r>
      <w:r>
        <w:rPr>
          <w:rFonts w:eastAsia="Times New Roman" w:cs="Calibri" w:ascii="Calibri" w:hAnsi="Calibri"/>
          <w:b w:val="false"/>
          <w:bCs w:val="false"/>
          <w:color w:val="000000"/>
          <w:sz w:val="22"/>
          <w:szCs w:val="22"/>
          <w:u w:val="none"/>
          <w:lang w:eastAsia="en-GB"/>
        </w:rPr>
        <w:t xml:space="preserve"> Model validation using k-fold cross validation, for 10 folds repeated 100 times.</w:t>
      </w:r>
    </w:p>
    <w:tbl>
      <w:tblPr>
        <w:tblW w:w="9637" w:type="dxa"/>
        <w:jc w:val="start"/>
        <w:tblInd w:w="55" w:type="dxa"/>
        <w:tblLayout w:type="fixed"/>
        <w:tblCellMar>
          <w:top w:w="55" w:type="dxa"/>
          <w:start w:w="55" w:type="dxa"/>
          <w:bottom w:w="55" w:type="dxa"/>
          <w:end w:w="55" w:type="dxa"/>
        </w:tblCellMar>
      </w:tblPr>
      <w:tblGrid>
        <w:gridCol w:w="2075"/>
        <w:gridCol w:w="2521"/>
        <w:gridCol w:w="2520"/>
        <w:gridCol w:w="2520"/>
      </w:tblGrid>
      <w:tr>
        <w:trPr>
          <w:trHeight w:val="396" w:hRule="atLeast"/>
        </w:trPr>
        <w:tc>
          <w:tcPr>
            <w:tcW w:w="2075" w:type="dxa"/>
            <w:tcBorders>
              <w:top w:val="single" w:sz="4" w:space="0" w:color="000000"/>
              <w:start w:val="single" w:sz="4" w:space="0" w:color="000000"/>
              <w:bottom w:val="single" w:sz="4" w:space="0" w:color="000000"/>
            </w:tcBorders>
            <w:vAlign w:val="center"/>
          </w:tcPr>
          <w:p>
            <w:pPr>
              <w:pStyle w:val="TableContents"/>
              <w:widowControl w:val="false"/>
              <w:jc w:val="center"/>
              <w:rPr>
                <w:rFonts w:ascii="Liberation Serif" w:hAnsi="Liberation Serif" w:eastAsia="Times New Roman" w:cs="Calibri"/>
                <w:b/>
                <w:b/>
                <w:bCs/>
                <w:i w:val="false"/>
                <w:i w:val="false"/>
                <w:iCs w:val="false"/>
                <w:strike w:val="false"/>
                <w:dstrike w:val="false"/>
                <w:outline w:val="false"/>
                <w:shadow w:val="false"/>
                <w:color w:val="000000"/>
                <w:sz w:val="24"/>
                <w:szCs w:val="24"/>
                <w:u w:val="none"/>
              </w:rPr>
            </w:pPr>
            <w:r>
              <w:rPr>
                <w:rFonts w:eastAsia="Times New Roman" w:cs="Calibri"/>
                <w:b/>
                <w:bCs/>
                <w:i w:val="false"/>
                <w:iCs w:val="false"/>
                <w:strike w:val="false"/>
                <w:dstrike w:val="false"/>
                <w:outline w:val="false"/>
                <w:shadow w:val="false"/>
                <w:color w:val="000000"/>
                <w:sz w:val="24"/>
                <w:szCs w:val="24"/>
                <w:u w:val="none"/>
              </w:rPr>
            </w:r>
          </w:p>
        </w:tc>
        <w:tc>
          <w:tcPr>
            <w:tcW w:w="2521" w:type="dxa"/>
            <w:tcBorders>
              <w:top w:val="single" w:sz="4" w:space="0" w:color="000000"/>
              <w:start w:val="single" w:sz="4" w:space="0" w:color="000000"/>
              <w:bottom w:val="single" w:sz="4" w:space="0" w:color="000000"/>
            </w:tcBorders>
            <w:vAlign w:val="center"/>
          </w:tcPr>
          <w:p>
            <w:pPr>
              <w:pStyle w:val="TableContents"/>
              <w:widowControl w:val="false"/>
              <w:jc w:val="center"/>
              <w:rPr>
                <w:rFonts w:ascii="Liberation Serif" w:hAnsi="Liberation Serif" w:eastAsia="Times New Roman" w:cs="Calibri"/>
                <w:b/>
                <w:b/>
                <w:bCs/>
                <w:i w:val="false"/>
                <w:i w:val="false"/>
                <w:iCs w:val="false"/>
                <w:strike w:val="false"/>
                <w:dstrike w:val="false"/>
                <w:outline w:val="false"/>
                <w:shadow w:val="false"/>
                <w:color w:val="000000"/>
                <w:sz w:val="24"/>
                <w:szCs w:val="24"/>
                <w:u w:val="none"/>
              </w:rPr>
            </w:pPr>
            <w:r>
              <w:rPr>
                <w:rFonts w:eastAsia="Times New Roman" w:cs="Calibri"/>
                <w:b/>
                <w:bCs/>
                <w:i w:val="false"/>
                <w:iCs w:val="false"/>
                <w:strike w:val="false"/>
                <w:dstrike w:val="false"/>
                <w:outline w:val="false"/>
                <w:shadow w:val="false"/>
                <w:color w:val="000000"/>
                <w:sz w:val="24"/>
                <w:szCs w:val="24"/>
                <w:u w:val="none"/>
              </w:rPr>
              <w:t>RMSE</w:t>
            </w:r>
          </w:p>
        </w:tc>
        <w:tc>
          <w:tcPr>
            <w:tcW w:w="2520" w:type="dxa"/>
            <w:tcBorders>
              <w:top w:val="single" w:sz="4" w:space="0" w:color="000000"/>
              <w:start w:val="single" w:sz="4" w:space="0" w:color="000000"/>
              <w:bottom w:val="single" w:sz="4" w:space="0" w:color="000000"/>
            </w:tcBorders>
            <w:vAlign w:val="center"/>
          </w:tcPr>
          <w:p>
            <w:pPr>
              <w:pStyle w:val="TableContents"/>
              <w:widowControl w:val="false"/>
              <w:jc w:val="center"/>
              <w:rPr>
                <w:rFonts w:ascii="Liberation Serif" w:hAnsi="Liberation Serif" w:eastAsia="Times New Roman" w:cs="Calibri"/>
                <w:b/>
                <w:b/>
                <w:bCs/>
                <w:i w:val="false"/>
                <w:i w:val="false"/>
                <w:iCs w:val="false"/>
                <w:strike w:val="false"/>
                <w:dstrike w:val="false"/>
                <w:outline w:val="false"/>
                <w:shadow w:val="false"/>
                <w:color w:val="000000"/>
                <w:sz w:val="24"/>
                <w:szCs w:val="24"/>
                <w:u w:val="none"/>
              </w:rPr>
            </w:pPr>
            <w:r>
              <w:rPr>
                <w:rFonts w:eastAsia="Times New Roman" w:cs="Calibri"/>
                <w:b/>
                <w:bCs/>
                <w:i w:val="false"/>
                <w:iCs w:val="false"/>
                <w:strike w:val="false"/>
                <w:dstrike w:val="false"/>
                <w:outline w:val="false"/>
                <w:shadow w:val="false"/>
                <w:color w:val="000000"/>
                <w:sz w:val="24"/>
                <w:szCs w:val="24"/>
                <w:u w:val="none"/>
              </w:rPr>
              <w:t>R</w:t>
            </w:r>
            <w:r>
              <w:rPr>
                <w:rFonts w:eastAsia="Times New Roman" w:cs="Calibri"/>
                <w:b/>
                <w:bCs/>
                <w:i w:val="false"/>
                <w:iCs w:val="false"/>
                <w:strike w:val="false"/>
                <w:dstrike w:val="false"/>
                <w:outline w:val="false"/>
                <w:shadow w:val="false"/>
                <w:color w:val="000000"/>
                <w:sz w:val="24"/>
                <w:szCs w:val="24"/>
                <w:u w:val="none"/>
                <w:vertAlign w:val="superscript"/>
              </w:rPr>
              <w:t>2</w:t>
            </w:r>
          </w:p>
        </w:tc>
        <w:tc>
          <w:tcPr>
            <w:tcW w:w="2520" w:type="dxa"/>
            <w:tcBorders>
              <w:top w:val="single" w:sz="4" w:space="0" w:color="000000"/>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eastAsia="Times New Roman" w:cs="Calibri"/>
                <w:b/>
                <w:b/>
                <w:bCs/>
                <w:i w:val="false"/>
                <w:i w:val="false"/>
                <w:iCs w:val="false"/>
                <w:strike w:val="false"/>
                <w:dstrike w:val="false"/>
                <w:outline w:val="false"/>
                <w:shadow w:val="false"/>
                <w:color w:val="000000"/>
                <w:sz w:val="24"/>
                <w:szCs w:val="24"/>
                <w:u w:val="none"/>
              </w:rPr>
            </w:pPr>
            <w:r>
              <w:rPr>
                <w:rFonts w:eastAsia="Times New Roman" w:cs="Calibri"/>
                <w:b/>
                <w:bCs/>
                <w:i w:val="false"/>
                <w:iCs w:val="false"/>
                <w:strike w:val="false"/>
                <w:dstrike w:val="false"/>
                <w:outline w:val="false"/>
                <w:shadow w:val="false"/>
                <w:color w:val="000000"/>
                <w:sz w:val="24"/>
                <w:szCs w:val="24"/>
                <w:u w:val="none"/>
              </w:rPr>
              <w:t>MAE</w:t>
            </w:r>
          </w:p>
        </w:tc>
      </w:tr>
      <w:tr>
        <w:trPr>
          <w:trHeight w:val="396" w:hRule="atLeast"/>
        </w:trPr>
        <w:tc>
          <w:tcPr>
            <w:tcW w:w="2075" w:type="dxa"/>
            <w:tcBorders>
              <w:start w:val="single" w:sz="4" w:space="0" w:color="000000"/>
              <w:bottom w:val="single" w:sz="4" w:space="0" w:color="000000"/>
            </w:tcBorders>
            <w:vAlign w:val="center"/>
          </w:tcPr>
          <w:p>
            <w:pPr>
              <w:pStyle w:val="TableContents"/>
              <w:widowControl w:val="false"/>
              <w:jc w:val="center"/>
              <w:rPr>
                <w:rFonts w:ascii="Liberation Serif" w:hAnsi="Liberation Serif" w:eastAsia="Times New Roman" w:cs="Calibri"/>
                <w:b/>
                <w:b/>
                <w:bCs/>
                <w:i w:val="false"/>
                <w:i w:val="false"/>
                <w:iCs w:val="false"/>
                <w:strike w:val="false"/>
                <w:dstrike w:val="false"/>
                <w:outline w:val="false"/>
                <w:shadow w:val="false"/>
                <w:color w:val="000000"/>
                <w:sz w:val="24"/>
                <w:szCs w:val="24"/>
                <w:u w:val="none"/>
              </w:rPr>
            </w:pPr>
            <w:r>
              <w:rPr>
                <w:rFonts w:eastAsia="Times New Roman" w:cs="Calibri"/>
                <w:b/>
                <w:bCs/>
                <w:i w:val="false"/>
                <w:iCs w:val="false"/>
                <w:strike w:val="false"/>
                <w:dstrike w:val="false"/>
                <w:outline w:val="false"/>
                <w:shadow w:val="false"/>
                <w:color w:val="000000"/>
                <w:sz w:val="24"/>
                <w:szCs w:val="24"/>
                <w:u w:val="none"/>
              </w:rPr>
              <w:t>Model 1</w:t>
            </w:r>
          </w:p>
        </w:tc>
        <w:tc>
          <w:tcPr>
            <w:tcW w:w="2521" w:type="dxa"/>
            <w:tcBorders>
              <w:start w:val="single" w:sz="4" w:space="0" w:color="000000"/>
              <w:bottom w:val="single" w:sz="4" w:space="0" w:color="000000"/>
            </w:tcBorders>
            <w:vAlign w:val="center"/>
          </w:tcPr>
          <w:p>
            <w:pPr>
              <w:pStyle w:val="TableContents"/>
              <w:widowControl w:val="false"/>
              <w:jc w:val="center"/>
              <w:rPr>
                <w:rFonts w:ascii="Liberation Serif" w:hAnsi="Liberation Serif" w:eastAsia="Times New Roman" w:cs="Calibri"/>
                <w:b w:val="false"/>
                <w:b w:val="false"/>
                <w:bCs w:val="false"/>
                <w:i w:val="false"/>
                <w:i w:val="false"/>
                <w:iCs w:val="false"/>
                <w:strike w:val="false"/>
                <w:dstrike w:val="false"/>
                <w:outline w:val="false"/>
                <w:shadow w:val="false"/>
                <w:color w:val="000000"/>
                <w:sz w:val="24"/>
                <w:szCs w:val="24"/>
                <w:u w:val="none"/>
              </w:rPr>
            </w:pPr>
            <w:r>
              <w:rPr>
                <w:rFonts w:eastAsia="Times New Roman" w:cs="Calibri"/>
                <w:b w:val="false"/>
                <w:bCs w:val="false"/>
                <w:i w:val="false"/>
                <w:iCs w:val="false"/>
                <w:strike w:val="false"/>
                <w:dstrike w:val="false"/>
                <w:outline w:val="false"/>
                <w:shadow w:val="false"/>
                <w:color w:val="000000"/>
                <w:sz w:val="24"/>
                <w:szCs w:val="24"/>
                <w:u w:val="none"/>
              </w:rPr>
              <w:t>3.087E-01</w:t>
            </w:r>
          </w:p>
        </w:tc>
        <w:tc>
          <w:tcPr>
            <w:tcW w:w="2520" w:type="dxa"/>
            <w:tcBorders>
              <w:start w:val="single" w:sz="4" w:space="0" w:color="000000"/>
              <w:bottom w:val="single" w:sz="4" w:space="0" w:color="000000"/>
            </w:tcBorders>
            <w:vAlign w:val="center"/>
          </w:tcPr>
          <w:p>
            <w:pPr>
              <w:pStyle w:val="TableContents"/>
              <w:widowControl w:val="false"/>
              <w:jc w:val="center"/>
              <w:rPr>
                <w:rFonts w:ascii="Liberation Serif" w:hAnsi="Liberation Serif" w:eastAsia="Times New Roman" w:cs="Calibri"/>
                <w:b w:val="false"/>
                <w:b w:val="false"/>
                <w:bCs w:val="false"/>
                <w:i w:val="false"/>
                <w:i w:val="false"/>
                <w:iCs w:val="false"/>
                <w:strike w:val="false"/>
                <w:dstrike w:val="false"/>
                <w:outline w:val="false"/>
                <w:shadow w:val="false"/>
                <w:color w:val="000000"/>
                <w:sz w:val="24"/>
                <w:szCs w:val="24"/>
                <w:u w:val="none"/>
              </w:rPr>
            </w:pPr>
            <w:r>
              <w:rPr>
                <w:rFonts w:eastAsia="Times New Roman" w:cs="Calibri"/>
                <w:b w:val="false"/>
                <w:bCs w:val="false"/>
                <w:i w:val="false"/>
                <w:iCs w:val="false"/>
                <w:strike w:val="false"/>
                <w:dstrike w:val="false"/>
                <w:outline w:val="false"/>
                <w:shadow w:val="false"/>
                <w:color w:val="000000"/>
                <w:sz w:val="24"/>
                <w:szCs w:val="24"/>
                <w:u w:val="none"/>
              </w:rPr>
              <w:t>9.045E-01</w:t>
            </w:r>
          </w:p>
        </w:tc>
        <w:tc>
          <w:tcPr>
            <w:tcW w:w="2520"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eastAsia="Times New Roman" w:cs="Calibri"/>
                <w:b w:val="false"/>
                <w:b w:val="false"/>
                <w:bCs w:val="false"/>
                <w:i w:val="false"/>
                <w:i w:val="false"/>
                <w:iCs w:val="false"/>
                <w:strike w:val="false"/>
                <w:dstrike w:val="false"/>
                <w:outline w:val="false"/>
                <w:shadow w:val="false"/>
                <w:color w:val="000000"/>
                <w:sz w:val="24"/>
                <w:szCs w:val="24"/>
                <w:u w:val="none"/>
              </w:rPr>
            </w:pPr>
            <w:r>
              <w:rPr>
                <w:rFonts w:eastAsia="Times New Roman" w:cs="Calibri"/>
                <w:b w:val="false"/>
                <w:bCs w:val="false"/>
                <w:i w:val="false"/>
                <w:iCs w:val="false"/>
                <w:strike w:val="false"/>
                <w:dstrike w:val="false"/>
                <w:outline w:val="false"/>
                <w:shadow w:val="false"/>
                <w:color w:val="000000"/>
                <w:sz w:val="24"/>
                <w:szCs w:val="24"/>
                <w:u w:val="none"/>
              </w:rPr>
              <w:t>2.165E-01</w:t>
            </w:r>
          </w:p>
        </w:tc>
      </w:tr>
      <w:tr>
        <w:trPr>
          <w:trHeight w:val="396" w:hRule="atLeast"/>
        </w:trPr>
        <w:tc>
          <w:tcPr>
            <w:tcW w:w="2075" w:type="dxa"/>
            <w:tcBorders>
              <w:start w:val="single" w:sz="4" w:space="0" w:color="000000"/>
              <w:bottom w:val="single" w:sz="4" w:space="0" w:color="000000"/>
            </w:tcBorders>
            <w:vAlign w:val="center"/>
          </w:tcPr>
          <w:p>
            <w:pPr>
              <w:pStyle w:val="TableContents"/>
              <w:widowControl w:val="false"/>
              <w:jc w:val="center"/>
              <w:rPr>
                <w:rFonts w:ascii="Liberation Serif" w:hAnsi="Liberation Serif" w:eastAsia="Times New Roman" w:cs="Calibri"/>
                <w:b/>
                <w:b/>
                <w:bCs/>
                <w:i w:val="false"/>
                <w:i w:val="false"/>
                <w:iCs w:val="false"/>
                <w:strike w:val="false"/>
                <w:dstrike w:val="false"/>
                <w:outline w:val="false"/>
                <w:shadow w:val="false"/>
                <w:color w:val="000000"/>
                <w:sz w:val="24"/>
                <w:szCs w:val="24"/>
                <w:u w:val="none"/>
              </w:rPr>
            </w:pPr>
            <w:r>
              <w:rPr>
                <w:rFonts w:eastAsia="Times New Roman" w:cs="Calibri"/>
                <w:b/>
                <w:bCs/>
                <w:i w:val="false"/>
                <w:iCs w:val="false"/>
                <w:strike w:val="false"/>
                <w:dstrike w:val="false"/>
                <w:outline w:val="false"/>
                <w:shadow w:val="false"/>
                <w:color w:val="000000"/>
                <w:sz w:val="24"/>
                <w:szCs w:val="24"/>
                <w:u w:val="none"/>
              </w:rPr>
              <w:t>Model 2</w:t>
            </w:r>
          </w:p>
        </w:tc>
        <w:tc>
          <w:tcPr>
            <w:tcW w:w="2521" w:type="dxa"/>
            <w:tcBorders>
              <w:start w:val="single" w:sz="4" w:space="0" w:color="000000"/>
              <w:bottom w:val="single" w:sz="4" w:space="0" w:color="000000"/>
            </w:tcBorders>
            <w:vAlign w:val="center"/>
          </w:tcPr>
          <w:p>
            <w:pPr>
              <w:pStyle w:val="TableContents"/>
              <w:widowControl w:val="false"/>
              <w:jc w:val="center"/>
              <w:rPr>
                <w:rFonts w:ascii="Liberation Serif" w:hAnsi="Liberation Serif" w:eastAsia="Times New Roman" w:cs="Calibri"/>
                <w:b w:val="false"/>
                <w:b w:val="false"/>
                <w:bCs w:val="false"/>
                <w:i w:val="false"/>
                <w:i w:val="false"/>
                <w:iCs w:val="false"/>
                <w:strike w:val="false"/>
                <w:dstrike w:val="false"/>
                <w:outline w:val="false"/>
                <w:shadow w:val="false"/>
                <w:color w:val="000000"/>
                <w:sz w:val="24"/>
                <w:szCs w:val="24"/>
                <w:u w:val="none"/>
              </w:rPr>
            </w:pPr>
            <w:r>
              <w:rPr>
                <w:rFonts w:eastAsia="Times New Roman" w:cs="Calibri"/>
                <w:b w:val="false"/>
                <w:bCs w:val="false"/>
                <w:i w:val="false"/>
                <w:iCs w:val="false"/>
                <w:strike w:val="false"/>
                <w:dstrike w:val="false"/>
                <w:outline w:val="false"/>
                <w:shadow w:val="false"/>
                <w:color w:val="000000"/>
                <w:sz w:val="24"/>
                <w:szCs w:val="24"/>
                <w:u w:val="none"/>
              </w:rPr>
              <w:t>5.104E-01</w:t>
            </w:r>
          </w:p>
        </w:tc>
        <w:tc>
          <w:tcPr>
            <w:tcW w:w="2520" w:type="dxa"/>
            <w:tcBorders>
              <w:start w:val="single" w:sz="4" w:space="0" w:color="000000"/>
              <w:bottom w:val="single" w:sz="4" w:space="0" w:color="000000"/>
            </w:tcBorders>
            <w:vAlign w:val="center"/>
          </w:tcPr>
          <w:p>
            <w:pPr>
              <w:pStyle w:val="TableContents"/>
              <w:widowControl w:val="false"/>
              <w:jc w:val="center"/>
              <w:rPr>
                <w:rFonts w:ascii="Liberation Serif" w:hAnsi="Liberation Serif" w:eastAsia="Times New Roman" w:cs="Calibri"/>
                <w:b w:val="false"/>
                <w:b w:val="false"/>
                <w:bCs w:val="false"/>
                <w:i w:val="false"/>
                <w:i w:val="false"/>
                <w:iCs w:val="false"/>
                <w:strike w:val="false"/>
                <w:dstrike w:val="false"/>
                <w:outline w:val="false"/>
                <w:shadow w:val="false"/>
                <w:color w:val="000000"/>
                <w:sz w:val="24"/>
                <w:szCs w:val="24"/>
                <w:u w:val="none"/>
              </w:rPr>
            </w:pPr>
            <w:r>
              <w:rPr>
                <w:rFonts w:eastAsia="Times New Roman" w:cs="Calibri"/>
                <w:b w:val="false"/>
                <w:bCs w:val="false"/>
                <w:i w:val="false"/>
                <w:iCs w:val="false"/>
                <w:strike w:val="false"/>
                <w:dstrike w:val="false"/>
                <w:outline w:val="false"/>
                <w:shadow w:val="false"/>
                <w:color w:val="000000"/>
                <w:sz w:val="24"/>
                <w:szCs w:val="24"/>
                <w:u w:val="none"/>
              </w:rPr>
              <w:t>7.409E-01</w:t>
            </w:r>
          </w:p>
        </w:tc>
        <w:tc>
          <w:tcPr>
            <w:tcW w:w="2520"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eastAsia="Times New Roman" w:cs="Calibri"/>
                <w:b w:val="false"/>
                <w:b w:val="false"/>
                <w:bCs w:val="false"/>
                <w:i w:val="false"/>
                <w:i w:val="false"/>
                <w:iCs w:val="false"/>
                <w:strike w:val="false"/>
                <w:dstrike w:val="false"/>
                <w:outline w:val="false"/>
                <w:shadow w:val="false"/>
                <w:color w:val="000000"/>
                <w:sz w:val="24"/>
                <w:szCs w:val="24"/>
                <w:u w:val="none"/>
              </w:rPr>
            </w:pPr>
            <w:r>
              <w:rPr>
                <w:rFonts w:eastAsia="Times New Roman" w:cs="Calibri"/>
                <w:b w:val="false"/>
                <w:bCs w:val="false"/>
                <w:i w:val="false"/>
                <w:iCs w:val="false"/>
                <w:strike w:val="false"/>
                <w:dstrike w:val="false"/>
                <w:outline w:val="false"/>
                <w:shadow w:val="false"/>
                <w:color w:val="000000"/>
                <w:sz w:val="24"/>
                <w:szCs w:val="24"/>
                <w:u w:val="none"/>
              </w:rPr>
              <w:t>3.493E-01</w:t>
            </w:r>
          </w:p>
        </w:tc>
      </w:tr>
      <w:tr>
        <w:trPr>
          <w:trHeight w:val="396" w:hRule="atLeast"/>
        </w:trPr>
        <w:tc>
          <w:tcPr>
            <w:tcW w:w="2075" w:type="dxa"/>
            <w:tcBorders>
              <w:start w:val="single" w:sz="4" w:space="0" w:color="000000"/>
              <w:bottom w:val="single" w:sz="4" w:space="0" w:color="000000"/>
            </w:tcBorders>
            <w:vAlign w:val="center"/>
          </w:tcPr>
          <w:p>
            <w:pPr>
              <w:pStyle w:val="TableContents"/>
              <w:widowControl w:val="false"/>
              <w:jc w:val="center"/>
              <w:rPr>
                <w:rFonts w:ascii="Liberation Serif" w:hAnsi="Liberation Serif" w:eastAsia="Times New Roman" w:cs="Calibri"/>
                <w:b/>
                <w:b/>
                <w:bCs/>
                <w:i w:val="false"/>
                <w:i w:val="false"/>
                <w:iCs w:val="false"/>
                <w:strike w:val="false"/>
                <w:dstrike w:val="false"/>
                <w:outline w:val="false"/>
                <w:shadow w:val="false"/>
                <w:color w:val="000000"/>
                <w:sz w:val="24"/>
                <w:szCs w:val="24"/>
                <w:u w:val="none"/>
              </w:rPr>
            </w:pPr>
            <w:r>
              <w:rPr>
                <w:rFonts w:eastAsia="Times New Roman" w:cs="Calibri"/>
                <w:b/>
                <w:bCs/>
                <w:i w:val="false"/>
                <w:iCs w:val="false"/>
                <w:strike w:val="false"/>
                <w:dstrike w:val="false"/>
                <w:outline w:val="false"/>
                <w:shadow w:val="false"/>
                <w:color w:val="000000"/>
                <w:sz w:val="24"/>
                <w:szCs w:val="24"/>
                <w:u w:val="none"/>
              </w:rPr>
              <w:t>Model 3</w:t>
            </w:r>
          </w:p>
        </w:tc>
        <w:tc>
          <w:tcPr>
            <w:tcW w:w="2521" w:type="dxa"/>
            <w:tcBorders>
              <w:start w:val="single" w:sz="4" w:space="0" w:color="000000"/>
              <w:bottom w:val="single" w:sz="4" w:space="0" w:color="000000"/>
            </w:tcBorders>
            <w:vAlign w:val="center"/>
          </w:tcPr>
          <w:p>
            <w:pPr>
              <w:pStyle w:val="TableContents"/>
              <w:widowControl w:val="false"/>
              <w:jc w:val="center"/>
              <w:rPr>
                <w:rFonts w:ascii="Liberation Serif" w:hAnsi="Liberation Serif" w:eastAsia="Times New Roman" w:cs="Calibri"/>
                <w:b w:val="false"/>
                <w:b w:val="false"/>
                <w:bCs w:val="false"/>
                <w:i w:val="false"/>
                <w:i w:val="false"/>
                <w:iCs w:val="false"/>
                <w:strike w:val="false"/>
                <w:dstrike w:val="false"/>
                <w:outline w:val="false"/>
                <w:shadow w:val="false"/>
                <w:color w:val="000000"/>
                <w:sz w:val="24"/>
                <w:szCs w:val="24"/>
                <w:u w:val="none"/>
              </w:rPr>
            </w:pPr>
            <w:r>
              <w:rPr>
                <w:rFonts w:eastAsia="Times New Roman" w:cs="Calibri"/>
                <w:b w:val="false"/>
                <w:bCs w:val="false"/>
                <w:i w:val="false"/>
                <w:iCs w:val="false"/>
                <w:strike w:val="false"/>
                <w:dstrike w:val="false"/>
                <w:outline w:val="false"/>
                <w:shadow w:val="false"/>
                <w:color w:val="000000"/>
                <w:sz w:val="24"/>
                <w:szCs w:val="24"/>
                <w:u w:val="none"/>
              </w:rPr>
              <w:t>1.652E-01</w:t>
            </w:r>
          </w:p>
        </w:tc>
        <w:tc>
          <w:tcPr>
            <w:tcW w:w="2520" w:type="dxa"/>
            <w:tcBorders>
              <w:start w:val="single" w:sz="4" w:space="0" w:color="000000"/>
              <w:bottom w:val="single" w:sz="4" w:space="0" w:color="000000"/>
            </w:tcBorders>
            <w:vAlign w:val="center"/>
          </w:tcPr>
          <w:p>
            <w:pPr>
              <w:pStyle w:val="TableContents"/>
              <w:widowControl w:val="false"/>
              <w:jc w:val="center"/>
              <w:rPr>
                <w:rFonts w:ascii="Liberation Serif" w:hAnsi="Liberation Serif" w:eastAsia="Times New Roman" w:cs="Calibri"/>
                <w:b w:val="false"/>
                <w:b w:val="false"/>
                <w:bCs w:val="false"/>
                <w:i w:val="false"/>
                <w:i w:val="false"/>
                <w:iCs w:val="false"/>
                <w:strike w:val="false"/>
                <w:dstrike w:val="false"/>
                <w:outline w:val="false"/>
                <w:shadow w:val="false"/>
                <w:color w:val="000000"/>
                <w:sz w:val="24"/>
                <w:szCs w:val="24"/>
                <w:u w:val="none"/>
              </w:rPr>
            </w:pPr>
            <w:r>
              <w:rPr>
                <w:rFonts w:eastAsia="Times New Roman" w:cs="Calibri"/>
                <w:b w:val="false"/>
                <w:bCs w:val="false"/>
                <w:i w:val="false"/>
                <w:iCs w:val="false"/>
                <w:strike w:val="false"/>
                <w:dstrike w:val="false"/>
                <w:outline w:val="false"/>
                <w:shadow w:val="false"/>
                <w:color w:val="000000"/>
                <w:sz w:val="24"/>
                <w:szCs w:val="24"/>
                <w:u w:val="none"/>
              </w:rPr>
              <w:t>9.723E-01</w:t>
            </w:r>
          </w:p>
        </w:tc>
        <w:tc>
          <w:tcPr>
            <w:tcW w:w="2520"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eastAsia="Times New Roman" w:cs="Calibri"/>
                <w:b w:val="false"/>
                <w:b w:val="false"/>
                <w:bCs w:val="false"/>
                <w:i w:val="false"/>
                <w:i w:val="false"/>
                <w:iCs w:val="false"/>
                <w:strike w:val="false"/>
                <w:dstrike w:val="false"/>
                <w:outline w:val="false"/>
                <w:shadow w:val="false"/>
                <w:color w:val="000000"/>
                <w:sz w:val="24"/>
                <w:szCs w:val="24"/>
                <w:u w:val="none"/>
              </w:rPr>
            </w:pPr>
            <w:r>
              <w:rPr>
                <w:rFonts w:eastAsia="Times New Roman" w:cs="Calibri"/>
                <w:b w:val="false"/>
                <w:bCs w:val="false"/>
                <w:i w:val="false"/>
                <w:iCs w:val="false"/>
                <w:strike w:val="false"/>
                <w:dstrike w:val="false"/>
                <w:outline w:val="false"/>
                <w:shadow w:val="false"/>
                <w:color w:val="000000"/>
                <w:sz w:val="24"/>
                <w:szCs w:val="24"/>
                <w:u w:val="none"/>
              </w:rPr>
              <w:t>1.008E-01</w:t>
            </w:r>
          </w:p>
        </w:tc>
      </w:tr>
      <w:tr>
        <w:trPr>
          <w:trHeight w:val="396" w:hRule="atLeast"/>
        </w:trPr>
        <w:tc>
          <w:tcPr>
            <w:tcW w:w="2075" w:type="dxa"/>
            <w:tcBorders>
              <w:start w:val="single" w:sz="4" w:space="0" w:color="000000"/>
              <w:bottom w:val="single" w:sz="4" w:space="0" w:color="000000"/>
            </w:tcBorders>
            <w:vAlign w:val="center"/>
          </w:tcPr>
          <w:p>
            <w:pPr>
              <w:pStyle w:val="TableContents"/>
              <w:widowControl w:val="false"/>
              <w:jc w:val="center"/>
              <w:rPr>
                <w:rFonts w:ascii="Liberation Serif" w:hAnsi="Liberation Serif" w:eastAsia="Times New Roman" w:cs="Calibri"/>
                <w:b/>
                <w:b/>
                <w:bCs/>
                <w:i w:val="false"/>
                <w:i w:val="false"/>
                <w:iCs w:val="false"/>
                <w:strike w:val="false"/>
                <w:dstrike w:val="false"/>
                <w:outline w:val="false"/>
                <w:shadow w:val="false"/>
                <w:color w:val="000000"/>
                <w:sz w:val="24"/>
                <w:szCs w:val="24"/>
                <w:u w:val="none"/>
              </w:rPr>
            </w:pPr>
            <w:r>
              <w:rPr>
                <w:rFonts w:eastAsia="Times New Roman" w:cs="Calibri"/>
                <w:b/>
                <w:bCs/>
                <w:i w:val="false"/>
                <w:iCs w:val="false"/>
                <w:strike w:val="false"/>
                <w:dstrike w:val="false"/>
                <w:outline w:val="false"/>
                <w:shadow w:val="false"/>
                <w:color w:val="000000"/>
                <w:sz w:val="24"/>
                <w:szCs w:val="24"/>
                <w:u w:val="none"/>
              </w:rPr>
              <w:t>Model 4</w:t>
            </w:r>
          </w:p>
        </w:tc>
        <w:tc>
          <w:tcPr>
            <w:tcW w:w="2521" w:type="dxa"/>
            <w:tcBorders>
              <w:start w:val="single" w:sz="4" w:space="0" w:color="000000"/>
              <w:bottom w:val="single" w:sz="4" w:space="0" w:color="000000"/>
            </w:tcBorders>
            <w:vAlign w:val="center"/>
          </w:tcPr>
          <w:p>
            <w:pPr>
              <w:pStyle w:val="TableContents"/>
              <w:widowControl w:val="false"/>
              <w:jc w:val="center"/>
              <w:rPr>
                <w:rFonts w:ascii="Liberation Serif" w:hAnsi="Liberation Serif" w:eastAsia="Times New Roman" w:cs="Calibri"/>
                <w:b w:val="false"/>
                <w:b w:val="false"/>
                <w:bCs w:val="false"/>
                <w:i w:val="false"/>
                <w:i w:val="false"/>
                <w:iCs w:val="false"/>
                <w:strike w:val="false"/>
                <w:dstrike w:val="false"/>
                <w:outline w:val="false"/>
                <w:shadow w:val="false"/>
                <w:color w:val="000000"/>
                <w:sz w:val="24"/>
                <w:szCs w:val="24"/>
                <w:u w:val="none"/>
              </w:rPr>
            </w:pPr>
            <w:r>
              <w:rPr>
                <w:rFonts w:eastAsia="Times New Roman" w:cs="Calibri"/>
                <w:b w:val="false"/>
                <w:bCs w:val="false"/>
                <w:i w:val="false"/>
                <w:iCs w:val="false"/>
                <w:strike w:val="false"/>
                <w:dstrike w:val="false"/>
                <w:outline w:val="false"/>
                <w:shadow w:val="false"/>
                <w:color w:val="000000"/>
                <w:sz w:val="24"/>
                <w:szCs w:val="24"/>
                <w:u w:val="none"/>
              </w:rPr>
              <w:t>2.235E-01</w:t>
            </w:r>
          </w:p>
        </w:tc>
        <w:tc>
          <w:tcPr>
            <w:tcW w:w="2520" w:type="dxa"/>
            <w:tcBorders>
              <w:start w:val="single" w:sz="4" w:space="0" w:color="000000"/>
              <w:bottom w:val="single" w:sz="4" w:space="0" w:color="000000"/>
            </w:tcBorders>
            <w:vAlign w:val="center"/>
          </w:tcPr>
          <w:p>
            <w:pPr>
              <w:pStyle w:val="TableContents"/>
              <w:widowControl w:val="false"/>
              <w:jc w:val="center"/>
              <w:rPr>
                <w:rFonts w:ascii="Liberation Serif" w:hAnsi="Liberation Serif" w:eastAsia="Times New Roman" w:cs="Calibri"/>
                <w:b w:val="false"/>
                <w:b w:val="false"/>
                <w:bCs w:val="false"/>
                <w:i w:val="false"/>
                <w:i w:val="false"/>
                <w:iCs w:val="false"/>
                <w:strike w:val="false"/>
                <w:dstrike w:val="false"/>
                <w:outline w:val="false"/>
                <w:shadow w:val="false"/>
                <w:color w:val="000000"/>
                <w:sz w:val="24"/>
                <w:szCs w:val="24"/>
                <w:u w:val="none"/>
              </w:rPr>
            </w:pPr>
            <w:r>
              <w:rPr>
                <w:rFonts w:eastAsia="Times New Roman" w:cs="Calibri"/>
                <w:b w:val="false"/>
                <w:bCs w:val="false"/>
                <w:i w:val="false"/>
                <w:iCs w:val="false"/>
                <w:strike w:val="false"/>
                <w:dstrike w:val="false"/>
                <w:outline w:val="false"/>
                <w:shadow w:val="false"/>
                <w:color w:val="000000"/>
                <w:sz w:val="24"/>
                <w:szCs w:val="24"/>
                <w:u w:val="none"/>
              </w:rPr>
              <w:t>9.500E-01</w:t>
            </w:r>
          </w:p>
        </w:tc>
        <w:tc>
          <w:tcPr>
            <w:tcW w:w="2520" w:type="dxa"/>
            <w:tcBorders>
              <w:start w:val="single" w:sz="4" w:space="0" w:color="000000"/>
              <w:bottom w:val="single" w:sz="4" w:space="0" w:color="000000"/>
              <w:end w:val="single" w:sz="4" w:space="0" w:color="000000"/>
            </w:tcBorders>
            <w:vAlign w:val="center"/>
          </w:tcPr>
          <w:p>
            <w:pPr>
              <w:pStyle w:val="TableContents"/>
              <w:widowControl w:val="false"/>
              <w:jc w:val="center"/>
              <w:rPr>
                <w:rFonts w:ascii="Liberation Serif" w:hAnsi="Liberation Serif" w:eastAsia="Times New Roman" w:cs="Calibri"/>
                <w:b w:val="false"/>
                <w:b w:val="false"/>
                <w:bCs w:val="false"/>
                <w:i w:val="false"/>
                <w:i w:val="false"/>
                <w:iCs w:val="false"/>
                <w:strike w:val="false"/>
                <w:dstrike w:val="false"/>
                <w:outline w:val="false"/>
                <w:shadow w:val="false"/>
                <w:color w:val="000000"/>
                <w:sz w:val="24"/>
                <w:szCs w:val="24"/>
                <w:u w:val="none"/>
              </w:rPr>
            </w:pPr>
            <w:r>
              <w:rPr>
                <w:rFonts w:eastAsia="Times New Roman" w:cs="Calibri"/>
                <w:b w:val="false"/>
                <w:bCs w:val="false"/>
                <w:i w:val="false"/>
                <w:iCs w:val="false"/>
                <w:strike w:val="false"/>
                <w:dstrike w:val="false"/>
                <w:outline w:val="false"/>
                <w:shadow w:val="false"/>
                <w:color w:val="000000"/>
                <w:sz w:val="24"/>
                <w:szCs w:val="24"/>
                <w:u w:val="none"/>
              </w:rPr>
              <w:t>1.279E-01</w:t>
            </w:r>
          </w:p>
        </w:tc>
      </w:tr>
    </w:tbl>
    <w:p>
      <w:pPr>
        <w:pStyle w:val="ListParagraph"/>
        <w:ind w:start="0" w:end="0" w:hanging="0"/>
        <w:rPr>
          <w:rFonts w:ascii="Calibri" w:hAnsi="Calibri" w:eastAsia="Times New Roman" w:cs="Calibri"/>
          <w:b/>
          <w:b/>
          <w:bCs/>
          <w:color w:val="000000"/>
          <w:sz w:val="22"/>
          <w:szCs w:val="22"/>
          <w:u w:val="single"/>
          <w:lang w:eastAsia="en-GB"/>
        </w:rPr>
      </w:pPr>
      <w:r>
        <w:rPr>
          <w:rFonts w:eastAsia="Times New Roman" w:cs="Calibri" w:ascii="Calibri" w:hAnsi="Calibri"/>
          <w:b/>
          <w:bCs/>
          <w:color w:val="000000"/>
          <w:sz w:val="22"/>
          <w:szCs w:val="22"/>
          <w:u w:val="single"/>
          <w:lang w:eastAsia="en-GB"/>
        </w:rPr>
      </w:r>
    </w:p>
    <w:p>
      <w:pPr>
        <w:pStyle w:val="ListParagraph"/>
        <w:ind w:start="0" w:end="0" w:hanging="0"/>
        <w:rPr>
          <w:rFonts w:ascii="Calibri" w:hAnsi="Calibri" w:eastAsia="Times New Roman" w:cs="Calibri"/>
          <w:color w:val="000000"/>
          <w:u w:val="single"/>
          <w:lang w:eastAsia="en-GB"/>
        </w:rPr>
      </w:pPr>
      <w:r>
        <w:rPr>
          <w:rFonts w:eastAsia="Times New Roman" w:cs="Calibri" w:ascii="Calibri" w:hAnsi="Calibri"/>
          <w:b/>
          <w:bCs/>
          <w:color w:val="000000"/>
          <w:sz w:val="22"/>
          <w:szCs w:val="22"/>
          <w:u w:val="single"/>
          <w:lang w:eastAsia="en-GB"/>
        </w:rPr>
        <w:t>Discussion</w:t>
      </w:r>
    </w:p>
    <w:p>
      <w:pPr>
        <w:pStyle w:val="ListParagraph"/>
        <w:ind w:start="0" w:end="0" w:hanging="0"/>
        <w:rPr>
          <w:rFonts w:ascii="Calibri" w:hAnsi="Calibri" w:eastAsia="Times New Roman" w:cs="Calibri"/>
          <w:b w:val="false"/>
          <w:b w:val="false"/>
          <w:bCs w:val="false"/>
          <w:color w:val="000000"/>
          <w:sz w:val="22"/>
          <w:szCs w:val="22"/>
          <w:shd w:fill="auto" w:val="clear"/>
          <w:lang w:eastAsia="en-GB"/>
        </w:rPr>
      </w:pPr>
      <w:r>
        <w:rPr>
          <w:rFonts w:eastAsia="Times New Roman" w:cs="Calibri" w:ascii="Calibri" w:hAnsi="Calibri"/>
          <w:b w:val="false"/>
          <w:bCs w:val="false"/>
          <w:color w:val="000000"/>
          <w:sz w:val="22"/>
          <w:szCs w:val="22"/>
          <w:shd w:fill="auto" w:val="clear"/>
          <w:lang w:eastAsia="en-GB"/>
        </w:rPr>
        <w:t xml:space="preserve">This study investigated the general relationships between input resources of a vineyard, including fuel and water, and the outputs including yield and value. Some regions appeared to produce many low quality grapes at scale compared to attempting to produce fewer higher quality grapes. This behaviour can be observed when reviewing Wine Australia’s annual reports, where it is apparent that warm inland regions such as the Riverland are known to only produce large amounts of lower graded grapes </w:t>
      </w:r>
      <w:r>
        <w:rPr>
          <w:rFonts w:eastAsia="Times New Roman" w:cs="Calibri" w:ascii="Calibri" w:hAnsi="Calibri"/>
          <w:b w:val="false"/>
          <w:bCs w:val="false"/>
          <w:i w:val="false"/>
          <w:caps w:val="false"/>
          <w:smallCaps w:val="false"/>
          <w:color w:val="000000"/>
          <w:position w:val="0"/>
          <w:sz w:val="22"/>
          <w:sz w:val="22"/>
          <w:szCs w:val="22"/>
          <w:u w:val="none"/>
          <w:shd w:fill="auto" w:val="clear"/>
          <w:vertAlign w:val="baseline"/>
          <w:lang w:eastAsia="en-GB"/>
        </w:rPr>
        <w:t>(Wine Australia, 2022; Winemakers’ Federation of Australia, 2017)</w:t>
      </w:r>
      <w:r>
        <w:rPr>
          <w:rFonts w:eastAsia="Times New Roman" w:cs="Calibri" w:ascii="Calibri" w:hAnsi="Calibri"/>
          <w:b w:val="false"/>
          <w:bCs w:val="false"/>
          <w:color w:val="000000"/>
          <w:sz w:val="22"/>
          <w:szCs w:val="22"/>
          <w:shd w:fill="auto" w:val="clear"/>
          <w:lang w:eastAsia="en-GB"/>
        </w:rPr>
        <w:t xml:space="preserve">. Comparatively, regions such as Tasmania only produce A grade grapes but in much smaller quantities than the Riverland. Knowing that the difference in pricing per tonne can exceed a magnitude of 10 between grades E and A, the operations in regions that target different grades would have varied priorities. However, some regions such as the Yarra Valley produce a Variety of different grades of grapes, from C to A, highlighting that vineyard priorities, although may be somewhat present within regional classifications, are not necessarily aligned within a given region. </w:t>
      </w:r>
    </w:p>
    <w:p>
      <w:pPr>
        <w:pStyle w:val="ListParagraph"/>
        <w:ind w:start="0" w:end="0" w:hanging="0"/>
        <w:rPr>
          <w:rFonts w:ascii="Calibri" w:hAnsi="Calibri" w:eastAsia="Times New Roman" w:cs="Calibri"/>
          <w:b w:val="false"/>
          <w:b w:val="false"/>
          <w:bCs w:val="false"/>
          <w:color w:val="000000"/>
          <w:sz w:val="22"/>
          <w:szCs w:val="22"/>
          <w:shd w:fill="auto" w:val="clear"/>
          <w:lang w:eastAsia="en-GB"/>
        </w:rPr>
      </w:pPr>
      <w:r>
        <w:rPr>
          <w:rFonts w:eastAsia="Times New Roman" w:cs="Calibri" w:ascii="Calibri" w:hAnsi="Calibri"/>
          <w:b w:val="false"/>
          <w:bCs w:val="false"/>
          <w:color w:val="000000"/>
          <w:sz w:val="22"/>
          <w:szCs w:val="22"/>
          <w:shd w:fill="auto" w:val="clear"/>
          <w:lang w:eastAsia="en-GB"/>
        </w:rPr>
      </w:r>
    </w:p>
    <w:p>
      <w:pPr>
        <w:pStyle w:val="ListParagraph"/>
        <w:ind w:start="0" w:end="0" w:hanging="0"/>
        <w:rPr>
          <w:rFonts w:ascii="Calibri" w:hAnsi="Calibri" w:eastAsia="Times New Roman" w:cs="Calibri"/>
          <w:b w:val="false"/>
          <w:b w:val="false"/>
          <w:bCs w:val="false"/>
          <w:color w:val="000000"/>
          <w:sz w:val="22"/>
          <w:szCs w:val="22"/>
          <w:shd w:fill="auto" w:val="clear"/>
          <w:lang w:eastAsia="en-GB"/>
        </w:rPr>
      </w:pPr>
      <w:r>
        <w:rPr>
          <w:rFonts w:eastAsia="Times New Roman" w:cs="Calibri" w:ascii="Calibri" w:hAnsi="Calibri"/>
          <w:b w:val="false"/>
          <w:bCs w:val="false"/>
          <w:color w:val="000000"/>
          <w:sz w:val="22"/>
          <w:szCs w:val="22"/>
          <w:shd w:fill="auto" w:val="clear"/>
          <w:lang w:eastAsia="en-GB"/>
        </w:rPr>
        <w:t>The opportunity to target different grades of grapes may not always be available, with some regions being more renowned than others, and likely to be sought after regardless (Halliday, 2009). The Barossa is an example of this, known for its quality could also lend itself to a bias in purchasers not considering other regions that may be capable of similar quality. This effect could stifle the potential for market opportunities within these lesser known regions. A further possibility is that there may be regional upper limits with the relationship between resource input and the value gained becoming no longer proportional due to diminishing returns. Climate was considered to be a large determinant of the ability to grow a larger quantity of grapes, as well as a determinant in grape quality (Agosta et al., 2012); however there were vineyards in similar regions that were able to produce exceptionally better results than others (See Figure 7).</w:t>
      </w:r>
    </w:p>
    <w:p>
      <w:pPr>
        <w:pStyle w:val="ListParagraph"/>
        <w:ind w:start="0" w:end="0" w:hanging="0"/>
        <w:rPr>
          <w:rFonts w:ascii="Calibri" w:hAnsi="Calibri" w:eastAsia="Times New Roman" w:cs="Calibri"/>
          <w:b w:val="false"/>
          <w:b w:val="false"/>
          <w:bCs w:val="false"/>
          <w:color w:val="000000"/>
          <w:sz w:val="22"/>
          <w:szCs w:val="22"/>
          <w:shd w:fill="auto" w:val="clear"/>
          <w:lang w:eastAsia="en-GB"/>
        </w:rPr>
      </w:pPr>
      <w:r>
        <w:rPr>
          <w:rFonts w:eastAsia="Times New Roman" w:cs="Calibri" w:ascii="Calibri" w:hAnsi="Calibri"/>
          <w:b w:val="false"/>
          <w:bCs w:val="false"/>
          <w:color w:val="000000"/>
          <w:sz w:val="22"/>
          <w:szCs w:val="22"/>
          <w:shd w:fill="auto" w:val="clear"/>
          <w:lang w:eastAsia="en-GB"/>
        </w:rPr>
      </w:r>
    </w:p>
    <w:p>
      <w:pPr>
        <w:pStyle w:val="ListParagraph"/>
        <w:ind w:start="0" w:end="0" w:hanging="0"/>
        <w:rPr>
          <w:rFonts w:ascii="Calibri" w:hAnsi="Calibri" w:eastAsia="Times New Roman" w:cs="Calibri"/>
          <w:b w:val="false"/>
          <w:b w:val="false"/>
          <w:bCs w:val="false"/>
          <w:color w:val="000000"/>
          <w:sz w:val="22"/>
          <w:szCs w:val="22"/>
          <w:shd w:fill="auto" w:val="clear"/>
          <w:lang w:eastAsia="en-GB"/>
        </w:rPr>
      </w:pPr>
      <w:r>
        <w:rPr>
          <w:rFonts w:eastAsia="Times New Roman" w:cs="Calibri" w:ascii="Calibri" w:hAnsi="Calibri"/>
          <w:b w:val="false"/>
          <w:bCs w:val="false"/>
          <w:color w:val="000000"/>
          <w:sz w:val="22"/>
          <w:szCs w:val="22"/>
          <w:shd w:fill="auto" w:val="clear"/>
          <w:lang w:eastAsia="en-GB"/>
        </w:rPr>
        <w:t xml:space="preserve">The issue of model 1 and 2 over predicting yield, may have been due to preventative measures brought on by regional pressures such as fire, frost and disease. Where, more resources were required to prevent these issues from spreading within a region, thus disproportionately effecting some vineyards compared to others locally. This type of maintenance is not well captured especially when considering that some regions, those in warmer areas are not as prone to disease as cooler climates and could potentially have lower operating costs per hectare. This could create a discrepancy in vineyards that utilise preventative measures in wetter regions, as opposed to those who do not, and thus expend less fuel and energy but risk disease. When reviewing the differences between regions it is important to consider that vineyards in Hot Very Dry areas can be hundreds of times the size of those in other regions. It is interesting that while area, although significantly correlated to the ratio of yield to area, was still lower than water and about the same as emissions. This points to economies of scale playing a role but still being only one consideration alongside the potential resources that can be used. The negative trend between size and average sales price could also be a side effect of mass supply verse demand, especially when looking at the level of difference in production of some vineyards (see Table 4). The relationships between yield, value and area are not simply about efficiently producing the most grapes; sales price and by association grape quality, are integral to the profitability, and this is strongly linked to resource use and thus the longevity and sustainability of a vineyard. </w:t>
      </w:r>
    </w:p>
    <w:p>
      <w:pPr>
        <w:pStyle w:val="ListParagraph"/>
        <w:ind w:start="0" w:end="0" w:hanging="0"/>
        <w:rPr>
          <w:rFonts w:ascii="Calibri" w:hAnsi="Calibri" w:eastAsia="Times New Roman" w:cs="Calibri"/>
          <w:b w:val="false"/>
          <w:b w:val="false"/>
          <w:bCs w:val="false"/>
          <w:color w:val="000000"/>
          <w:sz w:val="22"/>
          <w:szCs w:val="22"/>
          <w:shd w:fill="auto" w:val="clear"/>
          <w:lang w:eastAsia="en-GB"/>
        </w:rPr>
      </w:pPr>
      <w:r>
        <w:rPr>
          <w:rFonts w:eastAsia="Times New Roman" w:cs="Calibri" w:ascii="Calibri" w:hAnsi="Calibri"/>
          <w:b w:val="false"/>
          <w:bCs w:val="false"/>
          <w:color w:val="000000"/>
          <w:sz w:val="22"/>
          <w:szCs w:val="22"/>
          <w:shd w:fill="auto" w:val="clear"/>
          <w:lang w:eastAsia="en-GB"/>
        </w:rPr>
      </w:r>
    </w:p>
    <w:p>
      <w:pPr>
        <w:pStyle w:val="ListParagraph"/>
        <w:ind w:start="0" w:end="0" w:hanging="0"/>
        <w:rPr>
          <w:rFonts w:ascii="Calibri" w:hAnsi="Calibri" w:eastAsia="Times New Roman" w:cs="Calibri"/>
          <w:b w:val="false"/>
          <w:b w:val="false"/>
          <w:bCs w:val="false"/>
          <w:color w:val="000000"/>
          <w:sz w:val="22"/>
          <w:szCs w:val="22"/>
          <w:shd w:fill="auto" w:val="clear"/>
          <w:lang w:eastAsia="en-GB"/>
        </w:rPr>
      </w:pPr>
      <w:r>
        <w:rPr>
          <w:rFonts w:eastAsia="Times New Roman" w:cs="Calibri" w:ascii="Calibri" w:hAnsi="Calibri"/>
          <w:b w:val="false"/>
          <w:bCs w:val="false"/>
          <w:color w:val="000000"/>
          <w:sz w:val="22"/>
          <w:szCs w:val="22"/>
          <w:shd w:fill="auto" w:val="clear"/>
          <w:lang w:eastAsia="en-GB"/>
        </w:rPr>
        <w:t xml:space="preserve">Literature shows that there are many on-the-ground decisions that influence both quality and yield. Where these decisions are governed by complex physical and social forces such as international market demands, disease pressures and natural disasters (Abad et al., 2021; Cortez et al., 2009; Hall et al., 2011; I. Goodwin, et al., 2009; Kasimati et al., 2022; Oliver et al., 2013; Srivastava and Sadistap, 2018). Many of these occurrences being highlighted throughout the past decades vintage reports </w:t>
      </w:r>
      <w:r>
        <w:rPr>
          <w:rFonts w:eastAsia="Times New Roman" w:cs="Calibri" w:ascii="Calibri" w:hAnsi="Calibri"/>
          <w:b w:val="false"/>
          <w:bCs w:val="false"/>
          <w:i w:val="false"/>
          <w:caps w:val="false"/>
          <w:smallCaps w:val="false"/>
          <w:color w:val="000000"/>
          <w:position w:val="0"/>
          <w:sz w:val="22"/>
          <w:sz w:val="22"/>
          <w:szCs w:val="22"/>
          <w:u w:val="none"/>
          <w:shd w:fill="auto" w:val="clear"/>
          <w:vertAlign w:val="baseline"/>
          <w:lang w:eastAsia="en-GB"/>
        </w:rPr>
        <w:t>(Wine Australia, 2022, 2021, 2020, 2019; Winemakers’ Federation of Australia, 2018, 2017, 2016, 2015, 2014, 2013, 2012)</w:t>
      </w:r>
      <w:r>
        <w:rPr>
          <w:rFonts w:eastAsia="Times New Roman" w:cs="Calibri" w:ascii="Calibri" w:hAnsi="Calibri"/>
          <w:b w:val="false"/>
          <w:bCs w:val="false"/>
          <w:color w:val="000000"/>
          <w:sz w:val="22"/>
          <w:szCs w:val="22"/>
          <w:shd w:fill="auto" w:val="clear"/>
          <w:lang w:eastAsia="en-GB"/>
        </w:rPr>
        <w:t xml:space="preserve">. It is also important to consider that these reports show that the warm inland regions have seen a decline in profit during this period, as they were often compared to other regions that focused more on quality than quantity. This is an important consideration, as the size of some of these vineyards when considering their ratio of value to area would only require a marginal increase to out compete other regions. There are also differences when comparing winegrowers to other agricultural industries as they are vertically integrated within the wine industry, tying them to secondary and tertiary industries, such as wine production, packaging, transport and sales. This results in unique issues and considerations for each vineyard, where these on-the-ground decisions may be influenced by other wine industry’s choices, such as the use of sustainable practices in vineyards as a requirement for sale in overseas markets; notably these interactions are further complicated by some winegrowers being totally integrated into wine companies, while others are not (Knight et al., 2019). Incorporating such decisions into the model could help describe the contributing factors to regional differences beyond resource consumption and regional differences. </w:t>
      </w:r>
    </w:p>
    <w:p>
      <w:pPr>
        <w:pStyle w:val="ListParagraph"/>
        <w:ind w:start="0" w:end="0" w:hanging="0"/>
        <w:rPr>
          <w:rFonts w:ascii="Calibri" w:hAnsi="Calibri" w:eastAsia="Times New Roman" w:cs="Calibri"/>
          <w:b w:val="false"/>
          <w:b w:val="false"/>
          <w:bCs w:val="false"/>
          <w:color w:val="000000"/>
          <w:sz w:val="22"/>
          <w:szCs w:val="22"/>
          <w:shd w:fill="auto" w:val="clear"/>
          <w:lang w:eastAsia="en-GB"/>
        </w:rPr>
      </w:pPr>
      <w:r>
        <w:rPr>
          <w:rFonts w:eastAsia="Times New Roman" w:cs="Calibri" w:ascii="Calibri" w:hAnsi="Calibri"/>
          <w:b w:val="false"/>
          <w:bCs w:val="false"/>
          <w:color w:val="000000"/>
          <w:sz w:val="22"/>
          <w:szCs w:val="22"/>
          <w:shd w:fill="auto" w:val="clear"/>
          <w:lang w:eastAsia="en-GB"/>
        </w:rPr>
      </w:r>
    </w:p>
    <w:p>
      <w:pPr>
        <w:pStyle w:val="ListParagraph"/>
        <w:ind w:start="0" w:end="0" w:hanging="0"/>
        <w:rPr>
          <w:rFonts w:ascii="Calibri" w:hAnsi="Calibri" w:eastAsia="Times New Roman" w:cs="Calibri"/>
          <w:b w:val="false"/>
          <w:b w:val="false"/>
          <w:bCs w:val="false"/>
          <w:color w:val="000000"/>
          <w:sz w:val="22"/>
          <w:szCs w:val="22"/>
          <w:shd w:fill="auto" w:val="clear"/>
          <w:lang w:eastAsia="en-GB"/>
        </w:rPr>
      </w:pPr>
      <w:r>
        <w:rPr>
          <w:rFonts w:eastAsia="Times New Roman" w:cs="Calibri" w:ascii="Calibri" w:hAnsi="Calibri"/>
          <w:b w:val="false"/>
          <w:bCs w:val="false"/>
          <w:color w:val="000000"/>
          <w:sz w:val="22"/>
          <w:szCs w:val="22"/>
          <w:shd w:fill="auto" w:val="clear"/>
          <w:lang w:eastAsia="en-GB"/>
        </w:rPr>
        <w:t xml:space="preserve">Having more data for each region would also be an improvement, allowing greater comparison between regions. More variables may also help to discern vineyards that can produce larger volumes of grapes at higher prices. The use of semi transparent tools such as random forests and decision trees alongside more variables and data may help to uncover the reasons for values that were under or over estimated. These differences could be caused by the use of alternative sustainable practices in the field. While there is evidence to suggest that environmentally sustainable practices can reduce costs, increase efficiency, whilst improving the quality of grapes, more research is needed to link these benefits across different regions and climates </w:t>
      </w:r>
      <w:r>
        <w:rPr>
          <w:rFonts w:eastAsia="Times New Roman" w:cs="Calibri" w:ascii="Calibri" w:hAnsi="Calibri"/>
          <w:b w:val="false"/>
          <w:bCs w:val="false"/>
          <w:i w:val="false"/>
          <w:caps w:val="false"/>
          <w:smallCaps w:val="false"/>
          <w:color w:val="000000"/>
          <w:position w:val="0"/>
          <w:sz w:val="22"/>
          <w:sz w:val="22"/>
          <w:szCs w:val="22"/>
          <w:u w:val="none"/>
          <w:shd w:fill="auto" w:val="clear"/>
          <w:vertAlign w:val="baseline"/>
          <w:lang w:eastAsia="en-GB"/>
        </w:rPr>
        <w:t>(Baiano, 2021; Mariani and Vastola, 2015; Montalvo-Falcón et al., 2023)</w:t>
      </w:r>
      <w:r>
        <w:rPr>
          <w:rFonts w:eastAsia="Times New Roman" w:cs="Calibri" w:ascii="Calibri" w:hAnsi="Calibri"/>
          <w:b w:val="false"/>
          <w:bCs w:val="false"/>
          <w:color w:val="000000"/>
          <w:sz w:val="22"/>
          <w:szCs w:val="22"/>
          <w:shd w:fill="auto" w:val="clear"/>
          <w:lang w:eastAsia="en-GB"/>
        </w:rPr>
        <w:t>.</w:t>
      </w:r>
    </w:p>
    <w:p>
      <w:pPr>
        <w:pStyle w:val="ListParagraph"/>
        <w:ind w:start="0" w:end="0" w:hanging="0"/>
        <w:rPr>
          <w:rFonts w:ascii="Calibri" w:hAnsi="Calibri" w:eastAsia="Times New Roman" w:cs="Calibri"/>
          <w:b w:val="false"/>
          <w:b w:val="false"/>
          <w:bCs w:val="false"/>
          <w:color w:val="000000"/>
          <w:sz w:val="22"/>
          <w:szCs w:val="22"/>
          <w:shd w:fill="auto" w:val="clear"/>
          <w:lang w:eastAsia="en-GB"/>
        </w:rPr>
      </w:pPr>
      <w:r>
        <w:rPr>
          <w:rFonts w:eastAsia="Times New Roman" w:cs="Calibri" w:ascii="Calibri" w:hAnsi="Calibri"/>
          <w:b w:val="false"/>
          <w:bCs w:val="false"/>
          <w:color w:val="000000"/>
          <w:sz w:val="22"/>
          <w:szCs w:val="22"/>
          <w:shd w:fill="auto" w:val="clear"/>
          <w:lang w:eastAsia="en-GB"/>
        </w:rPr>
      </w:r>
    </w:p>
    <w:p>
      <w:pPr>
        <w:pStyle w:val="ListParagraph"/>
        <w:ind w:start="0" w:end="0" w:hanging="0"/>
        <w:rPr>
          <w:rFonts w:ascii="Calibri" w:hAnsi="Calibri" w:eastAsia="Times New Roman" w:cs="Calibri"/>
          <w:b w:val="false"/>
          <w:b w:val="false"/>
          <w:bCs w:val="false"/>
          <w:color w:val="000000"/>
          <w:sz w:val="22"/>
          <w:szCs w:val="22"/>
          <w:shd w:fill="auto" w:val="clear"/>
          <w:lang w:eastAsia="en-GB"/>
        </w:rPr>
      </w:pPr>
      <w:r>
        <w:rPr>
          <w:rFonts w:eastAsia="Times New Roman" w:cs="Calibri" w:ascii="Calibri" w:hAnsi="Calibri"/>
          <w:b w:val="false"/>
          <w:bCs w:val="false"/>
          <w:color w:val="000000"/>
          <w:sz w:val="22"/>
          <w:szCs w:val="22"/>
          <w:shd w:fill="auto" w:val="clear"/>
          <w:lang w:eastAsia="en-GB"/>
        </w:rPr>
      </w:r>
      <w:r>
        <w:br w:type="page"/>
      </w:r>
    </w:p>
    <w:p>
      <w:pPr>
        <w:pStyle w:val="ListParagraph"/>
        <w:ind w:start="0" w:end="0" w:hanging="0"/>
        <w:rPr>
          <w:rFonts w:ascii="Calibri" w:hAnsi="Calibri" w:eastAsia="Times New Roman" w:cs="Calibri"/>
          <w:b w:val="false"/>
          <w:b w:val="false"/>
          <w:bCs w:val="false"/>
          <w:color w:val="000000"/>
          <w:sz w:val="22"/>
          <w:szCs w:val="22"/>
          <w:shd w:fill="auto" w:val="clear"/>
          <w:lang w:eastAsia="en-GB"/>
        </w:rPr>
      </w:pPr>
      <w:r>
        <w:rPr>
          <w:rFonts w:eastAsia="Times New Roman" w:cs="Calibri" w:ascii="Calibri" w:hAnsi="Calibri"/>
          <w:b w:val="false"/>
          <w:bCs w:val="false"/>
          <w:color w:val="000000"/>
          <w:sz w:val="22"/>
          <w:szCs w:val="22"/>
          <w:shd w:fill="auto" w:val="clear"/>
          <w:lang w:eastAsia="en-GB"/>
        </w:rPr>
      </w:r>
    </w:p>
    <w:p>
      <w:pPr>
        <w:pStyle w:val="ListParagraph"/>
        <w:ind w:start="0" w:end="0" w:hanging="0"/>
        <w:rPr>
          <w:b/>
          <w:b/>
          <w:bCs/>
        </w:rPr>
      </w:pPr>
      <w:r>
        <w:rPr>
          <w:b/>
          <w:bCs/>
        </w:rPr>
        <w:t>References</w:t>
      </w:r>
    </w:p>
    <w:p>
      <w:pPr>
        <w:sectPr>
          <w:type w:val="nextPage"/>
          <w:pgSz w:w="11906" w:h="16838"/>
          <w:pgMar w:left="1134" w:right="1134" w:gutter="0" w:header="0" w:top="1134" w:footer="0" w:bottom="1134"/>
          <w:pgNumType w:fmt="decimal"/>
          <w:formProt w:val="false"/>
          <w:textDirection w:val="lrTb"/>
          <w:docGrid w:type="default" w:linePitch="312" w:charSpace="0"/>
        </w:sectPr>
      </w:pPr>
    </w:p>
    <w:p>
      <w:pPr>
        <w:pStyle w:val="Bibliography1"/>
        <w:rPr/>
      </w:pPr>
      <w:r>
        <w:rPr/>
        <w:t>Abad, J., Hermoso de Mendoza, I., Marín, D., Orcaray, L., Santesteban, L.G., 2021. Cover crops in viticulture. A systematic review (1): &lt;br&gt;Implications on soil characteristics and biodiversity in vineyard. OENO One 55, 295–312. https://doi.org/10.20870/oeno-one.2021.55.1.3599</w:t>
      </w:r>
    </w:p>
    <w:p>
      <w:pPr>
        <w:pStyle w:val="Bibliography1"/>
        <w:rPr/>
      </w:pPr>
      <w:r>
        <w:rPr/>
        <w:t>Abbal, P., Sablayrolles, J.-M., Matzner-Lober, É., Boursiquot, J.-M., Baudrit, C., Carbonneau, A., 2016. Decision Support System for Vine Growers Based on a Bayesian Network. J. Agric. Biol. Environ. Stat. 21, 131–151. https://doi.org/10.1007/s13253-015-0233-2</w:t>
      </w:r>
    </w:p>
    <w:p>
      <w:pPr>
        <w:pStyle w:val="Bibliography1"/>
        <w:rPr/>
      </w:pPr>
      <w:r>
        <w:rPr/>
        <w:t>Agosta, E., Canziani, P., Cavagnaro, M., 2012. Regional climate variability impacts on the annual grape yield in Mendoza, Argentina. J. Appl. Meteorol. Climatol. 51, 993–1009.</w:t>
      </w:r>
    </w:p>
    <w:p>
      <w:pPr>
        <w:pStyle w:val="Bibliography1"/>
        <w:rPr/>
      </w:pPr>
      <w:r>
        <w:rPr/>
        <w:t>Baiano, A., 2021. An Overview on Sustainability in the Wine Production Chain. Beverages 7. https://doi.org/10.3390/beverages7010015</w:t>
      </w:r>
    </w:p>
    <w:p>
      <w:pPr>
        <w:pStyle w:val="Bibliography1"/>
        <w:rPr/>
      </w:pPr>
      <w:r>
        <w:rPr/>
        <w:t>Cortez, P., Teixeira, J., Cerdeira, A., Almeida, F., Matos, T., Reis, J., 2009. Using data mining for wine quality assessment, in: Discovery Science: 12th International Conference, DS 2009, Porto, Portugal, October 3-5, 2009 12. Springer, pp. 66–79.</w:t>
      </w:r>
    </w:p>
    <w:p>
      <w:pPr>
        <w:pStyle w:val="Bibliography1"/>
        <w:rPr/>
      </w:pPr>
      <w:r>
        <w:rPr/>
        <w:t>Department of Climate Change, Energy, the Environment and Water, 2022. Australian National Greenhouse Accounts Factors.</w:t>
      </w:r>
    </w:p>
    <w:p>
      <w:pPr>
        <w:pStyle w:val="Bibliography1"/>
        <w:rPr/>
      </w:pPr>
      <w:r>
        <w:rPr/>
        <w:t>Fraga, H., Costa, R., Santos, J.A., 2017. Multivariate clustering of viticultural terroirs in the Douro winemaking region. Ciênc. Téc Vitiv 32, 142–153.</w:t>
      </w:r>
    </w:p>
    <w:p>
      <w:pPr>
        <w:pStyle w:val="Bibliography1"/>
        <w:rPr/>
      </w:pPr>
      <w:r>
        <w:rPr/>
        <w:t>G. van Rossum, 1995. Python tutorial, Technical Report CS-R9526.</w:t>
      </w:r>
    </w:p>
    <w:p>
      <w:pPr>
        <w:pStyle w:val="Bibliography1"/>
        <w:rPr/>
      </w:pPr>
      <w:r>
        <w:rPr/>
        <w:t>Hall, A., Lamb, D.W., Holzapfel, B.P., Louis, J.P., 2011. Within-season temporal variation in correlations between vineyard canopy and winegrape composition and yield. Precis. Agric. 12, 103–117.</w:t>
      </w:r>
    </w:p>
    <w:p>
      <w:pPr>
        <w:pStyle w:val="Bibliography1"/>
        <w:rPr/>
      </w:pPr>
      <w:r>
        <w:rPr/>
        <w:t>Halliday, J.C. (James C.), 2009. Australian Wine Encyclopedia. Hardie Grant Books, VIC.</w:t>
      </w:r>
    </w:p>
    <w:p>
      <w:pPr>
        <w:pStyle w:val="Bibliography1"/>
        <w:rPr/>
      </w:pPr>
      <w:r>
        <w:rPr/>
        <w:t>I. Goodwin, L. McClymont, D. Lanyon, A. Zerihun, J. Hornbuckle, M. Gibberd, D. Mowat, D. Smith, M. Barnes, R. Correll, 2009. Managing soil and water to target quality and reduce environmental impact.</w:t>
      </w:r>
    </w:p>
    <w:p>
      <w:pPr>
        <w:pStyle w:val="Bibliography1"/>
        <w:rPr/>
      </w:pPr>
      <w:r>
        <w:rPr/>
        <w:t>Kasimati, A., Espejo-García, B., Darra, N., Fountas, S., 2022. Predicting Grape Sugar Content under Quality Attributes Using Normalized Difference Vegetation Index Data and Automated Machine Learning. Sensors 22. https://doi.org/10.3390/s22093249</w:t>
      </w:r>
    </w:p>
    <w:p>
      <w:pPr>
        <w:pStyle w:val="Bibliography1"/>
        <w:rPr/>
      </w:pPr>
      <w:r>
        <w:rPr/>
        <w:t>Keith Jones, 2002. Australian Wine Industry Environment Strategy.</w:t>
      </w:r>
    </w:p>
    <w:p>
      <w:pPr>
        <w:pStyle w:val="Bibliography1"/>
        <w:rPr/>
      </w:pPr>
      <w:r>
        <w:rPr/>
        <w:t>Knight, H., Megicks, P., Agarwal, S., Leenders, M.A.A.M., 2019. Firm resources and the development of environmental sustainability among small and medium-sized enterprises: Evidence from the Australian wine industry. Bus. Strategy Environ. 28, 25–39. https://doi.org/10.1002/bse.2178</w:t>
      </w:r>
    </w:p>
    <w:p>
      <w:pPr>
        <w:pStyle w:val="Bibliography1"/>
        <w:rPr/>
      </w:pPr>
      <w:r>
        <w:rPr/>
        <w:t>Kuhn, M., 2008. Building Predictive Models in R Using the caret Package. J. Stat. Softw. Artic. 28, 1–26. https://doi.org/10.18637/jss.v028.i05</w:t>
      </w:r>
    </w:p>
    <w:p>
      <w:pPr>
        <w:pStyle w:val="Bibliography1"/>
        <w:rPr/>
      </w:pPr>
      <w:r>
        <w:rPr/>
        <w:t>Mariani, A., Vastola, A., 2015. Sustainable winegrowing: Current perspectives. Int. J. Wine Res. 7, 37–48.</w:t>
      </w:r>
    </w:p>
    <w:p>
      <w:pPr>
        <w:pStyle w:val="Bibliography1"/>
        <w:rPr/>
      </w:pPr>
      <w:r>
        <w:rPr/>
        <w:t>Montalvo-Falcón, J.V., Sánchez-García, E., Marco-Lajara, B., Martínez-Falcó, J., 2023. Sustainability Research in the Wine Industry: A Bibliometric Approach. Agronomy 13. https://doi.org/10.3390/agronomy13030871</w:t>
      </w:r>
    </w:p>
    <w:p>
      <w:pPr>
        <w:pStyle w:val="Bibliography1"/>
        <w:rPr/>
      </w:pPr>
      <w:r>
        <w:rPr/>
        <w:t>Oliver, D.P., Bramley, R.G.V., Riches, D., Porter, I., Edwards, J., 2013. Review: soil physical and chemical properties as indicators of soil quality in Australian viticulture. Aust. J. Grape Wine Res. 19, 129–139. https://doi.org/10.1111/ajgw.12016</w:t>
      </w:r>
    </w:p>
    <w:p>
      <w:pPr>
        <w:pStyle w:val="Bibliography1"/>
        <w:rPr/>
      </w:pPr>
      <w:r>
        <w:rPr/>
        <w:t>R Core Team, 2021. R: A Language and Environment for Statistical Computing.</w:t>
      </w:r>
    </w:p>
    <w:p>
      <w:pPr>
        <w:pStyle w:val="Bibliography1"/>
        <w:rPr/>
      </w:pPr>
      <w:r>
        <w:rPr/>
        <w:t>SOAR, C.J., SADRAS, V.O., PETRIE, P.R., 2008. Climate drivers of red wine quality in four contrasting Australian wine regions. Aust. J. Grape Wine Res. 14, 78–90. https://doi.org/10.1111/j.1755-0238.2008.00011.x</w:t>
      </w:r>
    </w:p>
    <w:p>
      <w:pPr>
        <w:pStyle w:val="Bibliography1"/>
        <w:rPr/>
      </w:pPr>
      <w:r>
        <w:rPr/>
        <w:t>Srivastava, S., Sadistap, S., 2018. Non-destructive sensing methods for quality assessment of on-tree fruits: a review. J. Food Meas. Charact. 12, 497–526.</w:t>
      </w:r>
    </w:p>
    <w:p>
      <w:pPr>
        <w:pStyle w:val="Bibliography1"/>
        <w:rPr/>
      </w:pPr>
      <w:r>
        <w:rPr/>
        <w:t>SWA, S.W.A., 2022. Sustainable Wingrowing Australia [WWW Document]. Case Stud. URL https://sustainablewinegrowing.com.au/case-studies/ (accessed 11.5.22).</w:t>
      </w:r>
    </w:p>
    <w:p>
      <w:pPr>
        <w:pStyle w:val="Bibliography1"/>
        <w:rPr/>
      </w:pPr>
      <w:r>
        <w:rPr/>
        <w:t>SWA, S.W.A., 2021. Sustainable Winegrowing Australia User Manual.</w:t>
      </w:r>
    </w:p>
    <w:p>
      <w:pPr>
        <w:pStyle w:val="Bibliography1"/>
        <w:rPr/>
      </w:pPr>
      <w:r>
        <w:rPr/>
        <w:t>Toumbourou, J.W., Rowland, B., Ghayour-Minaie, M., Sherker, S., Patton, G.C., Williams, J.W., 2018. Student survey trends in reported alcohol use and influencing factors in Australia. Drug Alcohol Rev. 37, S58–S66. https://doi.org/10.1111/dar.12645</w:t>
      </w:r>
    </w:p>
    <w:p>
      <w:pPr>
        <w:pStyle w:val="Bibliography1"/>
        <w:rPr/>
      </w:pPr>
      <w:r>
        <w:rPr/>
        <w:t>Wine Australia, 2022. National Vintage Report 2022.</w:t>
      </w:r>
    </w:p>
    <w:p>
      <w:pPr>
        <w:pStyle w:val="Bibliography1"/>
        <w:rPr/>
      </w:pPr>
      <w:r>
        <w:rPr/>
        <w:t>Wine Australia, 2021. National Vintage Report 2021.</w:t>
      </w:r>
    </w:p>
    <w:p>
      <w:pPr>
        <w:pStyle w:val="Bibliography1"/>
        <w:rPr/>
      </w:pPr>
      <w:r>
        <w:rPr/>
        <w:t>Wine Australia, 2020. National Vintage Report 2020.</w:t>
      </w:r>
    </w:p>
    <w:p>
      <w:pPr>
        <w:pStyle w:val="Bibliography1"/>
        <w:rPr/>
      </w:pPr>
      <w:r>
        <w:rPr/>
        <w:t>Wine Australia, 2019. National Vintage Report 2019.</w:t>
      </w:r>
    </w:p>
    <w:p>
      <w:pPr>
        <w:pStyle w:val="Bibliography1"/>
        <w:rPr/>
      </w:pPr>
      <w:r>
        <w:rPr/>
        <w:t>Winemakers’ Federation of Australia, 2018. National Vintage Report 2018.</w:t>
      </w:r>
    </w:p>
    <w:p>
      <w:pPr>
        <w:pStyle w:val="Bibliography1"/>
        <w:rPr/>
      </w:pPr>
      <w:r>
        <w:rPr/>
        <w:t>Winemakers’ Federation of Australia, 2017. National Vintage Report 2017.</w:t>
      </w:r>
    </w:p>
    <w:p>
      <w:pPr>
        <w:pStyle w:val="Bibliography1"/>
        <w:rPr/>
      </w:pPr>
      <w:r>
        <w:rPr/>
        <w:t>Winemakers’ Federation of Australia, 2016. National Vintage Report 2016.</w:t>
      </w:r>
    </w:p>
    <w:p>
      <w:pPr>
        <w:pStyle w:val="Bibliography1"/>
        <w:rPr/>
      </w:pPr>
      <w:r>
        <w:rPr/>
        <w:t>Winemakers’ Federation of Australia, 2015. National Vintage Report 2015.</w:t>
      </w:r>
    </w:p>
    <w:p>
      <w:pPr>
        <w:pStyle w:val="Bibliography1"/>
        <w:rPr/>
      </w:pPr>
      <w:r>
        <w:rPr/>
        <w:t>Winemakers’ Federation of Australia, 2014. National Vintage Report 2014.</w:t>
      </w:r>
    </w:p>
    <w:p>
      <w:pPr>
        <w:pStyle w:val="Bibliography1"/>
        <w:rPr/>
      </w:pPr>
      <w:r>
        <w:rPr/>
        <w:t>Winemakers’ Federation of Australia, 2013. National Vintage Report 2013.</w:t>
      </w:r>
    </w:p>
    <w:p>
      <w:pPr>
        <w:pStyle w:val="Bibliography1"/>
        <w:rPr/>
      </w:pPr>
      <w:r>
        <w:rPr/>
        <w:t>Winemakers’ Federation of Australia, 2012. National Vintage Report 2012.</w:t>
      </w:r>
    </w:p>
    <w:p>
      <w:pPr>
        <w:sectPr>
          <w:type w:val="continuous"/>
          <w:pgSz w:w="11906" w:h="16838"/>
          <w:pgMar w:left="1134" w:right="1134" w:gutter="0" w:header="0" w:top="1134" w:footer="0" w:bottom="1134"/>
          <w:formProt w:val="false"/>
          <w:textDirection w:val="lrTb"/>
          <w:docGrid w:type="default" w:linePitch="312" w:charSpace="0"/>
        </w:sectPr>
      </w:pPr>
    </w:p>
    <w:p>
      <w:pPr>
        <w:pStyle w:val="ListParagraph"/>
        <w:ind w:start="0" w:end="0" w:hanging="0"/>
        <w:rPr/>
      </w:pPr>
      <w:r>
        <w:rPr/>
      </w:r>
    </w:p>
    <w:p>
      <w:pPr>
        <w:pStyle w:val="ListParagraph"/>
        <w:ind w:start="0" w:end="0" w:hanging="0"/>
        <w:rPr>
          <w:rFonts w:ascii="Calibri" w:hAnsi="Calibri" w:eastAsia="Times New Roman" w:cs="Calibri"/>
          <w:b w:val="false"/>
          <w:b w:val="false"/>
          <w:bCs w:val="false"/>
          <w:color w:val="000000"/>
          <w:sz w:val="22"/>
          <w:szCs w:val="22"/>
          <w:shd w:fill="auto" w:val="clear"/>
          <w:lang w:eastAsia="en-GB"/>
        </w:rPr>
      </w:pPr>
      <w:r>
        <w:rPr/>
      </w:r>
    </w:p>
    <w:sectPr>
      <w:type w:val="continuous"/>
      <w:pgSz w:w="11906" w:h="16838"/>
      <w:pgMar w:left="1134" w:right="1134" w:gutter="0" w:header="0" w:top="1134" w:footer="0" w:bottom="1134"/>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Calibri">
    <w:charset w:val="01" w:characterSet="utf-8"/>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erif CJK SC" w:cs="Lohit Devanagari"/>
      <w:color w:val="auto"/>
      <w:kern w:val="2"/>
      <w:sz w:val="24"/>
      <w:szCs w:val="24"/>
      <w:lang w:val="en-AU"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qFormat/>
    <w:pPr>
      <w:spacing w:before="0" w:after="0"/>
      <w:ind w:start="720" w:end="0" w:hanging="0"/>
      <w:contextualSpacing/>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Bibliography1">
    <w:name w:val="Bibliography 1"/>
    <w:basedOn w:val="Index"/>
    <w:qFormat/>
    <w:pPr>
      <w:tabs>
        <w:tab w:val="clear" w:pos="709"/>
      </w:tabs>
      <w:spacing w:lineRule="atLeast" w:line="240" w:before="0" w:after="0"/>
      <w:ind w:start="720" w:end="0" w:hanging="72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6858</TotalTime>
  <Application>LibreOffice/7.3.7.2$Linux_X86_64 LibreOffice_project/30$Build-2</Application>
  <AppVersion>15.0000</AppVersion>
  <Pages>15</Pages>
  <Words>4352</Words>
  <Characters>24743</Characters>
  <CharactersWithSpaces>28574</CharactersWithSpaces>
  <Paragraphs>533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2023-01-27T08:06:42Z</dcterms:created>
  <dc:creator>Bryce Polley</dc:creator>
  <dc:description/>
  <dc:language>en-AU</dc:language>
  <cp:lastModifiedBy>Bryce Polley</cp:lastModifiedBy>
  <dcterms:modified xsi:type="dcterms:W3CDTF">2023-05-26T00:48:13Z</dcterms:modified>
  <cp:revision>542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zotero-version="6.0.25"&gt;&lt;session id="ySrHdDRC"/&gt;&lt;style id="http://www.zotero.org/styles/elsevier-harvard" hasBibliography="1" bibliographyStyleHasBeenSet="1"/&gt;&lt;prefs&gt;&lt;pref name="fieldType" value="ReferenceMark"/&gt;&lt;pref name="automati</vt:lpwstr>
  </property>
  <property fmtid="{D5CDD505-2E9C-101B-9397-08002B2CF9AE}" pid="3" name="ZOTERO_PREF_2">
    <vt:lpwstr>cJournalAbbreviations" value="true"/&gt;&lt;/prefs&gt;&lt;/data&gt;</vt:lpwstr>
  </property>
</Properties>
</file>