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0"/>
        <w:jc w:val="center"/>
      </w:pPr>
      <w:r>
        <w:rPr>
          <w:rFonts w:ascii="Aptos Display" w:hAnsi="Aptos Display"/>
          <w:b/>
          <w:color w:val="122F3A"/>
          <w:sz w:val="34"/>
        </w:rPr>
        <w:t>Technical Summative Assessment 2</w:t>
      </w:r>
    </w:p>
    <w:p>
      <w:pPr>
        <w:spacing w:after="60"/>
        <w:jc w:val="center"/>
      </w:pPr>
      <w:r>
        <w:rPr>
          <w:rFonts w:ascii="Aptos Display" w:hAnsi="Aptos Display"/>
          <w:b/>
          <w:color w:val="122F3A"/>
          <w:sz w:val="22"/>
        </w:rPr>
        <w:t>TASKS FOR TODAY MANAGEMENT SYSTEM: FULL CRUD AND AUTHENTICATION</w:t>
      </w:r>
    </w:p>
    <w:p>
      <w:pPr>
        <w:spacing w:after="60"/>
        <w:jc w:val="center"/>
      </w:pPr>
      <w:r>
        <w:rPr>
          <w:rFonts w:ascii="Aptos Display" w:hAnsi="Aptos Display"/>
          <w:b/>
          <w:color w:val="122F3A"/>
          <w:sz w:val="20"/>
        </w:rPr>
        <w:t>Ledgerline Print &amp; Supply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Student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Jian Edward A. Acob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Program and Section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BSITBA - TW32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Course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IT0049 - Web System Technologies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Professor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Mr. Von Erick Magbitang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Date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October 9, 2026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Project Overview</w:t>
            </w:r>
          </w:p>
        </w:tc>
      </w:tr>
    </w:tbl>
    <w:p>
      <w:pPr>
        <w:spacing w:after="0"/>
      </w:pPr>
    </w:p>
    <w:p>
      <w:pPr>
        <w:jc w:val="both"/>
      </w:pPr>
      <w:r>
        <w:t>I continued my CodeIgniter project in a separate TSA2 folder and reframed the shop as Ledgerline Print &amp; Supply. The original TFA4 folder remains untouched. The public pages show the daily work, complete task board, creator profile, and shop concept. Staff sign-in unlocks task management and the existing customer and staff records.</w:t>
      </w:r>
    </w:p>
    <w:p>
      <w:pPr>
        <w:jc w:val="both"/>
      </w:pPr>
      <w:r>
        <w:t>The visual design uses a dark navy and mint palette, orange print accents, paper-inspired illustrations, clear task status controls, and responsive navigation. I kept the task workflow practical for a neighborhood print and stationery shop: print pickups, stock checks, binding orders, and counter 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Required Routes and Behavior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Route or action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My implementation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Welcome, /tasks, /profile, /about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Public read-only pages; archived records are excluded from task lists.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/login and /logout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Hashed password verification, session regeneration, and sign-out.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/tasks/new and POST /tasks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Protected task creation with required title and date validation.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/tasks/{id}/edit and POST /tasks/{id}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Protected editing of title, scheduled date, and status.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POST /tasks/{id}/delete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Protected soft delete that sets is_archived to 1.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Authentication and Database Design</w:t>
            </w:r>
          </w:p>
        </w:tc>
      </w:tr>
    </w:tbl>
    <w:p>
      <w:pPr>
        <w:spacing w:after="0"/>
      </w:pPr>
    </w:p>
    <w:p>
      <w:pPr>
        <w:jc w:val="both"/>
      </w:pPr>
      <w:r>
        <w:t>My task users table stores a password hash rather than a readable password. The Auth controller verifies it with password_verify(), rotates the session ID after a successful login, and stores the staff ID and name. Route filters keep create, edit, and archive actions private; each POST form also carries a CSRF token. The tasks migration adds is_archived with a false default. TaskModel applies the archive filter in SQL, so both the Today and Task Board pages omit archived rows.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Verification I Performed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Check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9E3"/>
          </w:tcPr>
          <w:p>
            <w:pPr>
              <w:spacing w:after="0"/>
            </w:pPr>
            <w:r>
              <w:rPr>
                <w:b/>
                <w:sz w:val="17"/>
              </w:rPr>
              <w:t>Observed result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Guest access to /tasks/new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Redirected to /login.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Wrong and correct passwords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Wrong password stayed on sign-in; correct password opened the protected form.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Blank task title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Rejected; no new task row was created.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Create and update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8F6"/>
          </w:tcPr>
          <w:p>
            <w:pPr>
              <w:spacing w:after="0"/>
            </w:pPr>
            <w:r>
              <w:rPr>
                <w:b w:val="0"/>
                <w:sz w:val="17"/>
              </w:rPr>
              <w:t>New task appeared on the board; changing its title, date, and status persisted.</w:t>
            </w:r>
          </w:p>
        </w:tc>
      </w:tr>
      <w:t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Archive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Task disappeared from the board; database row remained with is_archived = 1.</w:t>
            </w:r>
          </w:p>
        </w:tc>
      </w:tr>
    </w:tbl>
    <w:p>
      <w:pPr>
        <w:spacing w:after="0"/>
      </w:pPr>
    </w:p>
    <w:p>
      <w:pPr>
        <w:jc w:val="both"/>
      </w:pPr>
      <w:r>
        <w:t>I also opened the public pages and the protected new-task form in a browser. The screenshots below were captured from the locally running application at localhost:8088. The automated task checks used a local test record that is now archived.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Application Page Evidence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1. Public Today page.</w:t>
      </w:r>
    </w:p>
    <w:p>
      <w:pPr>
        <w:spacing w:after="140"/>
        <w:jc w:val="both"/>
      </w:pPr>
      <w:r>
        <w:rPr>
          <w:sz w:val="17"/>
        </w:rPr>
        <w:t>The landing page introduces the shop and its daily work.</w:t>
      </w:r>
    </w:p>
    <w:p>
      <w:pPr>
        <w:spacing w:after="40"/>
        <w:jc w:val="center"/>
      </w:pPr>
      <w:r>
        <w:drawing>
          <wp:inline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2. Public task board.</w:t>
      </w:r>
    </w:p>
    <w:p>
      <w:pPr>
        <w:spacing w:after="140"/>
        <w:jc w:val="both"/>
      </w:pPr>
      <w:r>
        <w:rPr>
          <w:sz w:val="17"/>
        </w:rPr>
        <w:t>Visitors can browse tasks without a staff session.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Sign In and Task Management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3. Staff sign-in page.</w:t>
      </w:r>
    </w:p>
    <w:p>
      <w:pPr>
        <w:spacing w:after="140"/>
        <w:jc w:val="both"/>
      </w:pPr>
      <w:r>
        <w:rPr>
          <w:sz w:val="17"/>
        </w:rPr>
        <w:t>This form is the entry point for protected management actions.</w:t>
      </w:r>
    </w:p>
    <w:p>
      <w:pPr>
        <w:spacing w:after="40"/>
        <w:jc w:val="center"/>
      </w:pPr>
      <w:r>
        <w:drawing>
          <wp:inline>
            <wp:extent cx="585216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4. Authenticated task board.</w:t>
      </w:r>
    </w:p>
    <w:p>
      <w:pPr>
        <w:spacing w:after="140"/>
        <w:jc w:val="both"/>
      </w:pPr>
      <w:r>
        <w:rPr>
          <w:sz w:val="17"/>
        </w:rPr>
        <w:t>The signed-in header and welcome message appear after login.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Task Form and Creator Profile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>
            <wp:extent cx="5852160" cy="455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5. New-task form.</w:t>
      </w:r>
    </w:p>
    <w:p>
      <w:pPr>
        <w:spacing w:after="140"/>
        <w:jc w:val="both"/>
      </w:pPr>
      <w:r>
        <w:rPr>
          <w:sz w:val="17"/>
        </w:rPr>
        <w:t>The form collects the title, scheduled date, and status.</w:t>
      </w:r>
    </w:p>
    <w:p>
      <w:pPr>
        <w:spacing w:after="40"/>
        <w:jc w:val="center"/>
      </w:pPr>
      <w:r>
        <w:drawing>
          <wp:inline>
            <wp:extent cx="5852160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6. Creator profile.</w:t>
      </w:r>
    </w:p>
    <w:p>
      <w:pPr>
        <w:spacing w:after="140"/>
        <w:jc w:val="both"/>
      </w:pPr>
      <w:r>
        <w:rPr>
          <w:sz w:val="17"/>
        </w:rPr>
        <w:t>The public profile shows my name and course information.</w:t>
      </w:r>
    </w:p>
    <w:p>
      <w:pPr>
        <w:spacing w:after="40"/>
        <w:jc w:val="center"/>
      </w:pPr>
      <w:r>
        <w:drawing>
          <wp:inline>
            <wp:extent cx="585216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7"/>
        </w:rPr>
        <w:t>Figure 7. About the shop.</w:t>
      </w:r>
    </w:p>
    <w:p>
      <w:pPr>
        <w:spacing w:after="140"/>
        <w:jc w:val="both"/>
      </w:pPr>
      <w:r>
        <w:rPr>
          <w:sz w:val="17"/>
        </w:rPr>
        <w:t>The About page explains the print and stationery shop concept.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365C47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Submission</w:t>
            </w:r>
          </w:p>
        </w:tc>
      </w:tr>
    </w:tbl>
    <w:p>
      <w:pPr>
        <w:spacing w:after="0"/>
      </w:pPr>
    </w:p>
    <w:p>
      <w:pPr>
        <w:jc w:val="both"/>
      </w:pPr>
      <w:r>
        <w:t>The GitHub repository contains the CodeIgniter application, task migration and seeder, README, report, and screenshot evidence. I keep .env, local credentials, dependencies, and runtime files out of the repository. For my current submission, I am providing the GitHub project link only.</w:t>
      </w:r>
    </w:p>
    <w:p>
      <w:pPr>
        <w:jc w:val="both"/>
      </w:pPr>
      <w:r>
        <w:t>Repository: https://github.com/Jiyaannnn/TSA2_ACOB_IT0049</w:t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950" w:top="1037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after="240" w:before="240" w:line="240" w:lineRule="auto"/>
      <w:jc w:val="center"/>
      <w:rPr/>
    </w:pPr>
    <w:r w:rsidDel="00000000" w:rsidR="00000000" w:rsidRPr="00000000">
      <w:rPr>
        <w:rFonts w:ascii="Century Gothic" w:cs="Century Gothic" w:eastAsia="Century Gothic" w:hAnsi="Century Gothic"/>
        <w:sz w:val="24"/>
        <w:szCs w:val="24"/>
      </w:rPr>
      <w:drawing>
        <wp:inline distB="0" distT="0" distL="0" distR="0">
          <wp:extent cx="5731200" cy="977900"/>
          <wp:effectExtent b="0" l="0" r="0" t="0"/>
          <wp:docPr descr="C:\Users\alalix\Desktop\FEU TECH Seal\FEU TECH Header.png" id="3" name="image2.png"/>
          <a:graphic>
            <a:graphicData uri="http://schemas.openxmlformats.org/drawingml/2006/picture">
              <pic:pic>
                <pic:nvPicPr>
                  <pic:cNvPr descr="C:\Users\alalix\Desktop\FEU TECH Seal\FEU TECH Header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77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color w:val="19272B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firstLine="720"/>
      <w:jc w:val="both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Relationship Id="rId25" Type="http://schemas.openxmlformats.org/officeDocument/2006/relationships/image" Target="media/image18.jpg"/><Relationship Id="rId26" Type="http://schemas.openxmlformats.org/officeDocument/2006/relationships/image" Target="media/image19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