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4.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566" w:rsidP="00EB129E" w:rsidRDefault="00014566">
      <w:pPr>
        <w:jc w:val="center"/>
        <w:rPr>
          <w:lang w:val="en-GB"/>
        </w:rPr>
      </w:pPr>
      <w:bookmarkStart w:name="_GoBack" w:id="0"/>
      <w:bookmarkEnd w:id="0"/>
    </w:p>
    <w:p w:rsidR="00BB1DD0" w:rsidP="00EB129E" w:rsidRDefault="00BB1DD0">
      <w:pPr>
        <w:jc w:val="center"/>
        <w:rPr>
          <w:lang w:val="en-GB"/>
        </w:rPr>
      </w:pPr>
    </w:p>
    <w:p w:rsidRPr="00C447AD" w:rsidR="00BB1DD0" w:rsidP="00EB129E" w:rsidRDefault="00BB1DD0">
      <w:pPr>
        <w:jc w:val="center"/>
        <w:rPr>
          <w:lang w:val="en-GB"/>
        </w:rPr>
      </w:pPr>
    </w:p>
    <w:p w:rsidRPr="00C447AD" w:rsidR="00014566" w:rsidP="00014566" w:rsidRDefault="00231B69">
      <w:pPr>
        <w:jc w:val="center"/>
        <w:rPr>
          <w:lang w:val="en-GB"/>
        </w:rPr>
      </w:pPr>
      <w:r>
        <w:rPr>
          <w:lang w:val="en-GB"/>
        </w:rPr>
        <w:t>FIFTH SECTION</w:t>
      </w:r>
    </w:p>
    <w:p w:rsidR="00014566" w:rsidP="00014566" w:rsidRDefault="00014566">
      <w:pPr>
        <w:jc w:val="center"/>
        <w:rPr>
          <w:lang w:val="en-GB"/>
        </w:rPr>
      </w:pPr>
    </w:p>
    <w:p w:rsidR="00BB1DD0" w:rsidP="00014566" w:rsidRDefault="00BB1DD0">
      <w:pPr>
        <w:jc w:val="center"/>
        <w:rPr>
          <w:lang w:val="en-GB"/>
        </w:rPr>
      </w:pPr>
    </w:p>
    <w:p w:rsidR="00BB1DD0" w:rsidP="00014566" w:rsidRDefault="00BB1DD0">
      <w:pPr>
        <w:jc w:val="center"/>
        <w:rPr>
          <w:lang w:val="en-GB"/>
        </w:rPr>
      </w:pPr>
    </w:p>
    <w:p w:rsidR="00BB1DD0" w:rsidP="00014566" w:rsidRDefault="00BB1DD0">
      <w:pPr>
        <w:jc w:val="center"/>
        <w:rPr>
          <w:lang w:val="en-GB"/>
        </w:rPr>
      </w:pPr>
    </w:p>
    <w:p w:rsidR="00BB1DD0" w:rsidP="00014566" w:rsidRDefault="00BB1DD0">
      <w:pPr>
        <w:jc w:val="center"/>
        <w:rPr>
          <w:lang w:val="en-GB"/>
        </w:rPr>
      </w:pPr>
    </w:p>
    <w:p w:rsidRPr="00C447AD" w:rsidR="00BB1DD0" w:rsidP="00014566" w:rsidRDefault="00BB1DD0">
      <w:pPr>
        <w:jc w:val="center"/>
        <w:rPr>
          <w:lang w:val="en-GB"/>
        </w:rPr>
      </w:pPr>
    </w:p>
    <w:p w:rsidRPr="00C447AD" w:rsidR="00014566" w:rsidP="00014566" w:rsidRDefault="00014566">
      <w:pPr>
        <w:jc w:val="center"/>
        <w:rPr>
          <w:b/>
          <w:lang w:val="en-GB"/>
        </w:rPr>
      </w:pPr>
      <w:bookmarkStart w:name="To" w:id="1"/>
      <w:r w:rsidRPr="00C447AD">
        <w:rPr>
          <w:b/>
          <w:lang w:val="en-GB"/>
        </w:rPr>
        <w:t xml:space="preserve">CASE OF </w:t>
      </w:r>
      <w:bookmarkEnd w:id="1"/>
      <w:r w:rsidR="00231B69">
        <w:rPr>
          <w:b/>
          <w:lang w:val="en-GB"/>
        </w:rPr>
        <w:t>MALYK v. UKRAINE</w:t>
      </w:r>
    </w:p>
    <w:p w:rsidRPr="00C447AD" w:rsidR="00014566" w:rsidP="00014566" w:rsidRDefault="00014566">
      <w:pPr>
        <w:jc w:val="center"/>
        <w:rPr>
          <w:lang w:val="en-GB"/>
        </w:rPr>
      </w:pPr>
    </w:p>
    <w:p w:rsidRPr="00C447AD" w:rsidR="00014566" w:rsidP="00014566" w:rsidRDefault="00014566">
      <w:pPr>
        <w:jc w:val="center"/>
        <w:rPr>
          <w:i/>
          <w:lang w:val="en-GB"/>
        </w:rPr>
      </w:pPr>
      <w:r w:rsidRPr="00C447AD">
        <w:rPr>
          <w:i/>
          <w:lang w:val="en-GB"/>
        </w:rPr>
        <w:t>(</w:t>
      </w:r>
      <w:r w:rsidRPr="00C447AD" w:rsidR="00231B69">
        <w:rPr>
          <w:i/>
          <w:lang w:val="en-GB"/>
        </w:rPr>
        <w:t xml:space="preserve">Application no. </w:t>
      </w:r>
      <w:r w:rsidR="00231B69">
        <w:rPr>
          <w:i/>
          <w:lang w:val="en-GB"/>
        </w:rPr>
        <w:t>37198/10</w:t>
      </w:r>
      <w:r w:rsidRPr="00C447AD">
        <w:rPr>
          <w:i/>
          <w:lang w:val="en-GB"/>
        </w:rPr>
        <w:t>)</w:t>
      </w:r>
    </w:p>
    <w:p w:rsidRPr="00C447AD" w:rsidR="00014566" w:rsidP="00014566" w:rsidRDefault="00014566">
      <w:pPr>
        <w:jc w:val="center"/>
        <w:rPr>
          <w:lang w:val="en-GB"/>
        </w:rPr>
      </w:pPr>
    </w:p>
    <w:p w:rsidRPr="00C447AD" w:rsidR="00014566" w:rsidP="00014566" w:rsidRDefault="00014566">
      <w:pPr>
        <w:jc w:val="center"/>
        <w:rPr>
          <w:lang w:val="en-GB"/>
        </w:rPr>
      </w:pPr>
    </w:p>
    <w:p w:rsidRPr="00C447AD" w:rsidR="00014566" w:rsidP="00014566" w:rsidRDefault="00014566">
      <w:pPr>
        <w:jc w:val="center"/>
        <w:rPr>
          <w:lang w:val="en-GB"/>
        </w:rPr>
      </w:pPr>
    </w:p>
    <w:p w:rsidRPr="00C447AD" w:rsidR="00014566" w:rsidP="00014566" w:rsidRDefault="00014566">
      <w:pPr>
        <w:jc w:val="center"/>
        <w:rPr>
          <w:lang w:val="en-GB"/>
        </w:rPr>
      </w:pPr>
    </w:p>
    <w:p w:rsidRPr="00C447AD" w:rsidR="00014566" w:rsidP="00014566" w:rsidRDefault="00014566">
      <w:pPr>
        <w:jc w:val="center"/>
        <w:rPr>
          <w:lang w:val="en-GB"/>
        </w:rPr>
      </w:pPr>
    </w:p>
    <w:p w:rsidRPr="00C447AD" w:rsidR="00014566" w:rsidP="00014566" w:rsidRDefault="00014566">
      <w:pPr>
        <w:jc w:val="center"/>
        <w:rPr>
          <w:lang w:val="en-GB"/>
        </w:rPr>
      </w:pPr>
    </w:p>
    <w:p w:rsidRPr="00BB1DD0" w:rsidR="00014566" w:rsidP="00EB129E" w:rsidRDefault="00BB1DD0">
      <w:pPr>
        <w:jc w:val="center"/>
        <w:rPr>
          <w:szCs w:val="24"/>
          <w:lang w:val="en-GB"/>
        </w:rPr>
      </w:pPr>
      <w:r w:rsidRPr="00766F47">
        <w:rPr>
          <w:lang w:val="en-GB"/>
        </w:rPr>
        <w:t>JUDGMENT</w:t>
      </w:r>
    </w:p>
    <w:p w:rsidRPr="00C447AD" w:rsidR="00014566" w:rsidP="00EB129E" w:rsidRDefault="00014566">
      <w:pPr>
        <w:jc w:val="center"/>
        <w:rPr>
          <w:szCs w:val="24"/>
          <w:lang w:val="en-GB"/>
        </w:rPr>
      </w:pPr>
    </w:p>
    <w:p w:rsidRPr="00C447AD" w:rsidR="004515A6" w:rsidP="00EB129E" w:rsidRDefault="004515A6">
      <w:pPr>
        <w:jc w:val="center"/>
        <w:rPr>
          <w:szCs w:val="24"/>
          <w:lang w:val="en-GB"/>
        </w:rPr>
      </w:pPr>
    </w:p>
    <w:p w:rsidR="00BB1DD0" w:rsidP="00EB129E" w:rsidRDefault="00BB1DD0">
      <w:pPr>
        <w:jc w:val="center"/>
        <w:rPr>
          <w:b/>
          <w:lang w:val="en-GB"/>
        </w:rPr>
      </w:pPr>
    </w:p>
    <w:p w:rsidR="00BB1DD0" w:rsidP="00EB129E" w:rsidRDefault="00BB1DD0">
      <w:pPr>
        <w:jc w:val="center"/>
        <w:rPr>
          <w:b/>
          <w:lang w:val="en-GB"/>
        </w:rPr>
      </w:pPr>
    </w:p>
    <w:p w:rsidR="00BB1DD0" w:rsidP="00EB129E" w:rsidRDefault="00BB1DD0">
      <w:pPr>
        <w:jc w:val="center"/>
        <w:rPr>
          <w:b/>
          <w:lang w:val="en-GB"/>
        </w:rPr>
      </w:pPr>
      <w:r>
        <w:rPr>
          <w:lang w:val="en-GB"/>
        </w:rPr>
        <w:t>STRASBOURG</w:t>
      </w:r>
    </w:p>
    <w:p w:rsidR="00BB1DD0" w:rsidP="00EB129E" w:rsidRDefault="00BB1DD0">
      <w:pPr>
        <w:jc w:val="center"/>
        <w:rPr>
          <w:b/>
          <w:lang w:val="en-GB"/>
        </w:rPr>
      </w:pPr>
    </w:p>
    <w:p w:rsidR="00BB1DD0" w:rsidP="00EB129E" w:rsidRDefault="00BB1DD0">
      <w:pPr>
        <w:jc w:val="center"/>
        <w:rPr>
          <w:b/>
          <w:lang w:val="en-GB"/>
        </w:rPr>
      </w:pPr>
      <w:r>
        <w:rPr>
          <w:lang w:val="en-GB"/>
        </w:rPr>
        <w:t>29 January 2015</w:t>
      </w:r>
    </w:p>
    <w:p w:rsidR="00BB1DD0" w:rsidP="00EB129E" w:rsidRDefault="00BB1DD0">
      <w:pPr>
        <w:jc w:val="center"/>
        <w:rPr>
          <w:b/>
          <w:lang w:val="en-GB"/>
        </w:rPr>
      </w:pPr>
    </w:p>
    <w:p w:rsidR="006440D1" w:rsidP="006440D1" w:rsidRDefault="006440D1">
      <w:pPr>
        <w:pStyle w:val="jucase0"/>
        <w:ind w:firstLine="0"/>
        <w:jc w:val="center"/>
        <w:rPr>
          <w:color w:val="FF0000"/>
          <w:sz w:val="28"/>
          <w:szCs w:val="28"/>
          <w:u w:val="single"/>
        </w:rPr>
      </w:pPr>
      <w:r>
        <w:rPr>
          <w:color w:val="FF0000"/>
          <w:sz w:val="28"/>
          <w:szCs w:val="28"/>
          <w:u w:val="single"/>
        </w:rPr>
        <w:t>FINAL</w:t>
      </w:r>
    </w:p>
    <w:p w:rsidR="006440D1" w:rsidP="006440D1" w:rsidRDefault="006440D1">
      <w:pPr>
        <w:pStyle w:val="jupara"/>
        <w:tabs>
          <w:tab w:val="left" w:pos="4650"/>
        </w:tabs>
        <w:ind w:firstLine="0"/>
        <w:jc w:val="left"/>
        <w:rPr>
          <w:color w:val="FF0000"/>
          <w:sz w:val="28"/>
          <w:szCs w:val="28"/>
        </w:rPr>
      </w:pPr>
      <w:r>
        <w:rPr>
          <w:color w:val="FF0000"/>
          <w:sz w:val="28"/>
          <w:szCs w:val="28"/>
        </w:rPr>
        <w:tab/>
      </w:r>
    </w:p>
    <w:p w:rsidR="006440D1" w:rsidP="006440D1" w:rsidRDefault="006440D1">
      <w:pPr>
        <w:pStyle w:val="jupara"/>
        <w:ind w:firstLine="0"/>
        <w:jc w:val="center"/>
        <w:rPr>
          <w:color w:val="FF0000"/>
          <w:sz w:val="28"/>
          <w:szCs w:val="28"/>
        </w:rPr>
      </w:pPr>
      <w:r>
        <w:rPr>
          <w:color w:val="FF0000"/>
          <w:sz w:val="28"/>
          <w:szCs w:val="28"/>
        </w:rPr>
        <w:t>29/04/2015</w:t>
      </w:r>
    </w:p>
    <w:p w:rsidR="006440D1" w:rsidP="006440D1" w:rsidRDefault="006440D1">
      <w:pPr>
        <w:pStyle w:val="jupara"/>
        <w:ind w:firstLine="0"/>
        <w:jc w:val="center"/>
      </w:pPr>
    </w:p>
    <w:p w:rsidR="006440D1" w:rsidP="006440D1" w:rsidRDefault="006440D1">
      <w:pPr>
        <w:jc w:val="center"/>
        <w:rPr>
          <w:i/>
          <w:iCs/>
          <w:sz w:val="22"/>
        </w:rPr>
      </w:pPr>
      <w:r>
        <w:rPr>
          <w:i/>
          <w:iCs/>
          <w:sz w:val="22"/>
        </w:rPr>
        <w:t>This judgment has become final under Article 44 § 2 of the Convention. It may be subject to editorial revision.</w:t>
      </w:r>
    </w:p>
    <w:p w:rsidR="00BB1DD0" w:rsidRDefault="00BB1DD0">
      <w:pPr>
        <w:jc w:val="left"/>
        <w:rPr>
          <w:i/>
          <w:sz w:val="22"/>
          <w:lang w:val="en-GB"/>
        </w:rPr>
      </w:pPr>
      <w:r>
        <w:rPr>
          <w:b/>
          <w:i/>
          <w:sz w:val="22"/>
          <w:lang w:val="en-GB"/>
        </w:rPr>
        <w:br w:type="page"/>
      </w:r>
    </w:p>
    <w:p w:rsidRPr="00BB1DD0" w:rsidR="00BB1DD0" w:rsidP="00BB1DD0" w:rsidRDefault="00BB1DD0">
      <w:pPr>
        <w:pStyle w:val="JuCase"/>
        <w:ind w:firstLine="0"/>
        <w:rPr>
          <w:b w:val="0"/>
          <w:lang w:val="en-GB"/>
        </w:rPr>
        <w:sectPr w:rsidRPr="00BB1DD0" w:rsidR="00BB1DD0" w:rsidSect="00BB1DD0">
          <w:headerReference w:type="default" r:id="rId8"/>
          <w:headerReference w:type="first" r:id="rId9"/>
          <w:footerReference w:type="first" r:id="rId10"/>
          <w:footnotePr>
            <w:numRestart w:val="eachPage"/>
          </w:footnotePr>
          <w:pgSz w:w="11906" w:h="16838" w:code="9"/>
          <w:pgMar w:top="2274" w:right="2274" w:bottom="2274" w:left="2274" w:header="1701" w:footer="720" w:gutter="0"/>
          <w:pgNumType w:start="1"/>
          <w:cols w:space="720"/>
          <w:titlePg/>
          <w:docGrid w:linePitch="326"/>
        </w:sectPr>
      </w:pPr>
    </w:p>
    <w:p w:rsidRPr="00C447AD" w:rsidR="00014566" w:rsidP="00D60D87" w:rsidRDefault="00014566">
      <w:pPr>
        <w:pStyle w:val="JuCase"/>
        <w:rPr>
          <w:bCs/>
          <w:lang w:val="en-GB"/>
        </w:rPr>
      </w:pPr>
      <w:r w:rsidRPr="00C447AD">
        <w:rPr>
          <w:lang w:val="en-GB"/>
        </w:rPr>
        <w:t xml:space="preserve">In the case of </w:t>
      </w:r>
      <w:r w:rsidR="00231B69">
        <w:rPr>
          <w:lang w:val="en-GB"/>
        </w:rPr>
        <w:t>Malyk v. Ukraine</w:t>
      </w:r>
      <w:r w:rsidRPr="00C447AD">
        <w:rPr>
          <w:lang w:val="en-GB"/>
        </w:rPr>
        <w:t>,</w:t>
      </w:r>
    </w:p>
    <w:p w:rsidRPr="00C447AD" w:rsidR="00014566" w:rsidP="005E2A43" w:rsidRDefault="00014566">
      <w:pPr>
        <w:pStyle w:val="ECHRPara"/>
        <w:rPr>
          <w:lang w:val="en-GB"/>
        </w:rPr>
      </w:pPr>
      <w:r w:rsidRPr="00C447AD">
        <w:rPr>
          <w:lang w:val="en-GB"/>
        </w:rPr>
        <w:t>The European Court of Human Rights (</w:t>
      </w:r>
      <w:r w:rsidR="00231B69">
        <w:rPr>
          <w:lang w:val="en-GB"/>
        </w:rPr>
        <w:t>Fifth Section</w:t>
      </w:r>
      <w:r w:rsidRPr="00C447AD">
        <w:rPr>
          <w:lang w:val="en-GB"/>
        </w:rPr>
        <w:t xml:space="preserve">), sitting as a </w:t>
      </w:r>
      <w:r w:rsidR="00231B69">
        <w:rPr>
          <w:lang w:val="en-GB"/>
        </w:rPr>
        <w:t>Chamber</w:t>
      </w:r>
      <w:r w:rsidRPr="00C447AD">
        <w:rPr>
          <w:lang w:val="en-GB"/>
        </w:rPr>
        <w:t xml:space="preserve"> composed of:</w:t>
      </w:r>
    </w:p>
    <w:p w:rsidRPr="00C447AD" w:rsidR="00014566" w:rsidP="00766F47" w:rsidRDefault="00BB1DD0">
      <w:pPr>
        <w:pStyle w:val="ECHRDecisionBody"/>
        <w:rPr>
          <w:lang w:val="en-GB"/>
        </w:rPr>
      </w:pPr>
      <w:r w:rsidRPr="00FF4A72">
        <w:tab/>
        <w:t>Mark</w:t>
      </w:r>
      <w:r>
        <w:t xml:space="preserve"> </w:t>
      </w:r>
      <w:proofErr w:type="spellStart"/>
      <w:r w:rsidRPr="00FF4A72">
        <w:t>Villiger</w:t>
      </w:r>
      <w:proofErr w:type="spellEnd"/>
      <w:r>
        <w:t>,</w:t>
      </w:r>
      <w:r w:rsidRPr="00FF4A72">
        <w:rPr>
          <w:i/>
        </w:rPr>
        <w:t xml:space="preserve"> President,</w:t>
      </w:r>
      <w:r>
        <w:rPr>
          <w:i/>
        </w:rPr>
        <w:br/>
      </w:r>
      <w:r w:rsidRPr="00FF4A72">
        <w:tab/>
        <w:t>Angelika</w:t>
      </w:r>
      <w:r>
        <w:t xml:space="preserve"> </w:t>
      </w:r>
      <w:proofErr w:type="spellStart"/>
      <w:r w:rsidRPr="00FF4A72">
        <w:t>Nußberger</w:t>
      </w:r>
      <w:proofErr w:type="spellEnd"/>
      <w:r>
        <w:t>,</w:t>
      </w:r>
      <w:r>
        <w:rPr>
          <w:i/>
        </w:rPr>
        <w:br/>
      </w:r>
      <w:r w:rsidRPr="00FF4A72">
        <w:tab/>
      </w:r>
      <w:proofErr w:type="spellStart"/>
      <w:r w:rsidRPr="00766F47">
        <w:t>Boštjan</w:t>
      </w:r>
      <w:proofErr w:type="spellEnd"/>
      <w:r w:rsidRPr="00FF4A72">
        <w:t xml:space="preserve"> M.</w:t>
      </w:r>
      <w:r>
        <w:t xml:space="preserve"> </w:t>
      </w:r>
      <w:proofErr w:type="spellStart"/>
      <w:r w:rsidRPr="00FF4A72">
        <w:t>Zupančič</w:t>
      </w:r>
      <w:proofErr w:type="spellEnd"/>
      <w:r>
        <w:t>,</w:t>
      </w:r>
      <w:r>
        <w:rPr>
          <w:i/>
        </w:rPr>
        <w:br/>
      </w:r>
      <w:r w:rsidRPr="00FF4A72">
        <w:tab/>
        <w:t>Ganna</w:t>
      </w:r>
      <w:r>
        <w:t xml:space="preserve"> </w:t>
      </w:r>
      <w:proofErr w:type="spellStart"/>
      <w:r w:rsidRPr="00FF4A72">
        <w:t>Yudkivska</w:t>
      </w:r>
      <w:proofErr w:type="spellEnd"/>
      <w:r>
        <w:t>,</w:t>
      </w:r>
      <w:r>
        <w:rPr>
          <w:i/>
        </w:rPr>
        <w:br/>
      </w:r>
      <w:r w:rsidRPr="00FF4A72">
        <w:tab/>
        <w:t>Vincent A.</w:t>
      </w:r>
      <w:r>
        <w:t xml:space="preserve"> D</w:t>
      </w:r>
      <w:r w:rsidRPr="00FF4A72">
        <w:t>e Gaetano</w:t>
      </w:r>
      <w:r>
        <w:t>,</w:t>
      </w:r>
      <w:r>
        <w:rPr>
          <w:i/>
        </w:rPr>
        <w:br/>
      </w:r>
      <w:r w:rsidRPr="00FF4A72">
        <w:tab/>
        <w:t>Helena</w:t>
      </w:r>
      <w:r>
        <w:t xml:space="preserve"> </w:t>
      </w:r>
      <w:proofErr w:type="spellStart"/>
      <w:r w:rsidRPr="00FF4A72">
        <w:t>Jäderblom</w:t>
      </w:r>
      <w:proofErr w:type="spellEnd"/>
      <w:r>
        <w:t>,</w:t>
      </w:r>
      <w:r>
        <w:rPr>
          <w:i/>
        </w:rPr>
        <w:br/>
      </w:r>
      <w:r w:rsidRPr="00FF4A72">
        <w:tab/>
      </w:r>
      <w:proofErr w:type="spellStart"/>
      <w:r w:rsidRPr="00FF4A72">
        <w:t>Aleš</w:t>
      </w:r>
      <w:proofErr w:type="spellEnd"/>
      <w:r>
        <w:t xml:space="preserve"> </w:t>
      </w:r>
      <w:proofErr w:type="spellStart"/>
      <w:r w:rsidRPr="00FF4A72">
        <w:t>Pejchal</w:t>
      </w:r>
      <w:proofErr w:type="spellEnd"/>
      <w:r>
        <w:t>,</w:t>
      </w:r>
      <w:r w:rsidRPr="00FF4A72">
        <w:rPr>
          <w:i/>
        </w:rPr>
        <w:t xml:space="preserve"> judges</w:t>
      </w:r>
      <w:proofErr w:type="gramStart"/>
      <w:r w:rsidRPr="00FF4A72">
        <w:rPr>
          <w:i/>
        </w:rPr>
        <w:t>,</w:t>
      </w:r>
      <w:proofErr w:type="gramEnd"/>
      <w:r w:rsidRPr="00C447AD" w:rsidR="00014566">
        <w:rPr>
          <w:szCs w:val="24"/>
          <w:lang w:val="en-GB"/>
        </w:rPr>
        <w:br/>
      </w:r>
      <w:r w:rsidRPr="00C447AD" w:rsidR="00014566">
        <w:rPr>
          <w:lang w:val="en-GB"/>
        </w:rPr>
        <w:t xml:space="preserve">and </w:t>
      </w:r>
      <w:r w:rsidR="00231B69">
        <w:rPr>
          <w:lang w:val="en-GB"/>
        </w:rPr>
        <w:t>Claudia</w:t>
      </w:r>
      <w:r w:rsidRPr="00C447AD" w:rsidR="00231B69">
        <w:rPr>
          <w:lang w:val="en-GB"/>
        </w:rPr>
        <w:t xml:space="preserve"> </w:t>
      </w:r>
      <w:r w:rsidR="00231B69">
        <w:rPr>
          <w:lang w:val="en-GB"/>
        </w:rPr>
        <w:t>Westerdiek</w:t>
      </w:r>
      <w:r w:rsidRPr="00C447AD" w:rsidR="00014566">
        <w:rPr>
          <w:lang w:val="en-GB"/>
        </w:rPr>
        <w:t xml:space="preserve">, </w:t>
      </w:r>
      <w:r w:rsidRPr="00C447AD" w:rsidR="00231B69">
        <w:rPr>
          <w:i/>
          <w:lang w:val="en-GB"/>
        </w:rPr>
        <w:t xml:space="preserve">Section </w:t>
      </w:r>
      <w:r w:rsidRPr="00C447AD" w:rsidR="00231B69">
        <w:rPr>
          <w:i/>
          <w:iCs/>
          <w:lang w:val="en-GB"/>
        </w:rPr>
        <w:t>Registrar</w:t>
      </w:r>
      <w:r w:rsidRPr="00C447AD" w:rsidR="00014566">
        <w:rPr>
          <w:i/>
          <w:lang w:val="en-GB"/>
        </w:rPr>
        <w:t>,</w:t>
      </w:r>
    </w:p>
    <w:p w:rsidRPr="00C447AD" w:rsidR="00014566" w:rsidP="00C621C2" w:rsidRDefault="00014566">
      <w:pPr>
        <w:pStyle w:val="ECHRPara"/>
        <w:rPr>
          <w:lang w:val="en-GB"/>
        </w:rPr>
      </w:pPr>
      <w:r w:rsidRPr="00C447AD">
        <w:rPr>
          <w:lang w:val="en-GB"/>
        </w:rPr>
        <w:t xml:space="preserve">Having deliberated in private on </w:t>
      </w:r>
      <w:r w:rsidR="00BB1DD0">
        <w:rPr>
          <w:lang w:val="en-GB"/>
        </w:rPr>
        <w:t>16 December 2014</w:t>
      </w:r>
      <w:r w:rsidRPr="00C447AD">
        <w:rPr>
          <w:lang w:val="en-GB"/>
        </w:rPr>
        <w:t>,</w:t>
      </w:r>
    </w:p>
    <w:p w:rsidRPr="00C447AD" w:rsidR="00014566" w:rsidP="00C621C2" w:rsidRDefault="00014566">
      <w:pPr>
        <w:pStyle w:val="ECHRPara"/>
        <w:rPr>
          <w:lang w:val="en-GB"/>
        </w:rPr>
      </w:pPr>
      <w:r w:rsidRPr="00C447AD">
        <w:rPr>
          <w:lang w:val="en-GB"/>
        </w:rPr>
        <w:t>Delivers the following judgment, which was adopted on that date:</w:t>
      </w:r>
    </w:p>
    <w:p w:rsidRPr="00C447AD" w:rsidR="00014566" w:rsidP="00014566" w:rsidRDefault="00014566">
      <w:pPr>
        <w:pStyle w:val="ECHRTitle1"/>
        <w:rPr>
          <w:lang w:val="en-GB"/>
        </w:rPr>
      </w:pPr>
      <w:r w:rsidRPr="00C447AD">
        <w:rPr>
          <w:lang w:val="en-GB"/>
        </w:rPr>
        <w:t>PROCEDURE</w:t>
      </w:r>
    </w:p>
    <w:p w:rsidRPr="004813EC" w:rsidR="00472875" w:rsidP="00C621C2" w:rsidRDefault="00231B69">
      <w:pPr>
        <w:pStyle w:val="ECHRPara"/>
        <w:rPr>
          <w:lang w:val="en-GB"/>
        </w:rPr>
      </w:pPr>
      <w:r>
        <w:rPr>
          <w:lang w:val="en-GB"/>
        </w:rPr>
        <w:fldChar w:fldCharType="begin"/>
      </w:r>
      <w:r>
        <w:rPr>
          <w:lang w:val="en-GB"/>
        </w:rPr>
        <w:instrText xml:space="preserve"> SEQ level0 \*arabic </w:instrText>
      </w:r>
      <w:r>
        <w:rPr>
          <w:lang w:val="en-GB"/>
        </w:rPr>
        <w:fldChar w:fldCharType="separate"/>
      </w:r>
      <w:r w:rsidR="00664191">
        <w:rPr>
          <w:noProof/>
          <w:lang w:val="en-GB"/>
        </w:rPr>
        <w:t>1</w:t>
      </w:r>
      <w:r>
        <w:rPr>
          <w:lang w:val="en-GB"/>
        </w:rPr>
        <w:fldChar w:fldCharType="end"/>
      </w:r>
      <w:r w:rsidRPr="004813EC" w:rsidR="00014566">
        <w:rPr>
          <w:lang w:val="en-GB"/>
        </w:rPr>
        <w:t xml:space="preserve">.  The case originated in </w:t>
      </w:r>
      <w:r w:rsidRPr="004813EC">
        <w:rPr>
          <w:lang w:val="en-GB"/>
        </w:rPr>
        <w:t>an application (no. 37198/10)</w:t>
      </w:r>
      <w:r w:rsidRPr="004813EC" w:rsidR="00014566">
        <w:rPr>
          <w:lang w:val="en-GB"/>
        </w:rPr>
        <w:t xml:space="preserve"> against </w:t>
      </w:r>
      <w:r w:rsidRPr="004813EC">
        <w:rPr>
          <w:lang w:val="en-GB"/>
        </w:rPr>
        <w:t>Ukraine</w:t>
      </w:r>
      <w:r w:rsidRPr="004813EC" w:rsidR="00014566">
        <w:rPr>
          <w:lang w:val="en-GB"/>
        </w:rPr>
        <w:t xml:space="preserve"> lodged with the </w:t>
      </w:r>
      <w:r w:rsidRPr="004813EC">
        <w:rPr>
          <w:lang w:val="en-GB"/>
        </w:rPr>
        <w:t>Court under Article 34</w:t>
      </w:r>
      <w:r w:rsidRPr="004813EC" w:rsidR="00014566">
        <w:rPr>
          <w:lang w:val="en-GB"/>
        </w:rPr>
        <w:t xml:space="preserve"> of the Convention for the Protection of Human Rights and Fundamental Freedoms (“the Convention”) by </w:t>
      </w:r>
      <w:r w:rsidRPr="004813EC">
        <w:rPr>
          <w:lang w:val="en-GB"/>
        </w:rPr>
        <w:t>a</w:t>
      </w:r>
      <w:r w:rsidRPr="004813EC" w:rsidR="009E16C4">
        <w:rPr>
          <w:lang w:val="en-GB"/>
        </w:rPr>
        <w:t xml:space="preserve"> </w:t>
      </w:r>
      <w:r w:rsidRPr="004813EC">
        <w:rPr>
          <w:lang w:val="en-GB"/>
        </w:rPr>
        <w:t>Ukrainian national, Mr Volodymir Georgiyoviych Malyk (“the applicant”), on 22 June 2010</w:t>
      </w:r>
      <w:r w:rsidRPr="004813EC" w:rsidR="00014566">
        <w:rPr>
          <w:lang w:val="en-GB"/>
        </w:rPr>
        <w:t>.</w:t>
      </w:r>
    </w:p>
    <w:p w:rsidRPr="004813EC" w:rsidR="00231B69" w:rsidP="00C621C2" w:rsidRDefault="00231B69">
      <w:pPr>
        <w:pStyle w:val="ECHRPara"/>
        <w:rPr>
          <w:lang w:val="en-GB"/>
        </w:rPr>
      </w:pPr>
      <w:r w:rsidRPr="004813EC">
        <w:rPr>
          <w:lang w:val="en-GB"/>
        </w:rPr>
        <w:fldChar w:fldCharType="begin"/>
      </w:r>
      <w:r w:rsidRPr="004813EC">
        <w:rPr>
          <w:lang w:val="en-GB"/>
        </w:rPr>
        <w:instrText xml:space="preserve"> SEQ level0 \*arabic </w:instrText>
      </w:r>
      <w:r w:rsidRPr="004813EC">
        <w:rPr>
          <w:lang w:val="en-GB"/>
        </w:rPr>
        <w:fldChar w:fldCharType="separate"/>
      </w:r>
      <w:r w:rsidR="00664191">
        <w:rPr>
          <w:noProof/>
          <w:lang w:val="en-GB"/>
        </w:rPr>
        <w:t>2</w:t>
      </w:r>
      <w:r w:rsidRPr="004813EC">
        <w:rPr>
          <w:lang w:val="en-GB"/>
        </w:rPr>
        <w:fldChar w:fldCharType="end"/>
      </w:r>
      <w:r w:rsidRPr="004813EC" w:rsidR="00014566">
        <w:rPr>
          <w:lang w:val="en-GB"/>
        </w:rPr>
        <w:t xml:space="preserve">.  The </w:t>
      </w:r>
      <w:r w:rsidRPr="004813EC">
        <w:rPr>
          <w:lang w:val="en-GB"/>
        </w:rPr>
        <w:t>Ukrainian</w:t>
      </w:r>
      <w:r w:rsidRPr="004813EC" w:rsidR="00014566">
        <w:rPr>
          <w:lang w:val="en-GB"/>
        </w:rPr>
        <w:t xml:space="preserve"> Government (“the Government”) were represented by their Agent</w:t>
      </w:r>
      <w:r w:rsidRPr="004813EC" w:rsidR="0073296B">
        <w:rPr>
          <w:lang w:val="en-GB"/>
        </w:rPr>
        <w:t xml:space="preserve"> at the time</w:t>
      </w:r>
      <w:r w:rsidRPr="004813EC" w:rsidR="00014566">
        <w:rPr>
          <w:lang w:val="en-GB"/>
        </w:rPr>
        <w:t>, Mr</w:t>
      </w:r>
      <w:r w:rsidRPr="004813EC" w:rsidR="00043CB6">
        <w:rPr>
          <w:lang w:val="en-GB"/>
        </w:rPr>
        <w:t xml:space="preserve"> N. Kulchytskyy</w:t>
      </w:r>
      <w:r w:rsidRPr="004813EC" w:rsidR="00014566">
        <w:rPr>
          <w:lang w:val="en-GB"/>
        </w:rPr>
        <w:t>.</w:t>
      </w:r>
    </w:p>
    <w:p w:rsidRPr="004813EC" w:rsidR="00014566" w:rsidP="00C621C2" w:rsidRDefault="00231B69">
      <w:pPr>
        <w:pStyle w:val="ECHRPara"/>
        <w:rPr>
          <w:lang w:val="en-GB"/>
        </w:rPr>
      </w:pPr>
      <w:r w:rsidRPr="004813EC">
        <w:rPr>
          <w:lang w:val="en-GB"/>
        </w:rPr>
        <w:fldChar w:fldCharType="begin"/>
      </w:r>
      <w:r w:rsidRPr="004813EC">
        <w:rPr>
          <w:lang w:val="en-GB"/>
        </w:rPr>
        <w:instrText xml:space="preserve"> SEQ level0 \*arabic </w:instrText>
      </w:r>
      <w:r w:rsidRPr="004813EC">
        <w:rPr>
          <w:lang w:val="en-GB"/>
        </w:rPr>
        <w:fldChar w:fldCharType="separate"/>
      </w:r>
      <w:r w:rsidR="00664191">
        <w:rPr>
          <w:noProof/>
          <w:lang w:val="en-GB"/>
        </w:rPr>
        <w:t>3</w:t>
      </w:r>
      <w:r w:rsidRPr="004813EC">
        <w:rPr>
          <w:lang w:val="en-GB"/>
        </w:rPr>
        <w:fldChar w:fldCharType="end"/>
      </w:r>
      <w:r w:rsidRPr="004813EC">
        <w:rPr>
          <w:lang w:val="en-GB"/>
        </w:rPr>
        <w:t xml:space="preserve">.  The applicant alleged </w:t>
      </w:r>
      <w:r w:rsidRPr="004813EC" w:rsidR="00075AD2">
        <w:rPr>
          <w:lang w:val="en-GB"/>
        </w:rPr>
        <w:t xml:space="preserve">that his arrest and detention </w:t>
      </w:r>
      <w:r w:rsidRPr="004813EC" w:rsidR="00E523FF">
        <w:rPr>
          <w:lang w:val="en-GB"/>
        </w:rPr>
        <w:t xml:space="preserve">had not been </w:t>
      </w:r>
      <w:r w:rsidRPr="004813EC" w:rsidR="00075AD2">
        <w:rPr>
          <w:lang w:val="en-GB"/>
        </w:rPr>
        <w:t xml:space="preserve">lawful and that </w:t>
      </w:r>
      <w:r w:rsidRPr="004813EC" w:rsidR="00FE457B">
        <w:rPr>
          <w:lang w:val="en-GB"/>
        </w:rPr>
        <w:t xml:space="preserve">he had been unable effectively to challenge </w:t>
      </w:r>
      <w:r w:rsidRPr="004813EC" w:rsidR="005A60B0">
        <w:rPr>
          <w:lang w:val="en-GB"/>
        </w:rPr>
        <w:t>them</w:t>
      </w:r>
      <w:r w:rsidRPr="004813EC" w:rsidR="00075AD2">
        <w:rPr>
          <w:lang w:val="en-GB"/>
        </w:rPr>
        <w:t>.</w:t>
      </w:r>
    </w:p>
    <w:p w:rsidRPr="004813EC" w:rsidR="00014566" w:rsidP="00C621C2" w:rsidRDefault="00231B69">
      <w:pPr>
        <w:pStyle w:val="ECHRPara"/>
        <w:rPr>
          <w:lang w:val="en-GB"/>
        </w:rPr>
      </w:pPr>
      <w:r w:rsidRPr="004813EC">
        <w:rPr>
          <w:lang w:val="en-GB"/>
        </w:rPr>
        <w:fldChar w:fldCharType="begin"/>
      </w:r>
      <w:r w:rsidRPr="004813EC">
        <w:rPr>
          <w:lang w:val="en-GB"/>
        </w:rPr>
        <w:instrText xml:space="preserve"> SEQ level0 \*arabic </w:instrText>
      </w:r>
      <w:r w:rsidRPr="004813EC">
        <w:rPr>
          <w:lang w:val="en-GB"/>
        </w:rPr>
        <w:fldChar w:fldCharType="separate"/>
      </w:r>
      <w:r w:rsidR="00664191">
        <w:rPr>
          <w:noProof/>
          <w:lang w:val="en-GB"/>
        </w:rPr>
        <w:t>4</w:t>
      </w:r>
      <w:r w:rsidRPr="004813EC">
        <w:rPr>
          <w:lang w:val="en-GB"/>
        </w:rPr>
        <w:fldChar w:fldCharType="end"/>
      </w:r>
      <w:r w:rsidRPr="004813EC" w:rsidR="00014566">
        <w:rPr>
          <w:lang w:val="en-GB"/>
        </w:rPr>
        <w:t>.  </w:t>
      </w:r>
      <w:r w:rsidRPr="004813EC">
        <w:rPr>
          <w:lang w:val="en-GB"/>
        </w:rPr>
        <w:t xml:space="preserve">On </w:t>
      </w:r>
      <w:r w:rsidRPr="004813EC">
        <w:rPr>
          <w:szCs w:val="24"/>
          <w:lang w:val="en-GB"/>
        </w:rPr>
        <w:t>11 October 2012</w:t>
      </w:r>
      <w:r w:rsidRPr="004813EC" w:rsidR="00014566">
        <w:rPr>
          <w:lang w:val="en-GB"/>
        </w:rPr>
        <w:t xml:space="preserve"> the </w:t>
      </w:r>
      <w:r w:rsidRPr="004813EC">
        <w:rPr>
          <w:lang w:val="en-GB"/>
        </w:rPr>
        <w:t>application was communicated to the Government</w:t>
      </w:r>
      <w:r w:rsidRPr="004813EC" w:rsidR="00014566">
        <w:rPr>
          <w:lang w:val="en-GB"/>
        </w:rPr>
        <w:t>.</w:t>
      </w:r>
    </w:p>
    <w:p w:rsidRPr="004813EC" w:rsidR="00014566" w:rsidP="00294C92" w:rsidRDefault="00014566">
      <w:pPr>
        <w:pStyle w:val="ECHRTitle1"/>
        <w:rPr>
          <w:lang w:val="en-GB"/>
        </w:rPr>
      </w:pPr>
      <w:r w:rsidRPr="004813EC">
        <w:rPr>
          <w:lang w:val="en-GB"/>
        </w:rPr>
        <w:t>THE FACTS</w:t>
      </w:r>
    </w:p>
    <w:p w:rsidRPr="004813EC" w:rsidR="00014566" w:rsidP="00014566" w:rsidRDefault="00014566">
      <w:pPr>
        <w:pStyle w:val="ECHRHeading1"/>
        <w:rPr>
          <w:lang w:val="en-GB"/>
        </w:rPr>
      </w:pPr>
      <w:r w:rsidRPr="004813EC">
        <w:rPr>
          <w:lang w:val="en-GB"/>
        </w:rPr>
        <w:t>I.  THE CIRCUMSTANCES OF THE CASE</w:t>
      </w:r>
    </w:p>
    <w:p w:rsidRPr="004813EC" w:rsidR="00014566" w:rsidP="00C621C2" w:rsidRDefault="00231B69">
      <w:pPr>
        <w:pStyle w:val="ECHRPara"/>
        <w:rPr>
          <w:lang w:val="en-GB"/>
        </w:rPr>
      </w:pPr>
      <w:r w:rsidRPr="004813EC">
        <w:rPr>
          <w:lang w:val="en-GB"/>
        </w:rPr>
        <w:fldChar w:fldCharType="begin"/>
      </w:r>
      <w:r w:rsidRPr="004813EC">
        <w:rPr>
          <w:lang w:val="en-GB"/>
        </w:rPr>
        <w:instrText xml:space="preserve"> SEQ level0 \*arabic </w:instrText>
      </w:r>
      <w:r w:rsidRPr="004813EC">
        <w:rPr>
          <w:lang w:val="en-GB"/>
        </w:rPr>
        <w:fldChar w:fldCharType="separate"/>
      </w:r>
      <w:r w:rsidR="00664191">
        <w:rPr>
          <w:noProof/>
          <w:lang w:val="en-GB"/>
        </w:rPr>
        <w:t>5</w:t>
      </w:r>
      <w:r w:rsidRPr="004813EC">
        <w:rPr>
          <w:lang w:val="en-GB"/>
        </w:rPr>
        <w:fldChar w:fldCharType="end"/>
      </w:r>
      <w:r w:rsidRPr="004813EC" w:rsidR="00014566">
        <w:rPr>
          <w:lang w:val="en-GB"/>
        </w:rPr>
        <w:t xml:space="preserve">.  The </w:t>
      </w:r>
      <w:r w:rsidRPr="004813EC">
        <w:rPr>
          <w:lang w:val="en-GB"/>
        </w:rPr>
        <w:t>applicant was born in 1972 and lives</w:t>
      </w:r>
      <w:r w:rsidRPr="004813EC" w:rsidR="00014566">
        <w:rPr>
          <w:lang w:val="en-GB"/>
        </w:rPr>
        <w:t xml:space="preserve"> in </w:t>
      </w:r>
      <w:r w:rsidRPr="004813EC">
        <w:rPr>
          <w:lang w:val="en-GB"/>
        </w:rPr>
        <w:t>Zhytomyr</w:t>
      </w:r>
      <w:r w:rsidRPr="004813EC" w:rsidR="00014566">
        <w:rPr>
          <w:lang w:val="en-GB"/>
        </w:rPr>
        <w:t>.</w:t>
      </w:r>
    </w:p>
    <w:p w:rsidRPr="004813EC" w:rsidR="008C09E7" w:rsidP="008C09E7" w:rsidRDefault="00BB1DD0">
      <w:pPr>
        <w:pStyle w:val="ECHRHeading2"/>
      </w:pPr>
      <w:r>
        <w:t>A.  </w:t>
      </w:r>
      <w:r w:rsidRPr="004813EC" w:rsidR="008C09E7">
        <w:t>Background to the case</w:t>
      </w:r>
    </w:p>
    <w:p w:rsidRPr="004813EC" w:rsidR="00B95C15" w:rsidP="00231B69" w:rsidRDefault="006440D1">
      <w:pPr>
        <w:pStyle w:val="ECHRPara"/>
      </w:pPr>
      <w:fldSimple w:instr=" SEQ level0 \*arabic ">
        <w:r w:rsidR="00664191">
          <w:rPr>
            <w:noProof/>
          </w:rPr>
          <w:t>6</w:t>
        </w:r>
      </w:fldSimple>
      <w:r w:rsidRPr="004813EC" w:rsidR="008C09E7">
        <w:t>.  </w:t>
      </w:r>
      <w:r w:rsidRPr="004813EC" w:rsidR="00231B69">
        <w:t xml:space="preserve">The applicant was </w:t>
      </w:r>
      <w:r w:rsidRPr="004813EC" w:rsidR="005A60B0">
        <w:t xml:space="preserve">the </w:t>
      </w:r>
      <w:r w:rsidRPr="004813EC" w:rsidR="00231B69">
        <w:t xml:space="preserve">director of </w:t>
      </w:r>
      <w:r w:rsidRPr="004813EC" w:rsidR="00B95C15">
        <w:t xml:space="preserve">B., </w:t>
      </w:r>
      <w:r w:rsidRPr="004813EC" w:rsidR="00231B69">
        <w:t xml:space="preserve">a limited liability company. </w:t>
      </w:r>
      <w:r w:rsidRPr="004813EC" w:rsidR="008C09E7">
        <w:t xml:space="preserve">In 2007 and 2008 the company took </w:t>
      </w:r>
      <w:r w:rsidRPr="004813EC" w:rsidR="00E523FF">
        <w:t xml:space="preserve">out </w:t>
      </w:r>
      <w:r w:rsidRPr="004813EC" w:rsidR="008C09E7">
        <w:t xml:space="preserve">bank loans for the purpose of production activities. </w:t>
      </w:r>
      <w:r w:rsidRPr="004813EC" w:rsidR="00231B69">
        <w:t>In April 2009 the company</w:t>
      </w:r>
      <w:r w:rsidRPr="004813EC" w:rsidR="008C09E7">
        <w:t xml:space="preserve"> </w:t>
      </w:r>
      <w:r w:rsidRPr="004813EC" w:rsidR="00231B69">
        <w:t xml:space="preserve">changed the composition of </w:t>
      </w:r>
      <w:r w:rsidRPr="004813EC" w:rsidR="00B76215">
        <w:t xml:space="preserve">the </w:t>
      </w:r>
      <w:r w:rsidRPr="004813EC" w:rsidR="00231B69">
        <w:t>shareholders and</w:t>
      </w:r>
      <w:r w:rsidRPr="004813EC" w:rsidR="00B76215">
        <w:t xml:space="preserve"> management</w:t>
      </w:r>
      <w:r w:rsidRPr="004813EC" w:rsidR="00231B69">
        <w:t xml:space="preserve">. The changes were allegedly made on the basis of forged documents. </w:t>
      </w:r>
      <w:r w:rsidRPr="004813EC" w:rsidR="008C09E7">
        <w:t xml:space="preserve">Subsequently, the company failed to </w:t>
      </w:r>
      <w:r w:rsidRPr="004813EC" w:rsidR="005A60B0">
        <w:t>re</w:t>
      </w:r>
      <w:r w:rsidRPr="004813EC" w:rsidR="00E523FF">
        <w:t xml:space="preserve">pay </w:t>
      </w:r>
      <w:r w:rsidRPr="004813EC" w:rsidR="008C09E7">
        <w:t xml:space="preserve">the loans. </w:t>
      </w:r>
      <w:r w:rsidRPr="004813EC" w:rsidR="00E523FF">
        <w:t>T</w:t>
      </w:r>
      <w:r w:rsidRPr="004813EC" w:rsidR="00B95C15">
        <w:t xml:space="preserve">he company </w:t>
      </w:r>
      <w:r w:rsidRPr="004813EC" w:rsidR="00E523FF">
        <w:t>refused the banks</w:t>
      </w:r>
      <w:r>
        <w:t>’</w:t>
      </w:r>
      <w:r w:rsidRPr="004813EC" w:rsidR="00E523FF">
        <w:t xml:space="preserve"> requests to repay the debts</w:t>
      </w:r>
      <w:r w:rsidRPr="004813EC" w:rsidR="00B95C15">
        <w:t xml:space="preserve">. The </w:t>
      </w:r>
      <w:r w:rsidRPr="004813EC" w:rsidR="00B76215">
        <w:t xml:space="preserve">applicant </w:t>
      </w:r>
      <w:r w:rsidRPr="004813EC" w:rsidR="00B95C15">
        <w:t>claimed that he was no longer working at the company.</w:t>
      </w:r>
    </w:p>
    <w:p w:rsidRPr="004813EC" w:rsidR="00472875" w:rsidP="00231B69" w:rsidRDefault="006440D1">
      <w:pPr>
        <w:pStyle w:val="ECHRPara"/>
      </w:pPr>
      <w:fldSimple w:instr=" SEQ level0 \*arabic ">
        <w:r w:rsidR="00664191">
          <w:rPr>
            <w:noProof/>
          </w:rPr>
          <w:t>7</w:t>
        </w:r>
      </w:fldSimple>
      <w:r w:rsidRPr="004813EC" w:rsidR="00B95C15">
        <w:t xml:space="preserve">.  On 30 October 2009 the Prosecutor of Zhytomyr City instituted criminal proceedings in connection with </w:t>
      </w:r>
      <w:r w:rsidRPr="004813EC" w:rsidR="00B76215">
        <w:t xml:space="preserve">the </w:t>
      </w:r>
      <w:r w:rsidRPr="004813EC" w:rsidR="00B95C15">
        <w:t xml:space="preserve">embezzlement of funds by the </w:t>
      </w:r>
      <w:r w:rsidRPr="004813EC" w:rsidR="005A60B0">
        <w:t xml:space="preserve">managers </w:t>
      </w:r>
      <w:r w:rsidRPr="004813EC" w:rsidR="00B95C15">
        <w:t xml:space="preserve">and owners of company B. and </w:t>
      </w:r>
      <w:r w:rsidRPr="004813EC" w:rsidR="00B76215">
        <w:t xml:space="preserve">the </w:t>
      </w:r>
      <w:r w:rsidRPr="004813EC" w:rsidR="00B95C15">
        <w:t>forgery of documents.</w:t>
      </w:r>
    </w:p>
    <w:p w:rsidRPr="004813EC" w:rsidR="00231B69" w:rsidP="00B22822" w:rsidRDefault="00B22822">
      <w:pPr>
        <w:pStyle w:val="ECHRHeading2"/>
      </w:pPr>
      <w:r w:rsidRPr="004813EC">
        <w:t>B</w:t>
      </w:r>
      <w:r w:rsidR="00BB1DD0">
        <w:t>.  </w:t>
      </w:r>
      <w:r w:rsidRPr="004813EC" w:rsidR="00231B69">
        <w:t>The applicant</w:t>
      </w:r>
      <w:r w:rsidR="006440D1">
        <w:t>’</w:t>
      </w:r>
      <w:r w:rsidRPr="004813EC" w:rsidR="00231B69">
        <w:t xml:space="preserve">s arrest and </w:t>
      </w:r>
      <w:r w:rsidRPr="004813EC" w:rsidR="005A60B0">
        <w:t xml:space="preserve">the </w:t>
      </w:r>
      <w:r w:rsidRPr="004813EC" w:rsidR="00231B69">
        <w:t>ensuing proceedings</w:t>
      </w:r>
    </w:p>
    <w:p w:rsidRPr="004813EC" w:rsidR="00472875" w:rsidP="007F68B6" w:rsidRDefault="006440D1">
      <w:pPr>
        <w:pStyle w:val="ECHRPara"/>
      </w:pPr>
      <w:fldSimple w:instr=" SEQ level0 \*arabic ">
        <w:r w:rsidR="00664191">
          <w:rPr>
            <w:noProof/>
          </w:rPr>
          <w:t>8</w:t>
        </w:r>
      </w:fldSimple>
      <w:r w:rsidRPr="004813EC" w:rsidR="00B73CE7">
        <w:t xml:space="preserve">.  On 25 and 27 November 2009 the investigator </w:t>
      </w:r>
      <w:r w:rsidRPr="004813EC" w:rsidR="00DA5F32">
        <w:t>of the Zhytomyr Prosecutor</w:t>
      </w:r>
      <w:r>
        <w:t>’</w:t>
      </w:r>
      <w:r w:rsidRPr="004813EC" w:rsidR="00DA5F32">
        <w:t xml:space="preserve">s Office </w:t>
      </w:r>
      <w:r w:rsidRPr="004813EC" w:rsidR="00B73CE7">
        <w:t xml:space="preserve">questioned the employees of the banks dealing with the loans to company B., the </w:t>
      </w:r>
      <w:r w:rsidRPr="004813EC" w:rsidR="00DA5F32">
        <w:t xml:space="preserve">shareholders and the staff of company </w:t>
      </w:r>
      <w:r w:rsidRPr="004813EC" w:rsidR="00BE06FB">
        <w:t>B</w:t>
      </w:r>
      <w:r w:rsidRPr="004813EC" w:rsidR="00DA5F32">
        <w:t xml:space="preserve">. </w:t>
      </w:r>
      <w:r w:rsidRPr="004813EC" w:rsidR="00A66464">
        <w:t xml:space="preserve">The witnesses gave details as to the role of the applicant in arranging the loan agreements and in the way the </w:t>
      </w:r>
      <w:r w:rsidRPr="004813EC" w:rsidR="007F68B6">
        <w:t xml:space="preserve">shareholders and </w:t>
      </w:r>
      <w:r w:rsidRPr="004813EC" w:rsidR="00B76215">
        <w:t xml:space="preserve">management </w:t>
      </w:r>
      <w:r w:rsidRPr="004813EC" w:rsidR="00E37956">
        <w:t xml:space="preserve">had been </w:t>
      </w:r>
      <w:r w:rsidRPr="004813EC" w:rsidR="00A66464">
        <w:t xml:space="preserve">changed. One of the </w:t>
      </w:r>
      <w:r w:rsidRPr="004813EC" w:rsidR="007F68B6">
        <w:t xml:space="preserve">former </w:t>
      </w:r>
      <w:r w:rsidRPr="004813EC" w:rsidR="00A66464">
        <w:t xml:space="preserve">shareholders </w:t>
      </w:r>
      <w:r w:rsidRPr="004813EC" w:rsidR="00BC4B50">
        <w:t xml:space="preserve">claimed </w:t>
      </w:r>
      <w:r w:rsidRPr="004813EC" w:rsidR="00A66464">
        <w:t xml:space="preserve">that </w:t>
      </w:r>
      <w:r w:rsidRPr="004813EC" w:rsidR="00E37956">
        <w:t xml:space="preserve">his signature </w:t>
      </w:r>
      <w:r w:rsidRPr="004813EC" w:rsidR="00B76215">
        <w:t xml:space="preserve">had been </w:t>
      </w:r>
      <w:r w:rsidRPr="004813EC" w:rsidR="005A60B0">
        <w:t xml:space="preserve">inserted </w:t>
      </w:r>
      <w:r w:rsidRPr="004813EC" w:rsidR="007F68B6">
        <w:t xml:space="preserve">on loan documents which he had not </w:t>
      </w:r>
      <w:r w:rsidRPr="004813EC" w:rsidR="00B76215">
        <w:t xml:space="preserve">actually </w:t>
      </w:r>
      <w:r w:rsidRPr="004813EC" w:rsidR="007F68B6">
        <w:t>signed</w:t>
      </w:r>
      <w:r w:rsidRPr="004813EC" w:rsidR="00BC4B50">
        <w:t>. He alleged that</w:t>
      </w:r>
      <w:r w:rsidRPr="004813EC" w:rsidR="00A66464">
        <w:t xml:space="preserve"> </w:t>
      </w:r>
      <w:r w:rsidRPr="004813EC" w:rsidR="00795FCA">
        <w:t xml:space="preserve">the applicant </w:t>
      </w:r>
      <w:r w:rsidRPr="004813EC" w:rsidR="00B76215">
        <w:t xml:space="preserve">had </w:t>
      </w:r>
      <w:r w:rsidRPr="004813EC" w:rsidR="00795FCA">
        <w:t>then</w:t>
      </w:r>
      <w:r w:rsidRPr="004813EC" w:rsidR="00E37956">
        <w:t xml:space="preserve"> </w:t>
      </w:r>
      <w:r w:rsidRPr="004813EC" w:rsidR="007F68B6">
        <w:t xml:space="preserve">calmed </w:t>
      </w:r>
      <w:r w:rsidRPr="004813EC" w:rsidR="00795FCA">
        <w:t xml:space="preserve">him </w:t>
      </w:r>
      <w:r w:rsidRPr="004813EC" w:rsidR="007F68B6">
        <w:t xml:space="preserve">down </w:t>
      </w:r>
      <w:r w:rsidRPr="004813EC" w:rsidR="005A60B0">
        <w:t xml:space="preserve">by </w:t>
      </w:r>
      <w:r w:rsidRPr="004813EC" w:rsidR="007F68B6">
        <w:t>explain</w:t>
      </w:r>
      <w:r w:rsidRPr="004813EC" w:rsidR="00795FCA">
        <w:t>ing</w:t>
      </w:r>
      <w:r w:rsidRPr="004813EC" w:rsidR="007F68B6">
        <w:t xml:space="preserve"> that </w:t>
      </w:r>
      <w:r w:rsidRPr="004813EC" w:rsidR="005C394E">
        <w:t>everything would be fine</w:t>
      </w:r>
      <w:r w:rsidRPr="004813EC" w:rsidR="00BC4B50">
        <w:t>;</w:t>
      </w:r>
      <w:r w:rsidRPr="004813EC" w:rsidR="005C394E">
        <w:t xml:space="preserve"> </w:t>
      </w:r>
      <w:r w:rsidRPr="004813EC" w:rsidR="00BC4B50">
        <w:t xml:space="preserve">his </w:t>
      </w:r>
      <w:r w:rsidRPr="004813EC" w:rsidR="007F68B6">
        <w:t xml:space="preserve">signature </w:t>
      </w:r>
      <w:r w:rsidRPr="004813EC" w:rsidR="00795FCA">
        <w:t xml:space="preserve">had been </w:t>
      </w:r>
      <w:r w:rsidRPr="004813EC" w:rsidR="00B76215">
        <w:t xml:space="preserve">inserted </w:t>
      </w:r>
      <w:r w:rsidRPr="004813EC" w:rsidR="007F68B6">
        <w:t xml:space="preserve">without </w:t>
      </w:r>
      <w:r w:rsidRPr="004813EC" w:rsidR="00B76215">
        <w:t xml:space="preserve">asking </w:t>
      </w:r>
      <w:r w:rsidRPr="004813EC" w:rsidR="007F68B6">
        <w:t xml:space="preserve">him as nobody </w:t>
      </w:r>
      <w:r w:rsidRPr="004813EC" w:rsidR="00B76215">
        <w:t xml:space="preserve">had </w:t>
      </w:r>
      <w:r w:rsidRPr="004813EC" w:rsidR="007F68B6">
        <w:t>wished to bother him.</w:t>
      </w:r>
    </w:p>
    <w:p w:rsidRPr="004813EC" w:rsidR="00472875" w:rsidP="00231B69" w:rsidRDefault="006440D1">
      <w:pPr>
        <w:pStyle w:val="ECHRPara"/>
      </w:pPr>
      <w:fldSimple w:instr=" SEQ level0 \*arabic ">
        <w:r w:rsidR="00664191">
          <w:rPr>
            <w:noProof/>
          </w:rPr>
          <w:t>9</w:t>
        </w:r>
      </w:fldSimple>
      <w:r w:rsidRPr="004813EC" w:rsidR="00B22822">
        <w:t>.  </w:t>
      </w:r>
      <w:r w:rsidRPr="004813EC" w:rsidR="008F7119">
        <w:t xml:space="preserve">On 27 November 2009 the applicant was also questioned. </w:t>
      </w:r>
      <w:r w:rsidRPr="004813EC" w:rsidR="00231B69">
        <w:t>At 10.15</w:t>
      </w:r>
      <w:r w:rsidRPr="004813EC" w:rsidR="008F7119">
        <w:t> </w:t>
      </w:r>
      <w:r w:rsidRPr="004813EC" w:rsidR="00231B69">
        <w:t xml:space="preserve">p.m. </w:t>
      </w:r>
      <w:r w:rsidRPr="004813EC" w:rsidR="00DA5F32">
        <w:t xml:space="preserve">on 27 November 2009 </w:t>
      </w:r>
      <w:r w:rsidRPr="004813EC" w:rsidR="00231B69">
        <w:t>the investigator of the Zhytomyr Prosecutor</w:t>
      </w:r>
      <w:r>
        <w:t>’</w:t>
      </w:r>
      <w:r w:rsidRPr="004813EC" w:rsidR="00231B69">
        <w:t xml:space="preserve">s Office informed the applicant that he was </w:t>
      </w:r>
      <w:r w:rsidRPr="004813EC" w:rsidR="00B76215">
        <w:t xml:space="preserve">being </w:t>
      </w:r>
      <w:r w:rsidRPr="004813EC" w:rsidR="00231B69">
        <w:t xml:space="preserve">arrested </w:t>
      </w:r>
      <w:r w:rsidRPr="004813EC" w:rsidR="00B76215">
        <w:t xml:space="preserve">and detained </w:t>
      </w:r>
      <w:r w:rsidRPr="004813EC" w:rsidR="00231B69">
        <w:t xml:space="preserve">for seventy-two hours on suspicion of having committed a crime. The investigator drew up an arrest report specifying that the applicant was </w:t>
      </w:r>
      <w:r w:rsidRPr="004813EC" w:rsidR="005A60B0">
        <w:t xml:space="preserve">being </w:t>
      </w:r>
      <w:r w:rsidRPr="004813EC" w:rsidR="00231B69">
        <w:t>arrested in accordance with Articles 106 and 115 of the Code of Criminal Procedure on the ground</w:t>
      </w:r>
      <w:r w:rsidRPr="004813EC" w:rsidR="00B76215">
        <w:t>s</w:t>
      </w:r>
      <w:r w:rsidRPr="004813EC" w:rsidR="00231B69">
        <w:t xml:space="preserve"> that “eyewitnesses </w:t>
      </w:r>
      <w:r w:rsidRPr="004813EC" w:rsidR="00B76215">
        <w:t xml:space="preserve">had </w:t>
      </w:r>
      <w:r w:rsidRPr="004813EC" w:rsidR="00231B69">
        <w:t xml:space="preserve">directly identified him as </w:t>
      </w:r>
      <w:r w:rsidRPr="004813EC" w:rsidR="00B261B4">
        <w:t>a</w:t>
      </w:r>
      <w:r w:rsidRPr="004813EC" w:rsidR="00231B69">
        <w:t xml:space="preserve"> person who had committed </w:t>
      </w:r>
      <w:r w:rsidRPr="004813EC" w:rsidR="007D3E4F">
        <w:t>a</w:t>
      </w:r>
      <w:r w:rsidRPr="004813EC" w:rsidR="00231B69">
        <w:t xml:space="preserve"> crime”.</w:t>
      </w:r>
    </w:p>
    <w:p w:rsidRPr="004813EC" w:rsidR="00472875" w:rsidP="00F36674" w:rsidRDefault="006440D1">
      <w:pPr>
        <w:pStyle w:val="ECHRPara"/>
      </w:pPr>
      <w:fldSimple w:instr=" SEQ level0 \*arabic ">
        <w:r w:rsidR="00664191">
          <w:rPr>
            <w:noProof/>
          </w:rPr>
          <w:t>10</w:t>
        </w:r>
      </w:fldSimple>
      <w:r w:rsidRPr="004813EC" w:rsidR="008F7119">
        <w:t>.  </w:t>
      </w:r>
      <w:r w:rsidRPr="004813EC" w:rsidR="00231B69">
        <w:t>On 28 November 2009 the applicant challenged his arrest</w:t>
      </w:r>
      <w:r w:rsidRPr="004813EC" w:rsidR="008A4C7E">
        <w:t xml:space="preserve"> and detention</w:t>
      </w:r>
      <w:r w:rsidRPr="004813EC" w:rsidR="00231B69">
        <w:t xml:space="preserve"> before the Bohunskyy District Court of Zhytomyr (“the District Court”). </w:t>
      </w:r>
      <w:r w:rsidRPr="004813EC" w:rsidR="005A60B0">
        <w:t xml:space="preserve">He </w:t>
      </w:r>
      <w:r w:rsidRPr="004813EC" w:rsidR="008F7119">
        <w:t xml:space="preserve">argued that his arrest </w:t>
      </w:r>
      <w:r w:rsidRPr="004813EC" w:rsidR="008A4C7E">
        <w:t xml:space="preserve">and detention </w:t>
      </w:r>
      <w:r w:rsidRPr="004813EC" w:rsidR="005A60B0">
        <w:t xml:space="preserve">had been </w:t>
      </w:r>
      <w:r w:rsidRPr="004813EC" w:rsidR="00A91C8E">
        <w:t>unlawful</w:t>
      </w:r>
      <w:r w:rsidRPr="004813EC" w:rsidR="00B76215">
        <w:t>,</w:t>
      </w:r>
      <w:r w:rsidRPr="004813EC" w:rsidR="00A91C8E">
        <w:t xml:space="preserve"> noting that </w:t>
      </w:r>
      <w:r w:rsidRPr="004813EC" w:rsidR="008A4C7E">
        <w:t xml:space="preserve">no eyewitness </w:t>
      </w:r>
      <w:r w:rsidRPr="004813EC" w:rsidR="00FD53C8">
        <w:t xml:space="preserve">had identified </w:t>
      </w:r>
      <w:r w:rsidRPr="004813EC" w:rsidR="008A4C7E">
        <w:t xml:space="preserve">him as a person who </w:t>
      </w:r>
      <w:r w:rsidRPr="004813EC" w:rsidR="00B76215">
        <w:t xml:space="preserve">had </w:t>
      </w:r>
      <w:r w:rsidRPr="004813EC" w:rsidR="008A4C7E">
        <w:t xml:space="preserve">committed </w:t>
      </w:r>
      <w:r w:rsidRPr="004813EC" w:rsidR="009D3713">
        <w:t>any</w:t>
      </w:r>
      <w:r w:rsidR="00766F47">
        <w:t xml:space="preserve"> </w:t>
      </w:r>
      <w:r w:rsidRPr="004813EC" w:rsidR="008A4C7E">
        <w:t xml:space="preserve">crime; furthermore, the alleged events </w:t>
      </w:r>
      <w:r w:rsidRPr="004813EC" w:rsidR="00B76215">
        <w:t xml:space="preserve">had taken </w:t>
      </w:r>
      <w:r w:rsidRPr="004813EC" w:rsidR="008A4C7E">
        <w:t xml:space="preserve">place </w:t>
      </w:r>
      <w:r w:rsidRPr="004813EC" w:rsidR="00FD53C8">
        <w:t xml:space="preserve">a </w:t>
      </w:r>
      <w:r w:rsidRPr="004813EC" w:rsidR="00F36674">
        <w:t xml:space="preserve">long </w:t>
      </w:r>
      <w:r w:rsidRPr="004813EC" w:rsidR="00FD53C8">
        <w:t xml:space="preserve">time </w:t>
      </w:r>
      <w:r w:rsidRPr="004813EC" w:rsidR="00F36674">
        <w:t xml:space="preserve">ago and there was no risk that he would abscond since he had </w:t>
      </w:r>
      <w:r w:rsidRPr="004813EC" w:rsidR="00FD53C8">
        <w:t xml:space="preserve">previously </w:t>
      </w:r>
      <w:r w:rsidRPr="004813EC" w:rsidR="00F36674">
        <w:t xml:space="preserve">voluntarily </w:t>
      </w:r>
      <w:r w:rsidRPr="004813EC" w:rsidR="00FD53C8">
        <w:t xml:space="preserve">appeared before </w:t>
      </w:r>
      <w:r w:rsidRPr="004813EC" w:rsidR="00F36674">
        <w:t>the investigator</w:t>
      </w:r>
      <w:r w:rsidRPr="004813EC" w:rsidR="00A91C8E">
        <w:t>.</w:t>
      </w:r>
    </w:p>
    <w:p w:rsidRPr="004813EC" w:rsidR="00472875" w:rsidP="00231B69" w:rsidRDefault="006440D1">
      <w:pPr>
        <w:pStyle w:val="ECHRPara"/>
      </w:pPr>
      <w:fldSimple w:instr=" SEQ level0 \*arabic ">
        <w:r w:rsidR="00664191">
          <w:rPr>
            <w:noProof/>
          </w:rPr>
          <w:t>11</w:t>
        </w:r>
      </w:fldSimple>
      <w:r w:rsidRPr="004813EC" w:rsidR="00A91C8E">
        <w:t>.  On 30 November 2009 t</w:t>
      </w:r>
      <w:r w:rsidRPr="004813EC" w:rsidR="00231B69">
        <w:t xml:space="preserve">he investigator applied to the District Court </w:t>
      </w:r>
      <w:r w:rsidRPr="004813EC" w:rsidR="00A91C8E">
        <w:t xml:space="preserve">with </w:t>
      </w:r>
      <w:r w:rsidRPr="004813EC" w:rsidR="00CC6C62">
        <w:t xml:space="preserve">a </w:t>
      </w:r>
      <w:r w:rsidRPr="004813EC" w:rsidR="00A91C8E">
        <w:t xml:space="preserve">request to place the applicant in </w:t>
      </w:r>
      <w:r w:rsidRPr="004813EC" w:rsidR="00231B69">
        <w:t>pre-trial detention.</w:t>
      </w:r>
      <w:r w:rsidRPr="004813EC" w:rsidR="00A91C8E">
        <w:t xml:space="preserve"> On the same day the District Court, relying on Article 165-2 of the Code of Criminal Procedure, found </w:t>
      </w:r>
      <w:r w:rsidRPr="004813EC" w:rsidR="007F2236">
        <w:t xml:space="preserve">that </w:t>
      </w:r>
      <w:r w:rsidRPr="004813EC" w:rsidR="00FD53C8">
        <w:t xml:space="preserve">in order to make </w:t>
      </w:r>
      <w:r w:rsidRPr="004813EC" w:rsidR="00CC6C62">
        <w:t xml:space="preserve">a </w:t>
      </w:r>
      <w:r w:rsidRPr="004813EC" w:rsidR="007F2236">
        <w:t xml:space="preserve">decision on </w:t>
      </w:r>
      <w:r w:rsidRPr="004813EC" w:rsidR="00CC6C62">
        <w:t xml:space="preserve">the </w:t>
      </w:r>
      <w:r w:rsidRPr="004813EC" w:rsidR="007F2236">
        <w:t xml:space="preserve">application of </w:t>
      </w:r>
      <w:r w:rsidRPr="004813EC" w:rsidR="00CC6C62">
        <w:t xml:space="preserve">a </w:t>
      </w:r>
      <w:r w:rsidRPr="004813EC" w:rsidR="007F2236">
        <w:t xml:space="preserve">preventive measure </w:t>
      </w:r>
      <w:r w:rsidRPr="004813EC" w:rsidR="00E5698F">
        <w:t xml:space="preserve">it </w:t>
      </w:r>
      <w:r w:rsidRPr="004813EC" w:rsidR="00FD53C8">
        <w:t xml:space="preserve">required </w:t>
      </w:r>
      <w:r w:rsidRPr="004813EC" w:rsidR="00E5698F">
        <w:t xml:space="preserve">more information concerning the </w:t>
      </w:r>
      <w:r w:rsidRPr="004813EC" w:rsidR="00FD53C8">
        <w:t>applicant</w:t>
      </w:r>
      <w:r>
        <w:t>’</w:t>
      </w:r>
      <w:r w:rsidRPr="004813EC" w:rsidR="00FD53C8">
        <w:t xml:space="preserve">s </w:t>
      </w:r>
      <w:r w:rsidRPr="004813EC" w:rsidR="00E5698F">
        <w:t xml:space="preserve">personality, family status and lifestyle. The court therefore ordered that the investigator produce that information and </w:t>
      </w:r>
      <w:r w:rsidRPr="004813EC" w:rsidR="00231B69">
        <w:t>extend</w:t>
      </w:r>
      <w:r w:rsidRPr="004813EC" w:rsidR="00E5698F">
        <w:t>ed</w:t>
      </w:r>
      <w:r w:rsidRPr="004813EC" w:rsidR="00231B69">
        <w:t xml:space="preserve"> the applicant</w:t>
      </w:r>
      <w:r>
        <w:t>’</w:t>
      </w:r>
      <w:r w:rsidRPr="004813EC" w:rsidR="00231B69">
        <w:t>s preliminary detention to ten days.</w:t>
      </w:r>
    </w:p>
    <w:p w:rsidRPr="004813EC" w:rsidR="00472875" w:rsidP="00231B69" w:rsidRDefault="006440D1">
      <w:pPr>
        <w:pStyle w:val="ECHRPara"/>
      </w:pPr>
      <w:fldSimple w:instr=" SEQ level0 \*arabic ">
        <w:r w:rsidR="00664191">
          <w:rPr>
            <w:noProof/>
          </w:rPr>
          <w:t>12</w:t>
        </w:r>
      </w:fldSimple>
      <w:r w:rsidRPr="004813EC" w:rsidR="00CA18EB">
        <w:t>.  </w:t>
      </w:r>
      <w:r w:rsidRPr="004813EC" w:rsidR="00231B69">
        <w:t xml:space="preserve">On 7 December 2009 the investigator released the applicant </w:t>
      </w:r>
      <w:r w:rsidRPr="004813EC" w:rsidR="00FD53C8">
        <w:t xml:space="preserve">against </w:t>
      </w:r>
      <w:r w:rsidRPr="004813EC" w:rsidR="00231B69">
        <w:t xml:space="preserve">a written </w:t>
      </w:r>
      <w:r w:rsidRPr="004813EC" w:rsidR="00FD53C8">
        <w:t xml:space="preserve">undertaking </w:t>
      </w:r>
      <w:r w:rsidRPr="004813EC" w:rsidR="00231B69">
        <w:t>not to abscond.</w:t>
      </w:r>
      <w:r w:rsidRPr="004813EC" w:rsidR="00F336E9">
        <w:t xml:space="preserve"> The investigator noted that the applicant was disabled</w:t>
      </w:r>
      <w:r w:rsidRPr="004813EC" w:rsidR="00CC6C62">
        <w:t>;</w:t>
      </w:r>
      <w:r w:rsidRPr="004813EC" w:rsidR="00F336E9">
        <w:t xml:space="preserve"> he was the breadwinner for three minor children, one </w:t>
      </w:r>
      <w:r w:rsidRPr="004813EC" w:rsidR="00CC6C62">
        <w:t xml:space="preserve">of whom was </w:t>
      </w:r>
      <w:r w:rsidRPr="004813EC" w:rsidR="00F336E9">
        <w:t>disabled</w:t>
      </w:r>
      <w:r w:rsidRPr="004813EC" w:rsidR="00CC6C62">
        <w:t>;</w:t>
      </w:r>
      <w:r w:rsidRPr="004813EC" w:rsidR="00F336E9">
        <w:t xml:space="preserve"> </w:t>
      </w:r>
      <w:r w:rsidRPr="004813EC" w:rsidR="00CC6C62">
        <w:t xml:space="preserve">he </w:t>
      </w:r>
      <w:r w:rsidRPr="004813EC" w:rsidR="00F336E9">
        <w:t>had a permanent place of residence</w:t>
      </w:r>
      <w:r w:rsidRPr="004813EC" w:rsidR="00CC6C62">
        <w:t>;</w:t>
      </w:r>
      <w:r w:rsidRPr="004813EC" w:rsidR="00F336E9">
        <w:t xml:space="preserve"> and that there </w:t>
      </w:r>
      <w:r w:rsidRPr="004813EC" w:rsidR="00FD53C8">
        <w:t xml:space="preserve">was </w:t>
      </w:r>
      <w:r w:rsidRPr="004813EC" w:rsidR="00F336E9">
        <w:t>no information that he would abscond or hinder the proceedings.</w:t>
      </w:r>
    </w:p>
    <w:p w:rsidRPr="004813EC" w:rsidR="00231B69" w:rsidP="00021EE9" w:rsidRDefault="006440D1">
      <w:pPr>
        <w:pStyle w:val="ECHRPara"/>
      </w:pPr>
      <w:fldSimple w:instr=" SEQ level0 \*arabic ">
        <w:r w:rsidR="00664191">
          <w:rPr>
            <w:noProof/>
          </w:rPr>
          <w:t>13</w:t>
        </w:r>
      </w:fldSimple>
      <w:r w:rsidRPr="004813EC" w:rsidR="00021EE9">
        <w:t>.  </w:t>
      </w:r>
      <w:r w:rsidRPr="004813EC" w:rsidR="00231B69">
        <w:t>On 29 January 2010 the District Court found that the applicant</w:t>
      </w:r>
      <w:r>
        <w:t>’</w:t>
      </w:r>
      <w:r w:rsidRPr="004813EC" w:rsidR="00231B69">
        <w:t xml:space="preserve">s arrest </w:t>
      </w:r>
      <w:r w:rsidRPr="004813EC" w:rsidR="00CC6C62">
        <w:t xml:space="preserve">had been </w:t>
      </w:r>
      <w:r w:rsidRPr="004813EC" w:rsidR="00231B69">
        <w:t xml:space="preserve">unlawful because </w:t>
      </w:r>
      <w:r w:rsidRPr="004813EC" w:rsidR="005E3783">
        <w:t>the prosecutor</w:t>
      </w:r>
      <w:r>
        <w:t>’</w:t>
      </w:r>
      <w:r w:rsidRPr="004813EC" w:rsidR="005E3783">
        <w:t xml:space="preserve">s office </w:t>
      </w:r>
      <w:r w:rsidRPr="004813EC" w:rsidR="00CC6C62">
        <w:t xml:space="preserve">had </w:t>
      </w:r>
      <w:r w:rsidRPr="004813EC" w:rsidR="005E3783">
        <w:t xml:space="preserve">failed to </w:t>
      </w:r>
      <w:r w:rsidRPr="004813EC" w:rsidR="00021EE9">
        <w:t xml:space="preserve">provide evidence that </w:t>
      </w:r>
      <w:r w:rsidRPr="004813EC" w:rsidR="00231B69">
        <w:t xml:space="preserve">any eyewitness had </w:t>
      </w:r>
      <w:r w:rsidRPr="004813EC" w:rsidR="00FD53C8">
        <w:t xml:space="preserve">identified </w:t>
      </w:r>
      <w:r w:rsidRPr="004813EC" w:rsidR="00231B69">
        <w:t xml:space="preserve">the applicant as </w:t>
      </w:r>
      <w:r w:rsidRPr="004813EC" w:rsidR="00B261B4">
        <w:t xml:space="preserve">a </w:t>
      </w:r>
      <w:r w:rsidRPr="004813EC" w:rsidR="00231B69">
        <w:t xml:space="preserve">person who had committed </w:t>
      </w:r>
      <w:r w:rsidRPr="004813EC" w:rsidR="004813EC">
        <w:t>a</w:t>
      </w:r>
      <w:r w:rsidRPr="004813EC" w:rsidR="00231B69">
        <w:t xml:space="preserve"> crime. </w:t>
      </w:r>
      <w:r w:rsidRPr="004813EC" w:rsidR="00021EE9">
        <w:t xml:space="preserve">The court further </w:t>
      </w:r>
      <w:r w:rsidRPr="004813EC" w:rsidR="007421A4">
        <w:t xml:space="preserve">considered that </w:t>
      </w:r>
      <w:r w:rsidRPr="004813EC" w:rsidR="00021EE9">
        <w:t>the applicant</w:t>
      </w:r>
      <w:r>
        <w:t>’</w:t>
      </w:r>
      <w:r w:rsidRPr="004813EC" w:rsidR="00021EE9">
        <w:t xml:space="preserve">s arrest and his further detention had </w:t>
      </w:r>
      <w:r w:rsidRPr="004813EC" w:rsidR="007421A4">
        <w:t xml:space="preserve">not </w:t>
      </w:r>
      <w:r w:rsidRPr="004813EC" w:rsidR="00021EE9">
        <w:t>been justified</w:t>
      </w:r>
      <w:r w:rsidRPr="004813EC" w:rsidR="007421A4">
        <w:t xml:space="preserve"> and necessary in the circumstances of the case</w:t>
      </w:r>
      <w:r w:rsidRPr="004813EC" w:rsidR="00021EE9">
        <w:t xml:space="preserve">. </w:t>
      </w:r>
      <w:r w:rsidRPr="004813EC" w:rsidR="00231B69">
        <w:t>The prosecutor appealed against that decision.</w:t>
      </w:r>
    </w:p>
    <w:p w:rsidRPr="004813EC" w:rsidR="00231B69" w:rsidP="00231B69" w:rsidRDefault="006440D1">
      <w:pPr>
        <w:pStyle w:val="ECHRPara"/>
      </w:pPr>
      <w:fldSimple w:instr=" SEQ level0 \*arabic ">
        <w:r w:rsidR="00664191">
          <w:rPr>
            <w:noProof/>
          </w:rPr>
          <w:t>14</w:t>
        </w:r>
      </w:fldSimple>
      <w:r w:rsidRPr="004813EC" w:rsidR="00021EE9">
        <w:t>.  </w:t>
      </w:r>
      <w:r w:rsidRPr="004813EC" w:rsidR="00231B69">
        <w:t>On 23 February 2010 the Zhytomyr Region</w:t>
      </w:r>
      <w:r w:rsidRPr="004813EC" w:rsidR="00021EE9">
        <w:t>al</w:t>
      </w:r>
      <w:r w:rsidRPr="004813EC" w:rsidR="00231B69">
        <w:t xml:space="preserve"> Court of Appeal quashed the decision as unfounded</w:t>
      </w:r>
      <w:r w:rsidRPr="004813EC" w:rsidR="0032609C">
        <w:t>,</w:t>
      </w:r>
      <w:r w:rsidRPr="004813EC" w:rsidR="00231B69">
        <w:t xml:space="preserve"> noting that the District Court had not properly examined the witnesses</w:t>
      </w:r>
      <w:r>
        <w:t>’</w:t>
      </w:r>
      <w:r w:rsidRPr="004813EC" w:rsidR="00231B69">
        <w:t xml:space="preserve"> statements available in the criminal case file. The case was remitted to the District Court for fresh consideration.</w:t>
      </w:r>
    </w:p>
    <w:p w:rsidRPr="004813EC" w:rsidR="00231B69" w:rsidP="00650D88" w:rsidRDefault="006440D1">
      <w:pPr>
        <w:pStyle w:val="ECHRPara"/>
      </w:pPr>
      <w:fldSimple w:instr=" SEQ level0 \*arabic ">
        <w:r w:rsidR="00664191">
          <w:rPr>
            <w:noProof/>
          </w:rPr>
          <w:t>15</w:t>
        </w:r>
      </w:fldSimple>
      <w:r w:rsidRPr="004813EC" w:rsidR="00650D88">
        <w:t>.  </w:t>
      </w:r>
      <w:r w:rsidRPr="004813EC" w:rsidR="00231B69">
        <w:t>On 15 March 2010 the District Court dismissed the applicant</w:t>
      </w:r>
      <w:r>
        <w:t>’</w:t>
      </w:r>
      <w:r w:rsidRPr="004813EC" w:rsidR="00231B69">
        <w:t>s complaint</w:t>
      </w:r>
      <w:r w:rsidRPr="004813EC" w:rsidR="0032609C">
        <w:t>,</w:t>
      </w:r>
      <w:r w:rsidRPr="004813EC" w:rsidR="00231B69">
        <w:t xml:space="preserve"> </w:t>
      </w:r>
      <w:r w:rsidRPr="004813EC" w:rsidR="0032609C">
        <w:t xml:space="preserve">finding </w:t>
      </w:r>
      <w:r w:rsidRPr="004813EC" w:rsidR="00650D88">
        <w:t xml:space="preserve">that the </w:t>
      </w:r>
      <w:r w:rsidRPr="004813EC" w:rsidR="007421A4">
        <w:t xml:space="preserve">witness </w:t>
      </w:r>
      <w:r w:rsidRPr="004813EC" w:rsidR="00650D88">
        <w:t xml:space="preserve">statements </w:t>
      </w:r>
      <w:r w:rsidRPr="004813EC" w:rsidR="007421A4">
        <w:t xml:space="preserve">available in the file </w:t>
      </w:r>
      <w:r w:rsidRPr="004813EC" w:rsidR="0032609C">
        <w:t xml:space="preserve">had </w:t>
      </w:r>
      <w:r w:rsidRPr="004813EC" w:rsidR="00231B69">
        <w:t xml:space="preserve">identified the applicant as </w:t>
      </w:r>
      <w:r w:rsidRPr="004813EC" w:rsidR="00B261B4">
        <w:t xml:space="preserve">a </w:t>
      </w:r>
      <w:r w:rsidRPr="004813EC" w:rsidR="00231B69">
        <w:t xml:space="preserve">person who had committed the </w:t>
      </w:r>
      <w:r w:rsidRPr="004813EC" w:rsidR="007421A4">
        <w:t xml:space="preserve">alleged </w:t>
      </w:r>
      <w:r w:rsidRPr="004813EC" w:rsidR="00231B69">
        <w:t>crime</w:t>
      </w:r>
      <w:r w:rsidRPr="004813EC" w:rsidR="004813EC">
        <w:t>s</w:t>
      </w:r>
      <w:r w:rsidRPr="004813EC" w:rsidR="00231B69">
        <w:t>. The applicant appealed against that decision.</w:t>
      </w:r>
    </w:p>
    <w:p w:rsidRPr="004813EC" w:rsidR="00231B69" w:rsidP="00231B69" w:rsidRDefault="006440D1">
      <w:pPr>
        <w:pStyle w:val="ECHRPara"/>
      </w:pPr>
      <w:fldSimple w:instr=" SEQ level0 \*arabic ">
        <w:r w:rsidR="00664191">
          <w:rPr>
            <w:noProof/>
          </w:rPr>
          <w:t>16</w:t>
        </w:r>
      </w:fldSimple>
      <w:r w:rsidRPr="004813EC" w:rsidR="00650D88">
        <w:t>.  </w:t>
      </w:r>
      <w:r w:rsidRPr="004813EC" w:rsidR="00231B69">
        <w:t>On 7 April 2010 the Court of Appeal upheld the decision of 15 March 2010</w:t>
      </w:r>
      <w:r w:rsidRPr="004813EC" w:rsidR="0032609C">
        <w:t>,</w:t>
      </w:r>
      <w:r w:rsidRPr="004813EC" w:rsidR="00231B69">
        <w:t xml:space="preserve"> noting that the case file contain</w:t>
      </w:r>
      <w:r w:rsidRPr="004813EC" w:rsidR="00650D88">
        <w:t>ed</w:t>
      </w:r>
      <w:r w:rsidRPr="004813EC" w:rsidR="00231B69">
        <w:t xml:space="preserve"> the </w:t>
      </w:r>
      <w:r w:rsidRPr="004813EC" w:rsidR="00650D88">
        <w:t xml:space="preserve">statements of </w:t>
      </w:r>
      <w:r w:rsidRPr="004813EC" w:rsidR="00231B69">
        <w:t>witnesses</w:t>
      </w:r>
      <w:r w:rsidRPr="004813EC" w:rsidR="00650D88">
        <w:t xml:space="preserve"> who </w:t>
      </w:r>
      <w:r w:rsidRPr="004813EC" w:rsidR="0032609C">
        <w:t xml:space="preserve">had </w:t>
      </w:r>
      <w:r w:rsidRPr="004813EC" w:rsidR="00FD53C8">
        <w:t xml:space="preserve">identified </w:t>
      </w:r>
      <w:r w:rsidRPr="004813EC" w:rsidR="00650D88">
        <w:t>the applicant as a person who had committed the</w:t>
      </w:r>
      <w:r w:rsidRPr="004813EC" w:rsidR="007421A4">
        <w:t xml:space="preserve"> alleged</w:t>
      </w:r>
      <w:r w:rsidRPr="004813EC" w:rsidR="00650D88">
        <w:t xml:space="preserve"> crime</w:t>
      </w:r>
      <w:r w:rsidRPr="004813EC" w:rsidR="004813EC">
        <w:t>s</w:t>
      </w:r>
      <w:r w:rsidRPr="004813EC" w:rsidR="00231B69">
        <w:t>.</w:t>
      </w:r>
    </w:p>
    <w:p w:rsidRPr="00FA7B6C" w:rsidR="00231B69" w:rsidP="00231B69" w:rsidRDefault="006440D1">
      <w:pPr>
        <w:pStyle w:val="ECHRPara"/>
      </w:pPr>
      <w:fldSimple w:instr=" SEQ level0 \*arabic ">
        <w:r w:rsidR="00664191">
          <w:rPr>
            <w:noProof/>
          </w:rPr>
          <w:t>17</w:t>
        </w:r>
      </w:fldSimple>
      <w:r w:rsidRPr="004813EC" w:rsidR="00650D88">
        <w:t>.  </w:t>
      </w:r>
      <w:r w:rsidRPr="004813EC" w:rsidR="00231B69">
        <w:t>On 11 May 2010, the Supreme Court rejected the applicant</w:t>
      </w:r>
      <w:r>
        <w:t>’</w:t>
      </w:r>
      <w:r w:rsidRPr="004813EC" w:rsidR="00231B69">
        <w:t xml:space="preserve">s appeal </w:t>
      </w:r>
      <w:r w:rsidRPr="004813EC" w:rsidR="0032609C">
        <w:t xml:space="preserve">on points of law </w:t>
      </w:r>
      <w:r w:rsidRPr="004813EC" w:rsidR="00231B69">
        <w:t>as inadmissible</w:t>
      </w:r>
      <w:r w:rsidRPr="004813EC" w:rsidR="0032609C">
        <w:t>,</w:t>
      </w:r>
      <w:r w:rsidRPr="004813EC" w:rsidR="00231B69">
        <w:t xml:space="preserve"> noting that the decisions of 15 March and 7 April 2010 </w:t>
      </w:r>
      <w:r w:rsidRPr="004813EC" w:rsidR="0032609C">
        <w:t xml:space="preserve">were not amenable </w:t>
      </w:r>
      <w:r w:rsidRPr="004813EC" w:rsidR="00231B69">
        <w:t>to review by the Supreme Court.</w:t>
      </w:r>
    </w:p>
    <w:p w:rsidR="00472875" w:rsidP="00014566" w:rsidRDefault="00014566">
      <w:pPr>
        <w:pStyle w:val="ECHRHeading1"/>
        <w:rPr>
          <w:lang w:val="en-GB"/>
        </w:rPr>
      </w:pPr>
      <w:r w:rsidRPr="00C447AD">
        <w:rPr>
          <w:lang w:val="en-GB"/>
        </w:rPr>
        <w:t>II.</w:t>
      </w:r>
      <w:proofErr w:type="gramStart"/>
      <w:r w:rsidRPr="00C447AD">
        <w:rPr>
          <w:lang w:val="en-GB"/>
        </w:rPr>
        <w:t>  RELEVANT</w:t>
      </w:r>
      <w:proofErr w:type="gramEnd"/>
      <w:r w:rsidRPr="00C447AD">
        <w:rPr>
          <w:lang w:val="en-GB"/>
        </w:rPr>
        <w:t xml:space="preserve"> DOMESTIC LAW</w:t>
      </w:r>
    </w:p>
    <w:p w:rsidR="00E03F4B" w:rsidP="00BB1DD0" w:rsidRDefault="00BB1DD0">
      <w:pPr>
        <w:pStyle w:val="ECHRHeading2"/>
        <w:tabs>
          <w:tab w:val="clear" w:pos="584"/>
        </w:tabs>
        <w:suppressAutoHyphens/>
        <w:ind w:left="592" w:firstLine="0"/>
        <w:outlineLvl w:val="9"/>
      </w:pPr>
      <w:r>
        <w:t>A.  </w:t>
      </w:r>
      <w:r w:rsidRPr="00BB1DD0" w:rsidR="00E03F4B">
        <w:t>Constitution</w:t>
      </w:r>
      <w:r w:rsidRPr="0095337C" w:rsidR="00E03F4B">
        <w:t xml:space="preserve"> of 2</w:t>
      </w:r>
      <w:r w:rsidR="00E03F4B">
        <w:t>8</w:t>
      </w:r>
      <w:r w:rsidRPr="0095337C" w:rsidR="00E03F4B">
        <w:t xml:space="preserve"> June 1996</w:t>
      </w:r>
    </w:p>
    <w:p w:rsidRPr="00E62FB9" w:rsidR="00E03F4B" w:rsidP="00E03F4B" w:rsidRDefault="006440D1">
      <w:pPr>
        <w:pStyle w:val="ECHRPara"/>
      </w:pPr>
      <w:fldSimple w:instr=" SEQ level0 \*arabic ">
        <w:r w:rsidR="00664191">
          <w:rPr>
            <w:noProof/>
          </w:rPr>
          <w:t>18</w:t>
        </w:r>
      </w:fldSimple>
      <w:r w:rsidR="00E03F4B">
        <w:t>.  The relevant part of Article 29 of the Constitution reads as follows:</w:t>
      </w:r>
    </w:p>
    <w:p w:rsidR="00E03F4B" w:rsidP="00E03F4B" w:rsidRDefault="00E03F4B">
      <w:pPr>
        <w:pStyle w:val="ECHRParaQuote"/>
      </w:pPr>
      <w:r w:rsidRPr="00F70631">
        <w:t>“</w:t>
      </w:r>
      <w:r>
        <w:t>...</w:t>
      </w:r>
      <w:r w:rsidRPr="00F70631">
        <w:t xml:space="preserve"> In the event of an urgent necessity to prevent or stop a crime, bodies authorised by law may hold a person in custody as a temporary preventive measure, the reasonable grounds for which shall be verified by a court within seventy-two hours. The detained person shall be released immediately if he or she has not been provided, within seventy-two hours of the </w:t>
      </w:r>
      <w:r w:rsidR="00FD53C8">
        <w:t xml:space="preserve">time </w:t>
      </w:r>
      <w:r w:rsidRPr="00F70631">
        <w:t>of</w:t>
      </w:r>
      <w:r w:rsidR="00FD53C8">
        <w:t xml:space="preserve"> arrest</w:t>
      </w:r>
      <w:r w:rsidRPr="00F70631">
        <w:t xml:space="preserve">, with a reasoned court decision in respect of the holding in custody. </w:t>
      </w:r>
      <w:r>
        <w:t>...</w:t>
      </w:r>
    </w:p>
    <w:p w:rsidRPr="00F70631" w:rsidR="00E03F4B" w:rsidP="00E03F4B" w:rsidRDefault="00E03F4B">
      <w:pPr>
        <w:pStyle w:val="ECHRParaQuote"/>
      </w:pPr>
      <w:r w:rsidRPr="00F70631">
        <w:t xml:space="preserve">Everyone who has been detained has the right to challenge his or her detention in court at any time. </w:t>
      </w:r>
      <w:r>
        <w:t>...</w:t>
      </w:r>
      <w:r w:rsidRPr="00F70631">
        <w:t>”</w:t>
      </w:r>
    </w:p>
    <w:p w:rsidR="00454639" w:rsidP="00454639" w:rsidRDefault="00E03F4B">
      <w:pPr>
        <w:pStyle w:val="ECHRHeading2"/>
        <w:rPr>
          <w:lang w:val="en-GB"/>
        </w:rPr>
      </w:pPr>
      <w:r>
        <w:t>B.  </w:t>
      </w:r>
      <w:r w:rsidRPr="0095337C" w:rsidR="00454639">
        <w:t>Code of Criminal Procedure</w:t>
      </w:r>
      <w:r w:rsidR="00347629">
        <w:t xml:space="preserve"> (“the CCP”)</w:t>
      </w:r>
      <w:r w:rsidRPr="0095337C" w:rsidR="00454639">
        <w:t xml:space="preserve"> </w:t>
      </w:r>
      <w:r w:rsidRPr="00F70631" w:rsidR="00454639">
        <w:t>of 28 December 1960</w:t>
      </w:r>
      <w:r w:rsidR="00454639">
        <w:t xml:space="preserve"> (in force at the relevant time)</w:t>
      </w:r>
    </w:p>
    <w:p w:rsidR="00472875" w:rsidP="0077149D" w:rsidRDefault="00E03F4B">
      <w:pPr>
        <w:pStyle w:val="ECHRPara"/>
        <w:rPr>
          <w:lang w:val="en-GB"/>
        </w:rPr>
      </w:pPr>
      <w:r>
        <w:rPr>
          <w:lang w:val="en-GB"/>
        </w:rPr>
        <w:fldChar w:fldCharType="begin"/>
      </w:r>
      <w:r>
        <w:rPr>
          <w:lang w:val="en-GB"/>
        </w:rPr>
        <w:instrText xml:space="preserve"> SEQ level0 \*arabic </w:instrText>
      </w:r>
      <w:r>
        <w:rPr>
          <w:lang w:val="en-GB"/>
        </w:rPr>
        <w:fldChar w:fldCharType="separate"/>
      </w:r>
      <w:r w:rsidR="00664191">
        <w:rPr>
          <w:noProof/>
          <w:lang w:val="en-GB"/>
        </w:rPr>
        <w:t>19</w:t>
      </w:r>
      <w:r>
        <w:rPr>
          <w:lang w:val="en-GB"/>
        </w:rPr>
        <w:fldChar w:fldCharType="end"/>
      </w:r>
      <w:r>
        <w:rPr>
          <w:lang w:val="en-GB"/>
        </w:rPr>
        <w:t>.  </w:t>
      </w:r>
      <w:r w:rsidR="00464F42">
        <w:rPr>
          <w:lang w:val="en-GB"/>
        </w:rPr>
        <w:t>The r</w:t>
      </w:r>
      <w:r w:rsidR="00454639">
        <w:rPr>
          <w:lang w:val="en-GB"/>
        </w:rPr>
        <w:t xml:space="preserve">elevant provisions of the </w:t>
      </w:r>
      <w:r w:rsidR="00347629">
        <w:rPr>
          <w:lang w:val="en-GB"/>
        </w:rPr>
        <w:t>CCP</w:t>
      </w:r>
      <w:r w:rsidR="00454639">
        <w:rPr>
          <w:lang w:val="en-GB"/>
        </w:rPr>
        <w:t xml:space="preserve"> provided as follows:</w:t>
      </w:r>
    </w:p>
    <w:p w:rsidR="0077149D" w:rsidP="0077149D" w:rsidRDefault="0077149D">
      <w:pPr>
        <w:pStyle w:val="ECHRTitleCentre3"/>
      </w:pPr>
      <w:r w:rsidRPr="0086168B">
        <w:t>Article 106</w:t>
      </w:r>
      <w:r w:rsidR="00E03F4B">
        <w:t>.</w:t>
      </w:r>
      <w:r w:rsidRPr="0086168B">
        <w:t xml:space="preserve"> </w:t>
      </w:r>
      <w:r>
        <w:t>Arrest</w:t>
      </w:r>
      <w:r w:rsidRPr="0086168B">
        <w:t xml:space="preserve"> of a suspect by </w:t>
      </w:r>
      <w:r w:rsidR="00FD53C8">
        <w:t xml:space="preserve">a </w:t>
      </w:r>
      <w:r w:rsidRPr="0086168B">
        <w:t>body of inquiry</w:t>
      </w:r>
    </w:p>
    <w:p w:rsidRPr="0035399C" w:rsidR="0077149D" w:rsidP="0077149D" w:rsidRDefault="0077149D">
      <w:pPr>
        <w:pStyle w:val="ECHRParaQuote"/>
      </w:pPr>
      <w:r w:rsidRPr="0035399C">
        <w:t>“</w:t>
      </w:r>
      <w:r w:rsidR="00FD53C8">
        <w:t xml:space="preserve">A </w:t>
      </w:r>
      <w:r w:rsidRPr="0035399C">
        <w:t>body</w:t>
      </w:r>
      <w:r>
        <w:t xml:space="preserve"> of inquiry </w:t>
      </w:r>
      <w:r w:rsidR="00FD53C8">
        <w:t xml:space="preserve">may </w:t>
      </w:r>
      <w:r w:rsidRPr="0035399C">
        <w:t>arrest a person suspected of a criminal offence for which a penalty in the form of deprivation of liberty may be imposed only on one of the following grounds:</w:t>
      </w:r>
    </w:p>
    <w:p w:rsidRPr="0035399C" w:rsidR="0077149D" w:rsidP="0077149D" w:rsidRDefault="00E919A0">
      <w:pPr>
        <w:pStyle w:val="ECHRParaQuote"/>
      </w:pPr>
      <w:r>
        <w:t>(</w:t>
      </w:r>
      <w:r w:rsidRPr="0035399C" w:rsidR="0077149D">
        <w:t>1</w:t>
      </w:r>
      <w:r>
        <w:t>)</w:t>
      </w:r>
      <w:r w:rsidR="00BB1DD0">
        <w:t>  </w:t>
      </w:r>
      <w:proofErr w:type="gramStart"/>
      <w:r w:rsidRPr="0035399C" w:rsidR="0077149D">
        <w:t>if</w:t>
      </w:r>
      <w:proofErr w:type="gramEnd"/>
      <w:r w:rsidRPr="0035399C" w:rsidR="0077149D">
        <w:t xml:space="preserve"> the person is discovered whilst or immediately after committing an offence;</w:t>
      </w:r>
    </w:p>
    <w:p w:rsidRPr="0035399C" w:rsidR="0077149D" w:rsidP="0077149D" w:rsidRDefault="00E919A0">
      <w:pPr>
        <w:pStyle w:val="ECHRParaQuote"/>
      </w:pPr>
      <w:r>
        <w:t>(</w:t>
      </w:r>
      <w:r w:rsidRPr="0035399C" w:rsidR="0077149D">
        <w:t>2</w:t>
      </w:r>
      <w:r>
        <w:t>)</w:t>
      </w:r>
      <w:r w:rsidR="00BB1DD0">
        <w:t>  </w:t>
      </w:r>
      <w:proofErr w:type="gramStart"/>
      <w:r w:rsidRPr="0035399C" w:rsidR="0077149D">
        <w:t>if</w:t>
      </w:r>
      <w:proofErr w:type="gramEnd"/>
      <w:r w:rsidRPr="0035399C" w:rsidR="0077149D">
        <w:t xml:space="preserve"> eyewitnesses, including victims, directly identify </w:t>
      </w:r>
      <w:r w:rsidR="00FD53C8">
        <w:t xml:space="preserve">the </w:t>
      </w:r>
      <w:r w:rsidRPr="0035399C" w:rsidR="0077149D">
        <w:t>person as the one who committed the offence;</w:t>
      </w:r>
    </w:p>
    <w:p w:rsidR="0077149D" w:rsidP="0077149D" w:rsidRDefault="00E919A0">
      <w:pPr>
        <w:pStyle w:val="ECHRParaQuote"/>
      </w:pPr>
      <w:r>
        <w:t>(</w:t>
      </w:r>
      <w:r w:rsidRPr="0035399C" w:rsidR="0077149D">
        <w:t>3</w:t>
      </w:r>
      <w:r>
        <w:t>)</w:t>
      </w:r>
      <w:r w:rsidR="00BB1DD0">
        <w:t>  </w:t>
      </w:r>
      <w:proofErr w:type="gramStart"/>
      <w:r w:rsidRPr="0035399C" w:rsidR="0077149D">
        <w:t>if</w:t>
      </w:r>
      <w:proofErr w:type="gramEnd"/>
      <w:r w:rsidRPr="0035399C" w:rsidR="0077149D">
        <w:t xml:space="preserve"> clear traces of the offence are found </w:t>
      </w:r>
      <w:r w:rsidR="0077149D">
        <w:t xml:space="preserve">either </w:t>
      </w:r>
      <w:r w:rsidRPr="0035399C" w:rsidR="0077149D">
        <w:t>on the body of the suspect</w:t>
      </w:r>
      <w:r w:rsidR="0077149D">
        <w:t>, or</w:t>
      </w:r>
      <w:r w:rsidRPr="0035399C" w:rsidR="0077149D">
        <w:t xml:space="preserve"> on </w:t>
      </w:r>
      <w:r w:rsidR="0077149D">
        <w:t xml:space="preserve">his </w:t>
      </w:r>
      <w:r w:rsidRPr="0035399C" w:rsidR="0077149D">
        <w:t>clothing</w:t>
      </w:r>
      <w:r w:rsidR="0077149D">
        <w:t>, or with him, or in his</w:t>
      </w:r>
      <w:r w:rsidRPr="0035399C" w:rsidR="0077149D">
        <w:t xml:space="preserve"> home.</w:t>
      </w:r>
    </w:p>
    <w:p w:rsidR="0077149D" w:rsidP="0077149D" w:rsidRDefault="0077149D">
      <w:pPr>
        <w:pStyle w:val="ECHRParaQuote"/>
      </w:pPr>
      <w:r>
        <w:t>If there is other information giving ground</w:t>
      </w:r>
      <w:r w:rsidR="00464F42">
        <w:t>s</w:t>
      </w:r>
      <w:r>
        <w:t xml:space="preserve"> to suspect a person of a criminal offence, a body of inquiry may arrest such a person if the latter </w:t>
      </w:r>
      <w:r w:rsidR="00464F42">
        <w:t xml:space="preserve">has </w:t>
      </w:r>
      <w:r>
        <w:t xml:space="preserve">attempted to flee, or does not have a permanent place of residence, or </w:t>
      </w:r>
      <w:r w:rsidR="00464F42">
        <w:t xml:space="preserve">if </w:t>
      </w:r>
      <w:r>
        <w:t>the identity of that person has not been established.</w:t>
      </w:r>
    </w:p>
    <w:p w:rsidRPr="0035399C" w:rsidR="0077149D" w:rsidP="0077149D" w:rsidRDefault="0077149D">
      <w:pPr>
        <w:pStyle w:val="ECHRParaQuote"/>
      </w:pPr>
      <w:r w:rsidRPr="0035399C">
        <w:t>For each case of a suspect</w:t>
      </w:r>
      <w:r w:rsidR="006440D1">
        <w:rPr>
          <w:lang w:val="en-GB"/>
        </w:rPr>
        <w:t>’</w:t>
      </w:r>
      <w:r>
        <w:t>s arrest</w:t>
      </w:r>
      <w:r w:rsidRPr="0035399C">
        <w:t xml:space="preserve">, the body </w:t>
      </w:r>
      <w:r>
        <w:t xml:space="preserve">of inquiry </w:t>
      </w:r>
      <w:r w:rsidRPr="0035399C">
        <w:t xml:space="preserve">shall be required to draw up </w:t>
      </w:r>
      <w:r>
        <w:t xml:space="preserve">an arrest </w:t>
      </w:r>
      <w:r w:rsidR="00E03F4B">
        <w:t>report</w:t>
      </w:r>
      <w:r>
        <w:t xml:space="preserve"> </w:t>
      </w:r>
      <w:r w:rsidRPr="000C0FA7">
        <w:rPr>
          <w:i/>
        </w:rPr>
        <w:t>(</w:t>
      </w:r>
      <w:r w:rsidRPr="000C0FA7">
        <w:rPr>
          <w:i/>
          <w:lang w:val="uk-UA"/>
        </w:rPr>
        <w:t>протокол затримання</w:t>
      </w:r>
      <w:r w:rsidRPr="000C0FA7">
        <w:rPr>
          <w:i/>
        </w:rPr>
        <w:t>)</w:t>
      </w:r>
      <w:r w:rsidRPr="0035399C">
        <w:t xml:space="preserve"> </w:t>
      </w:r>
      <w:r w:rsidR="00E919A0">
        <w:t>specifying</w:t>
      </w:r>
      <w:r w:rsidRPr="0035399C">
        <w:t xml:space="preserve"> the grounds, the motives, the time and</w:t>
      </w:r>
      <w:r w:rsidR="00FD53C8">
        <w:t xml:space="preserve"> date</w:t>
      </w:r>
      <w:r w:rsidRPr="0035399C">
        <w:t xml:space="preserve">, the place of </w:t>
      </w:r>
      <w:r>
        <w:t>arrest</w:t>
      </w:r>
      <w:r w:rsidRPr="0035399C">
        <w:t xml:space="preserve">, the explanations of the person detained and the time when it was recorded that the suspect had been informed of his right to have a meeting with defence counsel </w:t>
      </w:r>
      <w:r>
        <w:t xml:space="preserve">as from the </w:t>
      </w:r>
      <w:r w:rsidR="00464F42">
        <w:t xml:space="preserve">time </w:t>
      </w:r>
      <w:r>
        <w:t>of his arrest</w:t>
      </w:r>
      <w:r w:rsidRPr="0035399C">
        <w:t xml:space="preserve">, in accordance with the procedure provided for in paragraph 2 of Article 21 of the present Code. The </w:t>
      </w:r>
      <w:r>
        <w:t xml:space="preserve">arrest </w:t>
      </w:r>
      <w:r w:rsidR="00E03F4B">
        <w:t>report</w:t>
      </w:r>
      <w:r w:rsidRPr="0035399C">
        <w:t xml:space="preserve"> shall be signed by the person who drew it up and by the detainee.</w:t>
      </w:r>
    </w:p>
    <w:p w:rsidRPr="0035399C" w:rsidR="0077149D" w:rsidP="0077149D" w:rsidRDefault="0077149D">
      <w:pPr>
        <w:pStyle w:val="ECHRParaQuote"/>
      </w:pPr>
      <w:r w:rsidRPr="0035399C">
        <w:t xml:space="preserve">A copy of the </w:t>
      </w:r>
      <w:r>
        <w:t xml:space="preserve">arrest </w:t>
      </w:r>
      <w:r w:rsidR="00E03F4B">
        <w:t>report</w:t>
      </w:r>
      <w:r w:rsidRPr="0035399C">
        <w:t xml:space="preserve"> with a list of </w:t>
      </w:r>
      <w:r w:rsidR="00FD53C8">
        <w:t>the detainee</w:t>
      </w:r>
      <w:r w:rsidR="006440D1">
        <w:t>’</w:t>
      </w:r>
      <w:r w:rsidR="00FD53C8">
        <w:t>s</w:t>
      </w:r>
      <w:r w:rsidRPr="0035399C">
        <w:t xml:space="preserve"> rights and obligations shall immediately be handed to the detainee and sent to the prosecutor. At the request of the </w:t>
      </w:r>
      <w:r w:rsidRPr="005A0A72">
        <w:t xml:space="preserve">prosecutor, the material which served as </w:t>
      </w:r>
      <w:r w:rsidR="00B2587E">
        <w:t xml:space="preserve">the </w:t>
      </w:r>
      <w:r w:rsidRPr="005A0A72">
        <w:t>ground</w:t>
      </w:r>
      <w:r w:rsidR="00B2587E">
        <w:t>s</w:t>
      </w:r>
      <w:r w:rsidRPr="005A0A72">
        <w:t xml:space="preserve"> for </w:t>
      </w:r>
      <w:r>
        <w:t>the arrest</w:t>
      </w:r>
      <w:r w:rsidRPr="005A0A72">
        <w:t xml:space="preserve"> shall be sent to him as well. ...</w:t>
      </w:r>
    </w:p>
    <w:p w:rsidRPr="0035399C" w:rsidR="0077149D" w:rsidP="0077149D" w:rsidRDefault="0077149D">
      <w:pPr>
        <w:pStyle w:val="ECHRParaQuote"/>
      </w:pPr>
      <w:r w:rsidRPr="0035399C">
        <w:t>Within seventy-two hours of the arrest</w:t>
      </w:r>
      <w:r>
        <w:t>,</w:t>
      </w:r>
      <w:r w:rsidRPr="0035399C">
        <w:t xml:space="preserve"> the body </w:t>
      </w:r>
      <w:r>
        <w:t xml:space="preserve">of inquiry </w:t>
      </w:r>
      <w:r w:rsidRPr="0035399C">
        <w:t>shall:</w:t>
      </w:r>
    </w:p>
    <w:p w:rsidRPr="0035399C" w:rsidR="0077149D" w:rsidP="0077149D" w:rsidRDefault="00BB1DD0">
      <w:pPr>
        <w:pStyle w:val="ECHRParaQuote"/>
      </w:pPr>
      <w:r>
        <w:t>(1)  </w:t>
      </w:r>
      <w:r w:rsidRPr="0035399C" w:rsidR="0077149D">
        <w:t xml:space="preserve">release the detainee if the suspicion that he committed the crime has not been confirmed, if the term of </w:t>
      </w:r>
      <w:r w:rsidR="0077149D">
        <w:t xml:space="preserve">the preliminary </w:t>
      </w:r>
      <w:r w:rsidRPr="0035399C" w:rsidR="0077149D">
        <w:t>detention established by law has expired or if the arrest has been effected in violation of the requirements of paragraphs 1 and 2 of the present Article;</w:t>
      </w:r>
    </w:p>
    <w:p w:rsidRPr="0035399C" w:rsidR="0077149D" w:rsidP="0077149D" w:rsidRDefault="00BB1DD0">
      <w:pPr>
        <w:pStyle w:val="ECHRParaQuote"/>
      </w:pPr>
      <w:r>
        <w:t>(2)  </w:t>
      </w:r>
      <w:r w:rsidRPr="0035399C" w:rsidR="0077149D">
        <w:t>release the detainee and select a non-custodial preventive measure;</w:t>
      </w:r>
    </w:p>
    <w:p w:rsidR="0077149D" w:rsidP="0077149D" w:rsidRDefault="00BB1DD0">
      <w:pPr>
        <w:pStyle w:val="ECHRParaQuote"/>
      </w:pPr>
      <w:r>
        <w:t>(3)  </w:t>
      </w:r>
      <w:proofErr w:type="gramStart"/>
      <w:r w:rsidRPr="0035399C" w:rsidR="0077149D">
        <w:t>bring</w:t>
      </w:r>
      <w:proofErr w:type="gramEnd"/>
      <w:r w:rsidRPr="0035399C" w:rsidR="0077149D">
        <w:t xml:space="preserve"> the detainee before a judge with a request to impose a custodial preventive measure on him or her.</w:t>
      </w:r>
    </w:p>
    <w:p w:rsidRPr="00DD6EFE" w:rsidR="0077149D" w:rsidP="0077149D" w:rsidRDefault="0077149D">
      <w:pPr>
        <w:pStyle w:val="ECHRParaQuote"/>
      </w:pPr>
      <w:r w:rsidRPr="00DD6EFE">
        <w:t>If the</w:t>
      </w:r>
      <w:r>
        <w:t xml:space="preserve"> arrest</w:t>
      </w:r>
      <w:r w:rsidRPr="00DD6EFE">
        <w:t xml:space="preserve"> is appealed </w:t>
      </w:r>
      <w:r w:rsidRPr="00E83B4F">
        <w:t>against to a court, the detainee</w:t>
      </w:r>
      <w:r w:rsidR="006440D1">
        <w:t>’</w:t>
      </w:r>
      <w:r w:rsidRPr="00E83B4F">
        <w:t xml:space="preserve">s complaint shall be immediately sent by the head of the detention facility to the court. The judge shall consider the complaint together with the request by the investigating body for application of the preventive measure. If the complaint is received after the preventive measure was applied, the judge shall examine it within three days </w:t>
      </w:r>
      <w:r w:rsidR="00B2587E">
        <w:t xml:space="preserve">of </w:t>
      </w:r>
      <w:r w:rsidRPr="00E83B4F">
        <w:t>receiving it. If the request has not been received or if the complaint has been received after the term of seventy-two hours of detention, the complaint shall</w:t>
      </w:r>
      <w:r w:rsidRPr="00DD6EFE">
        <w:t xml:space="preserve"> be considered by the judge within five days </w:t>
      </w:r>
      <w:r w:rsidR="00B2587E">
        <w:t xml:space="preserve">of </w:t>
      </w:r>
      <w:r w:rsidRPr="00DD6EFE">
        <w:t>receiving it.</w:t>
      </w:r>
    </w:p>
    <w:p w:rsidRPr="00DD6EFE" w:rsidR="0077149D" w:rsidP="0077149D" w:rsidRDefault="0077149D">
      <w:pPr>
        <w:pStyle w:val="ECHRParaQuote"/>
      </w:pPr>
      <w:r w:rsidRPr="00DD6EFE">
        <w:t>The complaint shall be considered in accordance with the requirements of Article</w:t>
      </w:r>
      <w:r>
        <w:t> </w:t>
      </w:r>
      <w:r w:rsidRPr="00DD6EFE">
        <w:t xml:space="preserve">165-2 of this Code. Following its examination, the judge shall give a ruling, either declaring that the </w:t>
      </w:r>
      <w:r>
        <w:t>arrest</w:t>
      </w:r>
      <w:r w:rsidRPr="00DD6EFE">
        <w:t xml:space="preserve"> is lawful or allowing the complaint and finding the </w:t>
      </w:r>
      <w:r>
        <w:t>arrest</w:t>
      </w:r>
      <w:r w:rsidRPr="00DD6EFE">
        <w:t xml:space="preserve"> to be unlawful.</w:t>
      </w:r>
      <w:r w:rsidR="00E919A0">
        <w:t xml:space="preserve"> </w:t>
      </w:r>
      <w:r w:rsidR="00472875">
        <w:t>...</w:t>
      </w:r>
    </w:p>
    <w:p w:rsidRPr="00DD6EFE" w:rsidR="0077149D" w:rsidP="0077149D" w:rsidRDefault="0077149D">
      <w:pPr>
        <w:pStyle w:val="ECHRParaQuote"/>
      </w:pPr>
      <w:r w:rsidRPr="00DD6EFE">
        <w:t xml:space="preserve">The ruling of the judge may be appealed against within seven days </w:t>
      </w:r>
      <w:r w:rsidR="00B2587E">
        <w:t xml:space="preserve">of </w:t>
      </w:r>
      <w:r w:rsidRPr="00DD6EFE">
        <w:t>the date of its adoption by the prosecutor, the person concerned, or his or her defence counsel or legal representative. Lodging such an appeal does not suspend the execution of the court</w:t>
      </w:r>
      <w:r w:rsidR="006440D1">
        <w:t>’</w:t>
      </w:r>
      <w:r w:rsidRPr="00DD6EFE">
        <w:t>s ruling.</w:t>
      </w:r>
    </w:p>
    <w:p w:rsidR="0077149D" w:rsidP="0077149D" w:rsidRDefault="0077149D">
      <w:pPr>
        <w:pStyle w:val="ECHRParaQuote"/>
      </w:pPr>
      <w:r>
        <w:t>Preliminary d</w:t>
      </w:r>
      <w:r w:rsidRPr="0035399C">
        <w:t>etention of a suspect shall not last for more than seventy-two hours.</w:t>
      </w:r>
      <w:r w:rsidR="00E919A0">
        <w:t xml:space="preserve"> </w:t>
      </w:r>
      <w:r w:rsidR="00472875">
        <w:t>...</w:t>
      </w:r>
      <w:r w:rsidRPr="0035399C">
        <w:t>”</w:t>
      </w:r>
    </w:p>
    <w:p w:rsidR="0077149D" w:rsidP="0077149D" w:rsidRDefault="0077149D">
      <w:pPr>
        <w:pStyle w:val="ECHRTitleCentre3"/>
      </w:pPr>
      <w:r>
        <w:t>Article 115</w:t>
      </w:r>
      <w:r w:rsidR="00E03F4B">
        <w:t>.</w:t>
      </w:r>
      <w:r>
        <w:t xml:space="preserve"> Arrest of a suspect by an investigator</w:t>
      </w:r>
    </w:p>
    <w:p w:rsidR="0077149D" w:rsidP="0077149D" w:rsidRDefault="0077149D">
      <w:pPr>
        <w:pStyle w:val="ECHRParaQuote"/>
      </w:pPr>
      <w:r>
        <w:t xml:space="preserve">“An investigator may arrest and question a person suspected of having committed a crime </w:t>
      </w:r>
      <w:r w:rsidR="00B2587E">
        <w:t xml:space="preserve">in accordance with the </w:t>
      </w:r>
      <w:r>
        <w:t xml:space="preserve">procedure </w:t>
      </w:r>
      <w:r w:rsidR="00B2587E">
        <w:t xml:space="preserve">provided for in </w:t>
      </w:r>
      <w:r>
        <w:t>Articles 106, 106-1, and 107 of the Code.</w:t>
      </w:r>
      <w:r w:rsidR="00E919A0">
        <w:t xml:space="preserve"> </w:t>
      </w:r>
      <w:r w:rsidR="00472875">
        <w:t>...</w:t>
      </w:r>
      <w:r>
        <w:t>”</w:t>
      </w:r>
    </w:p>
    <w:p w:rsidRPr="00F70631" w:rsidR="0077149D" w:rsidP="0077149D" w:rsidRDefault="0077149D">
      <w:pPr>
        <w:pStyle w:val="ECHRTitleCentre3"/>
      </w:pPr>
      <w:r w:rsidRPr="00F70631">
        <w:t>Article 148</w:t>
      </w:r>
      <w:r w:rsidR="00E03F4B">
        <w:t>.</w:t>
      </w:r>
      <w:r w:rsidRPr="00F70631">
        <w:t xml:space="preserve"> Purpose and grounds for the application of preventive measures</w:t>
      </w:r>
    </w:p>
    <w:p w:rsidRPr="00F70631" w:rsidR="0077149D" w:rsidP="0077149D" w:rsidRDefault="0077149D">
      <w:pPr>
        <w:pStyle w:val="ECHRParaQuote"/>
      </w:pPr>
      <w:r w:rsidRPr="00F70631">
        <w:t xml:space="preserve">“Preventive measures shall be imposed on a suspect, </w:t>
      </w:r>
      <w:r w:rsidR="00B2587E">
        <w:t xml:space="preserve">an </w:t>
      </w:r>
      <w:r w:rsidRPr="00F70631">
        <w:t xml:space="preserve">accused, </w:t>
      </w:r>
      <w:r w:rsidR="00B2587E">
        <w:t xml:space="preserve">a </w:t>
      </w:r>
      <w:r w:rsidRPr="00F70631">
        <w:t xml:space="preserve">defendant, or </w:t>
      </w:r>
      <w:r w:rsidR="00B2587E">
        <w:t xml:space="preserve">a </w:t>
      </w:r>
      <w:r w:rsidRPr="00F70631">
        <w:t>convicted person in order to prevent hi</w:t>
      </w:r>
      <w:r>
        <w:t>m from</w:t>
      </w:r>
      <w:r w:rsidRPr="00F70631">
        <w:t xml:space="preserve"> attempt</w:t>
      </w:r>
      <w:r>
        <w:t>ing</w:t>
      </w:r>
      <w:r w:rsidRPr="00F70631">
        <w:t xml:space="preserve"> to abscond from an inquiry, investigation or the court, </w:t>
      </w:r>
      <w:r>
        <w:t>from</w:t>
      </w:r>
      <w:r w:rsidRPr="00F70631">
        <w:t xml:space="preserve"> obstruct</w:t>
      </w:r>
      <w:r>
        <w:t>ing</w:t>
      </w:r>
      <w:r w:rsidRPr="00F70631">
        <w:t xml:space="preserve"> the establishment of the truth in a criminal case or </w:t>
      </w:r>
      <w:r w:rsidR="00B2587E">
        <w:t xml:space="preserve">from pursuing </w:t>
      </w:r>
      <w:r w:rsidRPr="00F70631">
        <w:t>criminal activities, and in order to ensure the execution of procedural decisions.</w:t>
      </w:r>
    </w:p>
    <w:p w:rsidR="0077149D" w:rsidP="0077149D" w:rsidRDefault="0077149D">
      <w:pPr>
        <w:pStyle w:val="ECHRParaQuote"/>
      </w:pPr>
      <w:r w:rsidRPr="00F70631">
        <w:t xml:space="preserve">Preventive measures shall be imposed where there are sufficient grounds to believe that the suspect, accused, defendant or convicted person will attempt to abscond from </w:t>
      </w:r>
      <w:r w:rsidR="00B2587E">
        <w:t xml:space="preserve">the </w:t>
      </w:r>
      <w:r w:rsidRPr="00F70631">
        <w:t xml:space="preserve">investigation and the court, or if he fails to comply with procedural decisions, or obstructs the establishment of the truth in the case or pursues criminal activities. </w:t>
      </w:r>
      <w:r>
        <w:t>...</w:t>
      </w:r>
      <w:r w:rsidRPr="00F70631">
        <w:t>”</w:t>
      </w:r>
    </w:p>
    <w:p w:rsidR="0077149D" w:rsidP="0077149D" w:rsidRDefault="0077149D">
      <w:pPr>
        <w:pStyle w:val="ECHRTitleCentre3"/>
        <w:rPr>
          <w:lang w:eastAsia="en-GB"/>
        </w:rPr>
      </w:pPr>
      <w:r>
        <w:rPr>
          <w:lang w:eastAsia="en-GB"/>
        </w:rPr>
        <w:t>Article 149</w:t>
      </w:r>
      <w:r w:rsidR="00E03F4B">
        <w:rPr>
          <w:lang w:eastAsia="en-GB"/>
        </w:rPr>
        <w:t>.</w:t>
      </w:r>
      <w:r>
        <w:rPr>
          <w:lang w:eastAsia="en-GB"/>
        </w:rPr>
        <w:t xml:space="preserve"> Preventive measures</w:t>
      </w:r>
    </w:p>
    <w:p w:rsidR="0077149D" w:rsidP="0077149D" w:rsidRDefault="0077149D">
      <w:pPr>
        <w:pStyle w:val="ECHRParaQuote"/>
        <w:rPr>
          <w:lang w:eastAsia="en-GB"/>
        </w:rPr>
      </w:pPr>
      <w:r>
        <w:rPr>
          <w:lang w:eastAsia="en-GB"/>
        </w:rPr>
        <w:t>“The preventive measures are as follows:</w:t>
      </w:r>
    </w:p>
    <w:p w:rsidR="0077149D" w:rsidP="0077149D" w:rsidRDefault="0077149D">
      <w:pPr>
        <w:pStyle w:val="ECHRParaQuote"/>
        <w:rPr>
          <w:lang w:eastAsia="en-GB"/>
        </w:rPr>
      </w:pPr>
      <w:r>
        <w:rPr>
          <w:lang w:eastAsia="en-GB"/>
        </w:rPr>
        <w:t>(1)  a written undertaking not to abscond;</w:t>
      </w:r>
    </w:p>
    <w:p w:rsidR="0077149D" w:rsidP="0077149D" w:rsidRDefault="0077149D">
      <w:pPr>
        <w:pStyle w:val="ECHRParaQuote"/>
        <w:rPr>
          <w:lang w:eastAsia="en-GB"/>
        </w:rPr>
      </w:pPr>
      <w:r>
        <w:rPr>
          <w:lang w:eastAsia="en-GB"/>
        </w:rPr>
        <w:t>(2)  a personal guarantee;</w:t>
      </w:r>
    </w:p>
    <w:p w:rsidR="0077149D" w:rsidP="0077149D" w:rsidRDefault="0077149D">
      <w:pPr>
        <w:pStyle w:val="ECHRParaQuote"/>
        <w:rPr>
          <w:lang w:eastAsia="en-GB"/>
        </w:rPr>
      </w:pPr>
      <w:r>
        <w:rPr>
          <w:lang w:eastAsia="en-GB"/>
        </w:rPr>
        <w:t>(3)  the guarantee of a public organisation or labour collective;</w:t>
      </w:r>
    </w:p>
    <w:p w:rsidR="0077149D" w:rsidP="0077149D" w:rsidRDefault="0077149D">
      <w:pPr>
        <w:pStyle w:val="ECHRParaQuote"/>
        <w:rPr>
          <w:lang w:eastAsia="en-GB"/>
        </w:rPr>
      </w:pPr>
      <w:r>
        <w:rPr>
          <w:lang w:eastAsia="en-GB"/>
        </w:rPr>
        <w:t>(3-1)  bail;</w:t>
      </w:r>
    </w:p>
    <w:p w:rsidR="0077149D" w:rsidP="0077149D" w:rsidRDefault="0077149D">
      <w:pPr>
        <w:pStyle w:val="ECHRParaQuote"/>
        <w:rPr>
          <w:lang w:eastAsia="en-GB"/>
        </w:rPr>
      </w:pPr>
      <w:r>
        <w:rPr>
          <w:lang w:eastAsia="en-GB"/>
        </w:rPr>
        <w:t>(4)  </w:t>
      </w:r>
      <w:r w:rsidR="00CF440B">
        <w:rPr>
          <w:lang w:eastAsia="en-GB"/>
        </w:rPr>
        <w:t>remand</w:t>
      </w:r>
      <w:r>
        <w:rPr>
          <w:lang w:eastAsia="en-GB"/>
        </w:rPr>
        <w:t xml:space="preserve"> in custody;</w:t>
      </w:r>
    </w:p>
    <w:p w:rsidR="0077149D" w:rsidP="0077149D" w:rsidRDefault="0077149D">
      <w:pPr>
        <w:pStyle w:val="ECHRParaQuote"/>
        <w:rPr>
          <w:lang w:eastAsia="en-GB"/>
        </w:rPr>
      </w:pPr>
      <w:r>
        <w:rPr>
          <w:lang w:eastAsia="en-GB"/>
        </w:rPr>
        <w:t>(5)  supervision by the command of a military unit.</w:t>
      </w:r>
    </w:p>
    <w:p w:rsidR="0077149D" w:rsidP="0077149D" w:rsidRDefault="0077149D">
      <w:pPr>
        <w:pStyle w:val="ECHRParaQuote"/>
        <w:rPr>
          <w:lang w:eastAsia="en-GB"/>
        </w:rPr>
      </w:pPr>
      <w:r>
        <w:rPr>
          <w:lang w:eastAsia="en-GB"/>
        </w:rPr>
        <w:t>As a temporary preventive measure, a suspect may be detained on the grounds and pursuant to the procedure provided for by Articles 106, 115 and 165-2 of this Code.”</w:t>
      </w:r>
    </w:p>
    <w:p w:rsidR="0077149D" w:rsidP="0077149D" w:rsidRDefault="0077149D">
      <w:pPr>
        <w:pStyle w:val="ECHRTitleCentre3"/>
      </w:pPr>
      <w:r w:rsidRPr="00F35EF5">
        <w:t>Article 165-2</w:t>
      </w:r>
      <w:r w:rsidR="000F7746">
        <w:t>.</w:t>
      </w:r>
      <w:r>
        <w:t xml:space="preserve"> </w:t>
      </w:r>
      <w:r w:rsidRPr="00F35EF5">
        <w:t>Procedure for</w:t>
      </w:r>
      <w:r>
        <w:t xml:space="preserve"> </w:t>
      </w:r>
      <w:r w:rsidRPr="00F35EF5">
        <w:t>selection of a preventive measure</w:t>
      </w:r>
    </w:p>
    <w:p w:rsidR="0077149D" w:rsidP="0077149D" w:rsidRDefault="0077149D">
      <w:pPr>
        <w:pStyle w:val="ECHRParaQuote"/>
      </w:pPr>
      <w:r>
        <w:t>“At the stage of the pre-trial investigation, a non-custodial preventive measure shall be selected by the body of inquiry, the investigator, or the prosecutor.</w:t>
      </w:r>
    </w:p>
    <w:p w:rsidR="0077149D" w:rsidP="0077149D" w:rsidRDefault="0077149D">
      <w:pPr>
        <w:pStyle w:val="ECHRParaQuote"/>
      </w:pPr>
      <w:r>
        <w:t xml:space="preserve">If there are grounds for applying a custodial preventive measure, the body of inquiry or the investigator, </w:t>
      </w:r>
      <w:r w:rsidR="00CF440B">
        <w:t xml:space="preserve">with </w:t>
      </w:r>
      <w:r>
        <w:t>the prosecutor</w:t>
      </w:r>
      <w:r w:rsidR="006440D1">
        <w:t>’</w:t>
      </w:r>
      <w:r>
        <w:t>s consent, shall lodge</w:t>
      </w:r>
      <w:r w:rsidR="00E03F4B">
        <w:t xml:space="preserve"> a request with the court. </w:t>
      </w:r>
      <w:r w:rsidR="00472875">
        <w:t>...</w:t>
      </w:r>
    </w:p>
    <w:p w:rsidR="0077149D" w:rsidP="0077149D" w:rsidRDefault="0077149D">
      <w:pPr>
        <w:pStyle w:val="ECHRParaQuote"/>
      </w:pPr>
      <w:r>
        <w:t>The request shall be considered within seventy-two hours of the arrest of the suspect or accused.</w:t>
      </w:r>
    </w:p>
    <w:p w:rsidR="0077149D" w:rsidP="0077149D" w:rsidRDefault="0077149D">
      <w:pPr>
        <w:pStyle w:val="ECHRParaQuote"/>
      </w:pPr>
      <w:r>
        <w:t xml:space="preserve">If the </w:t>
      </w:r>
      <w:r w:rsidR="00E03F4B">
        <w:t>request</w:t>
      </w:r>
      <w:r>
        <w:t xml:space="preserve"> concerns the detention of a person who is at liberty, the judge shall have the power to issue a warrant for the arrest of such a person and for escorting him to the court. The preliminary detention in such cases shall not exceed seventy-two hours; and if the person concerned is outside the locality in which the court operates, it shall not exceed forty-eight hours from the time the arrested person </w:t>
      </w:r>
      <w:r w:rsidR="00CF440B">
        <w:t xml:space="preserve">is </w:t>
      </w:r>
      <w:r>
        <w:t>brought to the locality.</w:t>
      </w:r>
    </w:p>
    <w:p w:rsidR="0077149D" w:rsidP="0077149D" w:rsidRDefault="0077149D">
      <w:pPr>
        <w:pStyle w:val="ECHRParaQuote"/>
      </w:pPr>
      <w:r>
        <w:t xml:space="preserve">Upon receiving the </w:t>
      </w:r>
      <w:r w:rsidR="00E03F4B">
        <w:t>request</w:t>
      </w:r>
      <w:r>
        <w:t>, the judge shall examine the material in the case file submitted by the body of inquiry, the investigator, or the prosecutor. A judge shall question the suspect or the accused and, if necessary, hear evidence from the person in charge of the criminal case, obtain the opinion of the prosecutor</w:t>
      </w:r>
      <w:r w:rsidR="00CF440B">
        <w:t xml:space="preserve"> and</w:t>
      </w:r>
      <w:r>
        <w:t xml:space="preserve"> </w:t>
      </w:r>
      <w:r w:rsidRPr="004418A0">
        <w:rPr>
          <w:lang w:val="en-GB"/>
        </w:rPr>
        <w:t>defence</w:t>
      </w:r>
      <w:r>
        <w:t xml:space="preserve"> counsel, if the latter appeared before the court, and </w:t>
      </w:r>
      <w:r w:rsidR="00E03F4B">
        <w:t>take a decision</w:t>
      </w:r>
      <w:r>
        <w:t>:</w:t>
      </w:r>
    </w:p>
    <w:p w:rsidR="0077149D" w:rsidP="0077149D" w:rsidRDefault="00634A4A">
      <w:pPr>
        <w:pStyle w:val="ECHRParaQuote"/>
      </w:pPr>
      <w:r>
        <w:t>(1)  </w:t>
      </w:r>
      <w:proofErr w:type="gramStart"/>
      <w:r w:rsidR="0077149D">
        <w:t>refusing</w:t>
      </w:r>
      <w:proofErr w:type="gramEnd"/>
      <w:r w:rsidR="0077149D">
        <w:t xml:space="preserve"> to apply the [custodial] preventive measure if there are no grounds for doing so;</w:t>
      </w:r>
    </w:p>
    <w:p w:rsidR="0077149D" w:rsidP="0077149D" w:rsidRDefault="00634A4A">
      <w:pPr>
        <w:pStyle w:val="ECHRParaQuote"/>
      </w:pPr>
      <w:r>
        <w:t>(2)  </w:t>
      </w:r>
      <w:proofErr w:type="gramStart"/>
      <w:r w:rsidR="0077149D">
        <w:t>applying</w:t>
      </w:r>
      <w:proofErr w:type="gramEnd"/>
      <w:r w:rsidR="0077149D">
        <w:t xml:space="preserve"> the custodial preventive measure.</w:t>
      </w:r>
    </w:p>
    <w:p w:rsidR="0077149D" w:rsidP="0077149D" w:rsidRDefault="0077149D">
      <w:pPr>
        <w:pStyle w:val="ECHRParaQuote"/>
      </w:pPr>
      <w:r>
        <w:t xml:space="preserve">Having refused to apply </w:t>
      </w:r>
      <w:r w:rsidR="00FD53C8">
        <w:t xml:space="preserve">a </w:t>
      </w:r>
      <w:r>
        <w:t xml:space="preserve">custodial preventive measure, the court </w:t>
      </w:r>
      <w:r w:rsidR="00FD53C8">
        <w:t xml:space="preserve">may </w:t>
      </w:r>
      <w:r>
        <w:t>apply a non</w:t>
      </w:r>
      <w:r w:rsidR="00634A4A">
        <w:noBreakHyphen/>
      </w:r>
      <w:r>
        <w:t>custodial preventive measure in respect of the suspect or the accused.</w:t>
      </w:r>
    </w:p>
    <w:p w:rsidR="0077149D" w:rsidP="0077149D" w:rsidRDefault="0077149D">
      <w:pPr>
        <w:pStyle w:val="ECHRParaQuote"/>
      </w:pPr>
      <w:r>
        <w:t>The judge</w:t>
      </w:r>
      <w:r w:rsidR="006440D1">
        <w:t>’</w:t>
      </w:r>
      <w:r>
        <w:t xml:space="preserve">s </w:t>
      </w:r>
      <w:r w:rsidR="00E03F4B">
        <w:t>decision</w:t>
      </w:r>
      <w:r>
        <w:t xml:space="preserve"> may be appealed against to </w:t>
      </w:r>
      <w:r w:rsidR="00CF440B">
        <w:t xml:space="preserve">a </w:t>
      </w:r>
      <w:r>
        <w:t xml:space="preserve">court of appeal by the prosecutor, the suspect, the accused or his or her </w:t>
      </w:r>
      <w:proofErr w:type="spellStart"/>
      <w:r>
        <w:t>defence</w:t>
      </w:r>
      <w:proofErr w:type="spellEnd"/>
      <w:r>
        <w:t xml:space="preserve"> counsel or legal representative within three days of its delivery. The introduction of an appeal shall not suspend the execution of the judge</w:t>
      </w:r>
      <w:r w:rsidR="006440D1">
        <w:t>’</w:t>
      </w:r>
      <w:r>
        <w:t xml:space="preserve">s </w:t>
      </w:r>
      <w:r w:rsidR="00E03F4B">
        <w:t>decision</w:t>
      </w:r>
      <w:r>
        <w:t>.</w:t>
      </w:r>
    </w:p>
    <w:p w:rsidR="0077149D" w:rsidP="0077149D" w:rsidRDefault="0077149D">
      <w:pPr>
        <w:pStyle w:val="ECHRParaQuote"/>
      </w:pPr>
      <w:r>
        <w:t>If</w:t>
      </w:r>
      <w:r w:rsidR="00CF440B">
        <w:t>,</w:t>
      </w:r>
      <w:r>
        <w:t xml:space="preserve"> in order to select a preventive measure in respect of a detained person</w:t>
      </w:r>
      <w:r w:rsidR="00CF440B">
        <w:t>,</w:t>
      </w:r>
      <w:r>
        <w:t xml:space="preserve"> it is necessary to examine additional material concerning the personality of the detaine</w:t>
      </w:r>
      <w:r w:rsidR="00CF440B">
        <w:t>e</w:t>
      </w:r>
      <w:r>
        <w:t xml:space="preserve"> or to clarify other circumstances that are important for the adoption of the decision on this matter, the judge may extend the preliminary detention up to ten days or, if requested by the suspect or the accused, up to fifteen days. If it is necessary to examine additional material concerning </w:t>
      </w:r>
      <w:r w:rsidR="00CF440B">
        <w:t xml:space="preserve">a </w:t>
      </w:r>
      <w:r>
        <w:t xml:space="preserve">person who has not been arrested, the judge may adjourn the consideration of this issue for up to ten days and take measures for ensuring the proper conduct of that person or </w:t>
      </w:r>
      <w:r w:rsidR="00A768D0">
        <w:t xml:space="preserve">issue </w:t>
      </w:r>
      <w:r>
        <w:t xml:space="preserve">an order </w:t>
      </w:r>
      <w:r w:rsidR="00A768D0">
        <w:t xml:space="preserve">for </w:t>
      </w:r>
      <w:r w:rsidR="00C4659E">
        <w:t xml:space="preserve">his </w:t>
      </w:r>
      <w:r w:rsidR="00A768D0">
        <w:t xml:space="preserve">arrest and detention </w:t>
      </w:r>
      <w:r>
        <w:t>for the same period.”</w:t>
      </w:r>
    </w:p>
    <w:p w:rsidRPr="00C447AD" w:rsidR="00014566" w:rsidP="00014566" w:rsidRDefault="00014566">
      <w:pPr>
        <w:pStyle w:val="ECHRTitle1"/>
        <w:rPr>
          <w:lang w:val="en-GB"/>
        </w:rPr>
      </w:pPr>
      <w:r w:rsidRPr="00C447AD">
        <w:rPr>
          <w:lang w:val="en-GB"/>
        </w:rPr>
        <w:t>THE LAW</w:t>
      </w:r>
    </w:p>
    <w:p w:rsidRPr="00C447AD" w:rsidR="00014566" w:rsidP="00014566" w:rsidRDefault="00014566">
      <w:pPr>
        <w:pStyle w:val="ECHRHeading1"/>
        <w:rPr>
          <w:lang w:val="en-GB"/>
        </w:rPr>
      </w:pPr>
      <w:r w:rsidRPr="00C447AD">
        <w:rPr>
          <w:lang w:val="en-GB"/>
        </w:rPr>
        <w:t xml:space="preserve">I.  ALLEGED VIOLATION OF ARTICLE </w:t>
      </w:r>
      <w:r w:rsidR="00231B69">
        <w:rPr>
          <w:lang w:val="en-GB"/>
        </w:rPr>
        <w:t xml:space="preserve">5 § 1 </w:t>
      </w:r>
      <w:r w:rsidRPr="00C447AD">
        <w:rPr>
          <w:lang w:val="en-GB"/>
        </w:rPr>
        <w:t>OF THE CONVENTION</w:t>
      </w:r>
    </w:p>
    <w:p w:rsidR="00472875" w:rsidP="002C21AA" w:rsidRDefault="006440D1">
      <w:pPr>
        <w:pStyle w:val="ECHRPara"/>
      </w:pPr>
      <w:fldSimple w:instr=" SEQ level0 \*arabic ">
        <w:r w:rsidR="00664191">
          <w:rPr>
            <w:noProof/>
          </w:rPr>
          <w:t>20</w:t>
        </w:r>
      </w:fldSimple>
      <w:r w:rsidRPr="00C447AD" w:rsidR="00014566">
        <w:t>.  </w:t>
      </w:r>
      <w:r w:rsidRPr="00363418" w:rsidR="00363418">
        <w:t>The applicant complain</w:t>
      </w:r>
      <w:r w:rsidR="00363418">
        <w:t>ed</w:t>
      </w:r>
      <w:r w:rsidRPr="00363418" w:rsidR="00363418">
        <w:t xml:space="preserve"> that his arrest and detention, based on the investigator</w:t>
      </w:r>
      <w:r>
        <w:t>’</w:t>
      </w:r>
      <w:r w:rsidRPr="00363418" w:rsidR="00363418">
        <w:t xml:space="preserve">s decision of 27 November 2009, </w:t>
      </w:r>
      <w:r w:rsidR="00363418">
        <w:t>had been</w:t>
      </w:r>
      <w:r w:rsidRPr="00363418" w:rsidR="00363418">
        <w:t xml:space="preserve"> arbitrary.</w:t>
      </w:r>
      <w:r w:rsidR="002C21AA">
        <w:t xml:space="preserve"> He relied on Article 5 § 1 of the Convention</w:t>
      </w:r>
      <w:r w:rsidR="00C4659E">
        <w:t>, which</w:t>
      </w:r>
      <w:r w:rsidR="002C21AA">
        <w:t xml:space="preserve"> provides as </w:t>
      </w:r>
      <w:r w:rsidR="00E17525">
        <w:t>relevant</w:t>
      </w:r>
      <w:r w:rsidR="002C21AA">
        <w:t>:</w:t>
      </w:r>
    </w:p>
    <w:p w:rsidR="00472875" w:rsidP="002C21AA" w:rsidRDefault="00634A4A">
      <w:pPr>
        <w:pStyle w:val="ECHRParaQuote"/>
      </w:pPr>
      <w:r>
        <w:t>“1.</w:t>
      </w:r>
      <w:proofErr w:type="gramStart"/>
      <w:r>
        <w:t>  </w:t>
      </w:r>
      <w:r w:rsidR="002C21AA">
        <w:t>Everyone</w:t>
      </w:r>
      <w:proofErr w:type="gramEnd"/>
      <w:r w:rsidR="002C21AA">
        <w:t xml:space="preserve"> has the right to liberty and security of person. No one shall be deprived of his liberty save in the following cases and in accordance with a procedure prescribed by law:</w:t>
      </w:r>
    </w:p>
    <w:p w:rsidR="00472875" w:rsidP="002C21AA" w:rsidRDefault="002C21AA">
      <w:pPr>
        <w:pStyle w:val="ECHRParaQuote"/>
      </w:pPr>
      <w:r>
        <w:t>...</w:t>
      </w:r>
    </w:p>
    <w:p w:rsidR="002C21AA" w:rsidP="002C21AA" w:rsidRDefault="002C21AA">
      <w:pPr>
        <w:pStyle w:val="ECHRParaQuote"/>
      </w:pPr>
      <w:r>
        <w:t xml:space="preserve">(c) </w:t>
      </w:r>
      <w:proofErr w:type="gramStart"/>
      <w:r>
        <w:t>the</w:t>
      </w:r>
      <w:proofErr w:type="gramEnd"/>
      <w:r>
        <w:t xml:space="preserve"> lawful arrest or detention of a person effected for the purpose of bringing him before the competent legal authority on reasonable suspicion of having committed an offence or when it is reasonably considered necessary to prevent his committing an offence or fleeing after having done so”</w:t>
      </w:r>
      <w:r w:rsidR="00C4659E">
        <w:t>.</w:t>
      </w:r>
    </w:p>
    <w:p w:rsidRPr="00C447AD" w:rsidR="00014566" w:rsidP="00EB129E" w:rsidRDefault="00014566">
      <w:pPr>
        <w:pStyle w:val="ECHRHeading2"/>
        <w:rPr>
          <w:lang w:val="en-GB"/>
        </w:rPr>
      </w:pPr>
      <w:r w:rsidRPr="00C447AD">
        <w:rPr>
          <w:lang w:val="en-GB"/>
        </w:rPr>
        <w:t>A.  Admissibility</w:t>
      </w:r>
    </w:p>
    <w:p w:rsidRPr="00C447AD" w:rsidR="00014566" w:rsidP="00C621C2" w:rsidRDefault="00231B69">
      <w:pPr>
        <w:pStyle w:val="ECHRPara"/>
        <w:rPr>
          <w:lang w:val="en-GB"/>
        </w:rPr>
      </w:pPr>
      <w:r>
        <w:rPr>
          <w:lang w:val="en-GB"/>
        </w:rPr>
        <w:fldChar w:fldCharType="begin"/>
      </w:r>
      <w:r>
        <w:rPr>
          <w:lang w:val="en-GB"/>
        </w:rPr>
        <w:instrText xml:space="preserve"> SEQ level0 \*arabic </w:instrText>
      </w:r>
      <w:r>
        <w:rPr>
          <w:lang w:val="en-GB"/>
        </w:rPr>
        <w:fldChar w:fldCharType="separate"/>
      </w:r>
      <w:r w:rsidR="00664191">
        <w:rPr>
          <w:noProof/>
          <w:lang w:val="en-GB"/>
        </w:rPr>
        <w:t>21</w:t>
      </w:r>
      <w:r>
        <w:rPr>
          <w:lang w:val="en-GB"/>
        </w:rPr>
        <w:fldChar w:fldCharType="end"/>
      </w:r>
      <w:r w:rsidRPr="00C447AD" w:rsidR="00014566">
        <w:rPr>
          <w:lang w:val="en-GB"/>
        </w:rPr>
        <w:t>.  The Court notes that this complaint is not manifestly ill-founded within the meaning of Article 35 § 3 (a) of the Convention. It further notes that it is not inadmissible on any other grounds. It must therefore be declared admissible.</w:t>
      </w:r>
    </w:p>
    <w:p w:rsidRPr="00C447AD" w:rsidR="00014566" w:rsidP="00EB129E" w:rsidRDefault="00014566">
      <w:pPr>
        <w:pStyle w:val="ECHRHeading2"/>
        <w:rPr>
          <w:lang w:val="en-GB"/>
        </w:rPr>
      </w:pPr>
      <w:r w:rsidRPr="00C447AD">
        <w:rPr>
          <w:lang w:val="en-GB"/>
        </w:rPr>
        <w:t>B.  Merits</w:t>
      </w:r>
    </w:p>
    <w:p w:rsidR="00472875" w:rsidP="00145475" w:rsidRDefault="00231B69">
      <w:pPr>
        <w:pStyle w:val="ECHRPara"/>
        <w:rPr>
          <w:lang w:val="en-GB"/>
        </w:rPr>
      </w:pPr>
      <w:r>
        <w:rPr>
          <w:lang w:val="en-GB"/>
        </w:rPr>
        <w:fldChar w:fldCharType="begin"/>
      </w:r>
      <w:r>
        <w:rPr>
          <w:lang w:val="en-GB"/>
        </w:rPr>
        <w:instrText xml:space="preserve"> SEQ level0 \*arabic </w:instrText>
      </w:r>
      <w:r>
        <w:rPr>
          <w:lang w:val="en-GB"/>
        </w:rPr>
        <w:fldChar w:fldCharType="separate"/>
      </w:r>
      <w:r w:rsidR="00664191">
        <w:rPr>
          <w:noProof/>
          <w:lang w:val="en-GB"/>
        </w:rPr>
        <w:t>22</w:t>
      </w:r>
      <w:r>
        <w:rPr>
          <w:lang w:val="en-GB"/>
        </w:rPr>
        <w:fldChar w:fldCharType="end"/>
      </w:r>
      <w:r w:rsidRPr="00C447AD" w:rsidR="00014566">
        <w:rPr>
          <w:lang w:val="en-GB"/>
        </w:rPr>
        <w:t xml:space="preserve">.  The Government </w:t>
      </w:r>
      <w:r w:rsidR="00CE3BE7">
        <w:rPr>
          <w:lang w:val="en-GB"/>
        </w:rPr>
        <w:t xml:space="preserve">submitted that the applicant </w:t>
      </w:r>
      <w:r w:rsidR="00C4659E">
        <w:rPr>
          <w:lang w:val="en-GB"/>
        </w:rPr>
        <w:t xml:space="preserve">had been </w:t>
      </w:r>
      <w:r w:rsidR="00CE3BE7">
        <w:rPr>
          <w:lang w:val="en-GB"/>
        </w:rPr>
        <w:t xml:space="preserve">arrested as there had been a reasonable suspicion that he had committed </w:t>
      </w:r>
      <w:r w:rsidR="003A57EC">
        <w:rPr>
          <w:lang w:val="en-GB"/>
        </w:rPr>
        <w:t xml:space="preserve">the </w:t>
      </w:r>
      <w:r w:rsidR="00CE3BE7">
        <w:rPr>
          <w:lang w:val="en-GB"/>
        </w:rPr>
        <w:t>crime</w:t>
      </w:r>
      <w:r w:rsidR="003A57EC">
        <w:rPr>
          <w:lang w:val="en-GB"/>
        </w:rPr>
        <w:t>s</w:t>
      </w:r>
      <w:r w:rsidR="00CE3BE7">
        <w:rPr>
          <w:lang w:val="en-GB"/>
        </w:rPr>
        <w:t xml:space="preserve">. </w:t>
      </w:r>
      <w:r w:rsidR="00145475">
        <w:rPr>
          <w:lang w:val="en-GB"/>
        </w:rPr>
        <w:t>The matter was examined by the domestic courts</w:t>
      </w:r>
      <w:r w:rsidR="00C4659E">
        <w:rPr>
          <w:lang w:val="en-GB"/>
        </w:rPr>
        <w:t>,</w:t>
      </w:r>
      <w:r w:rsidR="00145475">
        <w:rPr>
          <w:lang w:val="en-GB"/>
        </w:rPr>
        <w:t xml:space="preserve"> </w:t>
      </w:r>
      <w:r w:rsidR="00C4659E">
        <w:rPr>
          <w:lang w:val="en-GB"/>
        </w:rPr>
        <w:t xml:space="preserve">which </w:t>
      </w:r>
      <w:r w:rsidR="00145475">
        <w:rPr>
          <w:lang w:val="en-GB"/>
        </w:rPr>
        <w:t>found that the investigator</w:t>
      </w:r>
      <w:r w:rsidR="006440D1">
        <w:rPr>
          <w:lang w:val="en-GB"/>
        </w:rPr>
        <w:t>’</w:t>
      </w:r>
      <w:r w:rsidR="00145475">
        <w:rPr>
          <w:lang w:val="en-GB"/>
        </w:rPr>
        <w:t xml:space="preserve">s decision </w:t>
      </w:r>
      <w:r w:rsidR="00C4659E">
        <w:rPr>
          <w:lang w:val="en-GB"/>
        </w:rPr>
        <w:t xml:space="preserve">had been </w:t>
      </w:r>
      <w:r w:rsidR="00145475">
        <w:rPr>
          <w:lang w:val="en-GB"/>
        </w:rPr>
        <w:t xml:space="preserve">in compliance with </w:t>
      </w:r>
      <w:r w:rsidR="00FD53C8">
        <w:rPr>
          <w:lang w:val="en-GB"/>
        </w:rPr>
        <w:t xml:space="preserve">the </w:t>
      </w:r>
      <w:r w:rsidR="00145475">
        <w:rPr>
          <w:lang w:val="en-GB"/>
        </w:rPr>
        <w:t>domestic law. The Government therefore maintained that the applicant</w:t>
      </w:r>
      <w:r w:rsidR="006440D1">
        <w:rPr>
          <w:lang w:val="en-GB"/>
        </w:rPr>
        <w:t>’</w:t>
      </w:r>
      <w:r w:rsidR="00145475">
        <w:rPr>
          <w:lang w:val="en-GB"/>
        </w:rPr>
        <w:t xml:space="preserve">s </w:t>
      </w:r>
      <w:r w:rsidR="00CE3BE7">
        <w:rPr>
          <w:lang w:val="en-GB"/>
        </w:rPr>
        <w:t>arrest and detention on the basis of the investigator</w:t>
      </w:r>
      <w:r w:rsidR="006440D1">
        <w:rPr>
          <w:lang w:val="en-GB"/>
        </w:rPr>
        <w:t>’</w:t>
      </w:r>
      <w:r w:rsidR="00CE3BE7">
        <w:rPr>
          <w:lang w:val="en-GB"/>
        </w:rPr>
        <w:t xml:space="preserve">s decision </w:t>
      </w:r>
      <w:r w:rsidR="00C4659E">
        <w:rPr>
          <w:lang w:val="en-GB"/>
        </w:rPr>
        <w:t xml:space="preserve">had been </w:t>
      </w:r>
      <w:r w:rsidR="00CE3BE7">
        <w:rPr>
          <w:lang w:val="en-GB"/>
        </w:rPr>
        <w:t>lawful, reasonable and justified.</w:t>
      </w:r>
    </w:p>
    <w:p w:rsidR="00766F47" w:rsidP="00C621C2" w:rsidRDefault="00145475">
      <w:pPr>
        <w:pStyle w:val="ECHRPara"/>
        <w:rPr>
          <w:lang w:val="en-GB"/>
        </w:rPr>
      </w:pPr>
      <w:r>
        <w:rPr>
          <w:lang w:val="en-GB"/>
        </w:rPr>
        <w:fldChar w:fldCharType="begin"/>
      </w:r>
      <w:r>
        <w:rPr>
          <w:lang w:val="en-GB"/>
        </w:rPr>
        <w:instrText xml:space="preserve"> SEQ level0 \*arabic </w:instrText>
      </w:r>
      <w:r>
        <w:rPr>
          <w:lang w:val="en-GB"/>
        </w:rPr>
        <w:fldChar w:fldCharType="separate"/>
      </w:r>
      <w:r w:rsidR="00664191">
        <w:rPr>
          <w:noProof/>
          <w:lang w:val="en-GB"/>
        </w:rPr>
        <w:t>23</w:t>
      </w:r>
      <w:r>
        <w:rPr>
          <w:lang w:val="en-GB"/>
        </w:rPr>
        <w:fldChar w:fldCharType="end"/>
      </w:r>
      <w:r>
        <w:rPr>
          <w:lang w:val="en-GB"/>
        </w:rPr>
        <w:t xml:space="preserve">.  The applicant disagreed and </w:t>
      </w:r>
      <w:r w:rsidR="00B147D1">
        <w:rPr>
          <w:lang w:val="en-GB"/>
        </w:rPr>
        <w:t xml:space="preserve">argued that he </w:t>
      </w:r>
      <w:r w:rsidR="00C4659E">
        <w:rPr>
          <w:lang w:val="en-GB"/>
        </w:rPr>
        <w:t xml:space="preserve">had been </w:t>
      </w:r>
      <w:r w:rsidR="00B147D1">
        <w:rPr>
          <w:lang w:val="en-GB"/>
        </w:rPr>
        <w:t>arrested arbitrarily</w:t>
      </w:r>
      <w:r w:rsidR="00FD53C8">
        <w:rPr>
          <w:lang w:val="en-GB"/>
        </w:rPr>
        <w:t>.</w:t>
      </w:r>
    </w:p>
    <w:p w:rsidR="002269A9" w:rsidP="00C621C2" w:rsidRDefault="00231B69">
      <w:pPr>
        <w:pStyle w:val="ECHRPara"/>
        <w:rPr>
          <w:lang w:val="en-GB"/>
        </w:rPr>
      </w:pPr>
      <w:r>
        <w:rPr>
          <w:lang w:val="en-GB"/>
        </w:rPr>
        <w:fldChar w:fldCharType="begin"/>
      </w:r>
      <w:r>
        <w:rPr>
          <w:lang w:val="en-GB"/>
        </w:rPr>
        <w:instrText xml:space="preserve"> SEQ level0 \*arabic </w:instrText>
      </w:r>
      <w:r>
        <w:rPr>
          <w:lang w:val="en-GB"/>
        </w:rPr>
        <w:fldChar w:fldCharType="separate"/>
      </w:r>
      <w:r w:rsidR="00664191">
        <w:rPr>
          <w:noProof/>
          <w:lang w:val="en-GB"/>
        </w:rPr>
        <w:t>24</w:t>
      </w:r>
      <w:r>
        <w:rPr>
          <w:lang w:val="en-GB"/>
        </w:rPr>
        <w:fldChar w:fldCharType="end"/>
      </w:r>
      <w:r w:rsidRPr="00C447AD" w:rsidR="00014566">
        <w:rPr>
          <w:lang w:val="en-GB"/>
        </w:rPr>
        <w:t xml:space="preserve">.  The Court reiterates that </w:t>
      </w:r>
      <w:r w:rsidR="002269A9">
        <w:rPr>
          <w:lang w:val="en-GB"/>
        </w:rPr>
        <w:t>u</w:t>
      </w:r>
      <w:r w:rsidR="002269A9">
        <w:t xml:space="preserve">nder Article 5 § 1 (c) a person may be detained in the context of criminal proceedings only for the purpose of bringing him before the competent legal authority on reasonable suspicion of his having committed an offence. A “reasonable suspicion” that a criminal offence has been committed presupposes the existence of facts or information that would satisfy an </w:t>
      </w:r>
      <w:bookmarkStart w:name="HIT1" w:id="2"/>
      <w:bookmarkEnd w:id="2"/>
      <w:r w:rsidR="002269A9">
        <w:t xml:space="preserve">objective </w:t>
      </w:r>
      <w:bookmarkStart w:name="HIT2" w:id="3"/>
      <w:bookmarkEnd w:id="3"/>
      <w:r w:rsidR="002269A9">
        <w:t xml:space="preserve">observer that the </w:t>
      </w:r>
      <w:bookmarkStart w:name="HIT3" w:id="4"/>
      <w:bookmarkEnd w:id="4"/>
      <w:r w:rsidR="002269A9">
        <w:t xml:space="preserve">person </w:t>
      </w:r>
      <w:bookmarkStart w:name="HIT4" w:id="5"/>
      <w:bookmarkEnd w:id="5"/>
      <w:r w:rsidR="002269A9">
        <w:t xml:space="preserve">concerned </w:t>
      </w:r>
      <w:bookmarkStart w:name="HIT5" w:id="6"/>
      <w:bookmarkEnd w:id="6"/>
      <w:r w:rsidR="002269A9">
        <w:t xml:space="preserve">may </w:t>
      </w:r>
      <w:bookmarkStart w:name="HIT6" w:id="7"/>
      <w:bookmarkEnd w:id="7"/>
      <w:r w:rsidR="002269A9">
        <w:t xml:space="preserve">have </w:t>
      </w:r>
      <w:bookmarkStart w:name="HIT7" w:id="8"/>
      <w:bookmarkEnd w:id="8"/>
      <w:r w:rsidR="002269A9">
        <w:t xml:space="preserve">committed an </w:t>
      </w:r>
      <w:bookmarkStart w:name="HIT8" w:id="9"/>
      <w:bookmarkEnd w:id="9"/>
      <w:r w:rsidR="002269A9">
        <w:t xml:space="preserve">offence (see </w:t>
      </w:r>
      <w:r w:rsidRPr="00E02652" w:rsidR="002269A9">
        <w:rPr>
          <w:i/>
        </w:rPr>
        <w:t>Włoch v. Poland</w:t>
      </w:r>
      <w:r w:rsidR="002269A9">
        <w:t>, no.</w:t>
      </w:r>
      <w:r w:rsidR="00E02652">
        <w:t> </w:t>
      </w:r>
      <w:r w:rsidRPr="00E02652" w:rsidR="00E02652">
        <w:t>27785/95</w:t>
      </w:r>
      <w:r w:rsidR="002269A9">
        <w:t>, § 108, ECHR 2000</w:t>
      </w:r>
      <w:r w:rsidR="002269A9">
        <w:noBreakHyphen/>
        <w:t>XI).</w:t>
      </w:r>
    </w:p>
    <w:p w:rsidR="00472875" w:rsidP="00C621C2" w:rsidRDefault="002269A9">
      <w:pPr>
        <w:pStyle w:val="ECHRPara"/>
      </w:pPr>
      <w:r>
        <w:rPr>
          <w:lang w:val="en-GB"/>
        </w:rPr>
        <w:fldChar w:fldCharType="begin"/>
      </w:r>
      <w:r>
        <w:rPr>
          <w:lang w:val="en-GB"/>
        </w:rPr>
        <w:instrText xml:space="preserve"> SEQ level0 \*arabic </w:instrText>
      </w:r>
      <w:r>
        <w:rPr>
          <w:lang w:val="en-GB"/>
        </w:rPr>
        <w:fldChar w:fldCharType="separate"/>
      </w:r>
      <w:r w:rsidR="00664191">
        <w:rPr>
          <w:noProof/>
          <w:lang w:val="en-GB"/>
        </w:rPr>
        <w:t>25</w:t>
      </w:r>
      <w:r>
        <w:rPr>
          <w:lang w:val="en-GB"/>
        </w:rPr>
        <w:fldChar w:fldCharType="end"/>
      </w:r>
      <w:r>
        <w:rPr>
          <w:lang w:val="en-GB"/>
        </w:rPr>
        <w:t>.  </w:t>
      </w:r>
      <w:r>
        <w:t>The expressions “lawful” and “in accordance with a procedure prescribed by law” in Article 5 § 1 essentially refer back to national law and enshrine the obligation to conform to the substantive and procedural rules thereof. Although it is in the first place for the national authorities, notably the courts, to interpret and apply domestic law, under Article 5 § 1 failure to comply with domestic law entails a breach of the Convention</w:t>
      </w:r>
      <w:r w:rsidR="00C4659E">
        <w:t>,</w:t>
      </w:r>
      <w:r>
        <w:t xml:space="preserve"> and the Court can and should review whether </w:t>
      </w:r>
      <w:r w:rsidR="00C4659E">
        <w:t xml:space="preserve">that </w:t>
      </w:r>
      <w:r>
        <w:t xml:space="preserve">law has been complied with (see, among many other references, </w:t>
      </w:r>
      <w:r w:rsidRPr="002269A9">
        <w:rPr>
          <w:i/>
        </w:rPr>
        <w:t>Benham v. the United Kingdom</w:t>
      </w:r>
      <w:r>
        <w:t xml:space="preserve">, 10 June 1996, § 41, </w:t>
      </w:r>
      <w:r w:rsidRPr="004418A0">
        <w:rPr>
          <w:i/>
        </w:rPr>
        <w:t xml:space="preserve">Reports </w:t>
      </w:r>
      <w:r w:rsidRPr="004418A0" w:rsidR="00C4659E">
        <w:rPr>
          <w:i/>
        </w:rPr>
        <w:t>of Judgments and Decisions</w:t>
      </w:r>
      <w:r w:rsidR="00C4659E">
        <w:t xml:space="preserve"> </w:t>
      </w:r>
      <w:r>
        <w:t xml:space="preserve">1996-III, and </w:t>
      </w:r>
      <w:proofErr w:type="spellStart"/>
      <w:r w:rsidRPr="002269A9">
        <w:rPr>
          <w:i/>
        </w:rPr>
        <w:t>Assanidze</w:t>
      </w:r>
      <w:proofErr w:type="spellEnd"/>
      <w:r w:rsidRPr="002269A9">
        <w:rPr>
          <w:i/>
        </w:rPr>
        <w:t xml:space="preserve"> v.</w:t>
      </w:r>
      <w:r w:rsidR="00634A4A">
        <w:rPr>
          <w:i/>
        </w:rPr>
        <w:t> </w:t>
      </w:r>
      <w:r w:rsidRPr="002269A9">
        <w:rPr>
          <w:i/>
        </w:rPr>
        <w:t>Georgia</w:t>
      </w:r>
      <w:r>
        <w:t xml:space="preserve"> [GC], no.</w:t>
      </w:r>
      <w:r w:rsidRPr="00F36674" w:rsidR="00F36674">
        <w:t xml:space="preserve"> 71503/01</w:t>
      </w:r>
      <w:r>
        <w:t>, § 171, ECHR 2004-II).</w:t>
      </w:r>
    </w:p>
    <w:p w:rsidRPr="00E02652" w:rsidR="002269A9" w:rsidP="00C621C2" w:rsidRDefault="005445CC">
      <w:pPr>
        <w:pStyle w:val="ECHRPara"/>
        <w:rPr>
          <w:i/>
          <w:szCs w:val="24"/>
          <w:lang w:val="en-GB"/>
        </w:rPr>
      </w:pPr>
      <w:r>
        <w:fldChar w:fldCharType="begin"/>
      </w:r>
      <w:r>
        <w:instrText xml:space="preserve"> SEQ level0 \*arabic </w:instrText>
      </w:r>
      <w:r>
        <w:fldChar w:fldCharType="separate"/>
      </w:r>
      <w:r w:rsidR="00664191">
        <w:rPr>
          <w:noProof/>
        </w:rPr>
        <w:t>26</w:t>
      </w:r>
      <w:r>
        <w:rPr>
          <w:noProof/>
        </w:rPr>
        <w:fldChar w:fldCharType="end"/>
      </w:r>
      <w:r w:rsidR="002269A9">
        <w:t>.  The “lawfulness” of detention under domestic law is the primary, but not always the decisive element. The Court must, in addition, be satisfied that the detention, during the period under consideration, was compatible with the purpose of Article 5 § 1 of the Convention, which is to prevent persons from being deprived of their liberty in an arbitrary manner (see</w:t>
      </w:r>
      <w:r w:rsidR="00E02652">
        <w:t xml:space="preserve"> </w:t>
      </w:r>
      <w:r w:rsidRPr="00B668D2" w:rsidR="00E02652">
        <w:rPr>
          <w:i/>
          <w:lang w:val="en-GB"/>
        </w:rPr>
        <w:t>Oleksiy Mykhaylovych Zakharkin v. Ukraine</w:t>
      </w:r>
      <w:r w:rsidRPr="00B668D2" w:rsidR="00E02652">
        <w:rPr>
          <w:lang w:val="en-GB"/>
        </w:rPr>
        <w:t>, no. 1727/04</w:t>
      </w:r>
      <w:r w:rsidRPr="00B668D2" w:rsidR="00E02652">
        <w:rPr>
          <w:snapToGrid w:val="0"/>
          <w:szCs w:val="24"/>
          <w:lang w:val="en-GB"/>
        </w:rPr>
        <w:t>, §</w:t>
      </w:r>
      <w:r w:rsidR="00E02652">
        <w:rPr>
          <w:snapToGrid w:val="0"/>
          <w:szCs w:val="24"/>
          <w:lang w:val="en-GB"/>
        </w:rPr>
        <w:t> 84</w:t>
      </w:r>
      <w:r w:rsidRPr="00B668D2" w:rsidR="00E02652">
        <w:rPr>
          <w:snapToGrid w:val="0"/>
          <w:szCs w:val="24"/>
          <w:lang w:val="en-GB"/>
        </w:rPr>
        <w:t>, 2</w:t>
      </w:r>
      <w:r w:rsidRPr="00B668D2" w:rsidR="00E02652">
        <w:rPr>
          <w:szCs w:val="24"/>
          <w:lang w:val="en-GB"/>
        </w:rPr>
        <w:t>4</w:t>
      </w:r>
      <w:r w:rsidRPr="00B668D2" w:rsidR="00E02652">
        <w:rPr>
          <w:snapToGrid w:val="0"/>
          <w:szCs w:val="24"/>
          <w:lang w:val="en-GB"/>
        </w:rPr>
        <w:t xml:space="preserve"> June 2010</w:t>
      </w:r>
      <w:r w:rsidR="002269A9">
        <w:t xml:space="preserve">). In order for deprivation of liberty to be considered free from arbitrariness, it does not suffice that this measure is executed in conformity with national law; it must also be necessary in the circumstances (see </w:t>
      </w:r>
      <w:r w:rsidRPr="002269A9" w:rsidR="002269A9">
        <w:rPr>
          <w:i/>
        </w:rPr>
        <w:t>Nešťák v. Slovakia</w:t>
      </w:r>
      <w:r w:rsidR="002269A9">
        <w:t>, no. </w:t>
      </w:r>
      <w:r w:rsidRPr="00761884" w:rsidR="00761884">
        <w:t>65559/01</w:t>
      </w:r>
      <w:r w:rsidR="002269A9">
        <w:t>, § 74, 27 February 2007</w:t>
      </w:r>
      <w:r w:rsidR="00E02652">
        <w:t>,</w:t>
      </w:r>
      <w:r w:rsidR="002269A9">
        <w:t xml:space="preserve"> </w:t>
      </w:r>
      <w:proofErr w:type="spellStart"/>
      <w:r w:rsidRPr="00B668D2" w:rsidR="002269A9">
        <w:rPr>
          <w:i/>
          <w:lang w:val="en-GB"/>
        </w:rPr>
        <w:t>Khayredinov</w:t>
      </w:r>
      <w:proofErr w:type="spellEnd"/>
      <w:r w:rsidRPr="00B668D2" w:rsidR="002269A9">
        <w:rPr>
          <w:i/>
          <w:lang w:val="en-GB"/>
        </w:rPr>
        <w:t xml:space="preserve"> v.</w:t>
      </w:r>
      <w:r w:rsidR="00634A4A">
        <w:rPr>
          <w:i/>
          <w:lang w:val="en-GB"/>
        </w:rPr>
        <w:t> </w:t>
      </w:r>
      <w:r w:rsidRPr="00B668D2" w:rsidR="002269A9">
        <w:rPr>
          <w:i/>
          <w:lang w:val="en-GB"/>
        </w:rPr>
        <w:t>Ukraine</w:t>
      </w:r>
      <w:r w:rsidRPr="00B668D2" w:rsidR="002269A9">
        <w:rPr>
          <w:lang w:val="en-GB"/>
        </w:rPr>
        <w:t>, no. 38717/04</w:t>
      </w:r>
      <w:r w:rsidRPr="00B668D2" w:rsidR="002269A9">
        <w:rPr>
          <w:snapToGrid w:val="0"/>
          <w:szCs w:val="24"/>
          <w:lang w:val="en-GB"/>
        </w:rPr>
        <w:t>, §</w:t>
      </w:r>
      <w:r w:rsidR="002269A9">
        <w:rPr>
          <w:snapToGrid w:val="0"/>
          <w:szCs w:val="24"/>
          <w:lang w:val="en-GB"/>
        </w:rPr>
        <w:t> 27</w:t>
      </w:r>
      <w:r w:rsidRPr="00B668D2" w:rsidR="002269A9">
        <w:rPr>
          <w:snapToGrid w:val="0"/>
          <w:szCs w:val="24"/>
          <w:lang w:val="en-GB"/>
        </w:rPr>
        <w:t>, 14 October 2010</w:t>
      </w:r>
      <w:r w:rsidR="00E02652">
        <w:rPr>
          <w:snapToGrid w:val="0"/>
          <w:szCs w:val="24"/>
          <w:lang w:val="en-GB"/>
        </w:rPr>
        <w:t xml:space="preserve"> and </w:t>
      </w:r>
      <w:proofErr w:type="spellStart"/>
      <w:r w:rsidRPr="00B668D2" w:rsidR="00E02652">
        <w:rPr>
          <w:i/>
          <w:lang w:val="en-GB"/>
        </w:rPr>
        <w:t>Korneykova</w:t>
      </w:r>
      <w:proofErr w:type="spellEnd"/>
      <w:r w:rsidRPr="00B668D2" w:rsidR="00E02652">
        <w:rPr>
          <w:i/>
          <w:lang w:val="en-GB"/>
        </w:rPr>
        <w:t xml:space="preserve"> v.</w:t>
      </w:r>
      <w:r w:rsidR="00634A4A">
        <w:rPr>
          <w:i/>
          <w:lang w:val="en-GB"/>
        </w:rPr>
        <w:t> </w:t>
      </w:r>
      <w:r w:rsidRPr="00B668D2" w:rsidR="00E02652">
        <w:rPr>
          <w:i/>
          <w:lang w:val="en-GB"/>
        </w:rPr>
        <w:t>Ukraine</w:t>
      </w:r>
      <w:r w:rsidR="00EB129E">
        <w:rPr>
          <w:lang w:val="en-GB"/>
        </w:rPr>
        <w:t>, no. </w:t>
      </w:r>
      <w:r w:rsidRPr="00B668D2" w:rsidR="00E02652">
        <w:rPr>
          <w:lang w:val="en-GB"/>
        </w:rPr>
        <w:t>39884/05</w:t>
      </w:r>
      <w:r w:rsidRPr="00B668D2" w:rsidR="00E02652">
        <w:rPr>
          <w:snapToGrid w:val="0"/>
          <w:szCs w:val="24"/>
          <w:lang w:val="en-GB"/>
        </w:rPr>
        <w:t xml:space="preserve">, § </w:t>
      </w:r>
      <w:r w:rsidR="00E02652">
        <w:rPr>
          <w:snapToGrid w:val="0"/>
          <w:szCs w:val="24"/>
          <w:lang w:val="en-GB"/>
        </w:rPr>
        <w:t>34</w:t>
      </w:r>
      <w:r w:rsidRPr="00B668D2" w:rsidR="00E02652">
        <w:rPr>
          <w:snapToGrid w:val="0"/>
          <w:szCs w:val="24"/>
          <w:lang w:val="en-GB"/>
        </w:rPr>
        <w:t>, 19 January 2012</w:t>
      </w:r>
      <w:r w:rsidR="002269A9">
        <w:t>).</w:t>
      </w:r>
    </w:p>
    <w:p w:rsidRPr="00D31E10" w:rsidR="00347629" w:rsidP="00F933AF" w:rsidRDefault="001432C6">
      <w:pPr>
        <w:pStyle w:val="ECHRPara"/>
        <w:rPr>
          <w:i/>
          <w:lang w:val="en-GB"/>
        </w:rPr>
      </w:pPr>
      <w:r>
        <w:rPr>
          <w:lang w:val="en-GB"/>
        </w:rPr>
        <w:fldChar w:fldCharType="begin"/>
      </w:r>
      <w:r>
        <w:rPr>
          <w:lang w:val="en-GB"/>
        </w:rPr>
        <w:instrText xml:space="preserve"> SEQ level0 \*arabic </w:instrText>
      </w:r>
      <w:r>
        <w:rPr>
          <w:lang w:val="en-GB"/>
        </w:rPr>
        <w:fldChar w:fldCharType="separate"/>
      </w:r>
      <w:r w:rsidR="00664191">
        <w:rPr>
          <w:noProof/>
          <w:lang w:val="en-GB"/>
        </w:rPr>
        <w:t>27</w:t>
      </w:r>
      <w:r>
        <w:rPr>
          <w:lang w:val="en-GB"/>
        </w:rPr>
        <w:fldChar w:fldCharType="end"/>
      </w:r>
      <w:r>
        <w:rPr>
          <w:lang w:val="en-GB"/>
        </w:rPr>
        <w:t>.  </w:t>
      </w:r>
      <w:r w:rsidRPr="001432C6">
        <w:rPr>
          <w:lang w:val="en-GB"/>
        </w:rPr>
        <w:t xml:space="preserve">The Court notes that at </w:t>
      </w:r>
      <w:r>
        <w:rPr>
          <w:lang w:val="en-GB"/>
        </w:rPr>
        <w:t>10</w:t>
      </w:r>
      <w:r w:rsidRPr="001432C6">
        <w:rPr>
          <w:lang w:val="en-GB"/>
        </w:rPr>
        <w:t>.</w:t>
      </w:r>
      <w:r>
        <w:rPr>
          <w:lang w:val="en-GB"/>
        </w:rPr>
        <w:t>15</w:t>
      </w:r>
      <w:r w:rsidRPr="001432C6">
        <w:rPr>
          <w:lang w:val="en-GB"/>
        </w:rPr>
        <w:t xml:space="preserve"> p.m. on 2</w:t>
      </w:r>
      <w:r>
        <w:rPr>
          <w:lang w:val="en-GB"/>
        </w:rPr>
        <w:t>7</w:t>
      </w:r>
      <w:r w:rsidRPr="001432C6">
        <w:rPr>
          <w:lang w:val="en-GB"/>
        </w:rPr>
        <w:t xml:space="preserve"> November 200</w:t>
      </w:r>
      <w:r>
        <w:rPr>
          <w:lang w:val="en-GB"/>
        </w:rPr>
        <w:t>9</w:t>
      </w:r>
      <w:r w:rsidRPr="001432C6">
        <w:rPr>
          <w:lang w:val="en-GB"/>
        </w:rPr>
        <w:t xml:space="preserve"> the investigator </w:t>
      </w:r>
      <w:r>
        <w:rPr>
          <w:lang w:val="en-GB"/>
        </w:rPr>
        <w:t xml:space="preserve">decided to arrest </w:t>
      </w:r>
      <w:r w:rsidRPr="001432C6">
        <w:rPr>
          <w:lang w:val="en-GB"/>
        </w:rPr>
        <w:t>the applicant</w:t>
      </w:r>
      <w:r w:rsidR="009C4703">
        <w:rPr>
          <w:lang w:val="en-GB"/>
        </w:rPr>
        <w:t xml:space="preserve"> in connection with the events which </w:t>
      </w:r>
      <w:r w:rsidR="00C4659E">
        <w:rPr>
          <w:lang w:val="en-GB"/>
        </w:rPr>
        <w:t xml:space="preserve">had taken </w:t>
      </w:r>
      <w:r w:rsidR="009C4703">
        <w:rPr>
          <w:lang w:val="en-GB"/>
        </w:rPr>
        <w:t>place about half a year</w:t>
      </w:r>
      <w:r w:rsidR="00C4659E">
        <w:rPr>
          <w:lang w:val="en-GB"/>
        </w:rPr>
        <w:t xml:space="preserve"> earlier</w:t>
      </w:r>
      <w:r w:rsidRPr="001432C6">
        <w:rPr>
          <w:lang w:val="en-GB"/>
        </w:rPr>
        <w:t xml:space="preserve">. The applicant was detained on the basis of that </w:t>
      </w:r>
      <w:r>
        <w:rPr>
          <w:lang w:val="en-GB"/>
        </w:rPr>
        <w:t xml:space="preserve">decision </w:t>
      </w:r>
      <w:r w:rsidRPr="001432C6">
        <w:rPr>
          <w:lang w:val="en-GB"/>
        </w:rPr>
        <w:t xml:space="preserve">until </w:t>
      </w:r>
      <w:r>
        <w:rPr>
          <w:lang w:val="en-GB"/>
        </w:rPr>
        <w:t>30</w:t>
      </w:r>
      <w:r w:rsidRPr="001432C6">
        <w:rPr>
          <w:lang w:val="en-GB"/>
        </w:rPr>
        <w:t xml:space="preserve"> November 200</w:t>
      </w:r>
      <w:r>
        <w:rPr>
          <w:lang w:val="en-GB"/>
        </w:rPr>
        <w:t>9</w:t>
      </w:r>
      <w:r w:rsidRPr="001432C6">
        <w:rPr>
          <w:lang w:val="en-GB"/>
        </w:rPr>
        <w:t>. The investigator did not obtain a preliminary arrest warrant from a court, as required by Artic</w:t>
      </w:r>
      <w:r w:rsidR="00EB129E">
        <w:rPr>
          <w:lang w:val="en-GB"/>
        </w:rPr>
        <w:t>le </w:t>
      </w:r>
      <w:r w:rsidRPr="001432C6">
        <w:rPr>
          <w:lang w:val="en-GB"/>
        </w:rPr>
        <w:t xml:space="preserve">29 of the Constitution and Article 165-2 § 4 of the CCP, but based his decision to arrest the applicant without a </w:t>
      </w:r>
      <w:r w:rsidR="00EB129E">
        <w:rPr>
          <w:lang w:val="en-GB"/>
        </w:rPr>
        <w:t>court order on Articles 106 and </w:t>
      </w:r>
      <w:r w:rsidRPr="001432C6">
        <w:rPr>
          <w:lang w:val="en-GB"/>
        </w:rPr>
        <w:t>115 of the CCP. According to the report, the applicant was arrested because he had been identified by eyewitness</w:t>
      </w:r>
      <w:r>
        <w:rPr>
          <w:lang w:val="en-GB"/>
        </w:rPr>
        <w:t>es as a person who had committed a crime</w:t>
      </w:r>
      <w:r w:rsidRPr="001432C6">
        <w:rPr>
          <w:lang w:val="en-GB"/>
        </w:rPr>
        <w:t xml:space="preserve">. </w:t>
      </w:r>
      <w:r>
        <w:rPr>
          <w:lang w:val="en-GB"/>
        </w:rPr>
        <w:t xml:space="preserve">The report did not </w:t>
      </w:r>
      <w:r w:rsidR="00F933AF">
        <w:rPr>
          <w:lang w:val="en-GB"/>
        </w:rPr>
        <w:t>indicate</w:t>
      </w:r>
      <w:r>
        <w:rPr>
          <w:lang w:val="en-GB"/>
        </w:rPr>
        <w:t xml:space="preserve"> who had identified the applicant</w:t>
      </w:r>
      <w:r w:rsidR="00BF70DC">
        <w:rPr>
          <w:lang w:val="en-GB"/>
        </w:rPr>
        <w:t xml:space="preserve">, </w:t>
      </w:r>
      <w:r w:rsidR="00C4659E">
        <w:rPr>
          <w:lang w:val="en-GB"/>
        </w:rPr>
        <w:t xml:space="preserve">or </w:t>
      </w:r>
      <w:r w:rsidR="00BF70DC">
        <w:rPr>
          <w:lang w:val="en-GB"/>
        </w:rPr>
        <w:t>exactly</w:t>
      </w:r>
      <w:r>
        <w:rPr>
          <w:lang w:val="en-GB"/>
        </w:rPr>
        <w:t xml:space="preserve"> </w:t>
      </w:r>
      <w:r w:rsidR="00C4659E">
        <w:rPr>
          <w:lang w:val="en-GB"/>
        </w:rPr>
        <w:t xml:space="preserve">what crime </w:t>
      </w:r>
      <w:r>
        <w:rPr>
          <w:lang w:val="en-GB"/>
        </w:rPr>
        <w:t xml:space="preserve">the </w:t>
      </w:r>
      <w:r w:rsidR="00BF70DC">
        <w:rPr>
          <w:lang w:val="en-GB"/>
        </w:rPr>
        <w:t xml:space="preserve">eyewitnesses </w:t>
      </w:r>
      <w:r w:rsidR="00C4659E">
        <w:rPr>
          <w:lang w:val="en-GB"/>
        </w:rPr>
        <w:t xml:space="preserve">had </w:t>
      </w:r>
      <w:r w:rsidR="00BF70DC">
        <w:rPr>
          <w:lang w:val="en-GB"/>
        </w:rPr>
        <w:t xml:space="preserve">observed </w:t>
      </w:r>
      <w:r w:rsidR="00F933AF">
        <w:rPr>
          <w:lang w:val="en-GB"/>
        </w:rPr>
        <w:t>the applicant committing</w:t>
      </w:r>
      <w:r w:rsidR="00BF70DC">
        <w:rPr>
          <w:lang w:val="en-GB"/>
        </w:rPr>
        <w:t xml:space="preserve">. </w:t>
      </w:r>
      <w:r w:rsidR="00C4659E">
        <w:rPr>
          <w:lang w:val="en-GB"/>
        </w:rPr>
        <w:t xml:space="preserve">Given the absence of that </w:t>
      </w:r>
      <w:r w:rsidR="004813EC">
        <w:rPr>
          <w:lang w:val="en-GB"/>
        </w:rPr>
        <w:t xml:space="preserve">basic </w:t>
      </w:r>
      <w:r w:rsidR="00D31E10">
        <w:rPr>
          <w:lang w:val="en-GB"/>
        </w:rPr>
        <w:t>information, the arrest report did not provide a meaningful guarantee to show that the applicant</w:t>
      </w:r>
      <w:r w:rsidR="006440D1">
        <w:rPr>
          <w:lang w:val="en-GB"/>
        </w:rPr>
        <w:t>’</w:t>
      </w:r>
      <w:r w:rsidR="00D31E10">
        <w:rPr>
          <w:lang w:val="en-GB"/>
        </w:rPr>
        <w:t xml:space="preserve">s arrest </w:t>
      </w:r>
      <w:r w:rsidR="00C4659E">
        <w:rPr>
          <w:lang w:val="en-GB"/>
        </w:rPr>
        <w:t xml:space="preserve">had been </w:t>
      </w:r>
      <w:r w:rsidR="00D31E10">
        <w:rPr>
          <w:lang w:val="en-GB"/>
        </w:rPr>
        <w:t xml:space="preserve">effected on the basis of </w:t>
      </w:r>
      <w:r w:rsidR="00C4659E">
        <w:rPr>
          <w:lang w:val="en-GB"/>
        </w:rPr>
        <w:t xml:space="preserve">a </w:t>
      </w:r>
      <w:r w:rsidR="00D31E10">
        <w:rPr>
          <w:lang w:val="en-GB"/>
        </w:rPr>
        <w:t xml:space="preserve">reasonable suspicion that </w:t>
      </w:r>
      <w:r w:rsidR="00C4659E">
        <w:rPr>
          <w:lang w:val="en-GB"/>
        </w:rPr>
        <w:t xml:space="preserve">he </w:t>
      </w:r>
      <w:r w:rsidR="00D31E10">
        <w:rPr>
          <w:lang w:val="en-GB"/>
        </w:rPr>
        <w:t xml:space="preserve">had committed an offence (see </w:t>
      </w:r>
      <w:r w:rsidRPr="00B668D2" w:rsidR="00D31E10">
        <w:rPr>
          <w:i/>
          <w:lang w:val="en-GB"/>
        </w:rPr>
        <w:t>Grinenko v. Ukraine,</w:t>
      </w:r>
      <w:r w:rsidRPr="00B668D2" w:rsidR="00D31E10">
        <w:rPr>
          <w:lang w:val="en-GB"/>
        </w:rPr>
        <w:t xml:space="preserve"> no. 33627/06</w:t>
      </w:r>
      <w:r w:rsidRPr="00B668D2" w:rsidR="00D31E10">
        <w:rPr>
          <w:snapToGrid w:val="0"/>
          <w:lang w:val="en-GB"/>
        </w:rPr>
        <w:t>, §</w:t>
      </w:r>
      <w:r w:rsidR="00D31E10">
        <w:rPr>
          <w:snapToGrid w:val="0"/>
          <w:lang w:val="en-GB"/>
        </w:rPr>
        <w:t> 83</w:t>
      </w:r>
      <w:r w:rsidR="00EB129E">
        <w:rPr>
          <w:snapToGrid w:val="0"/>
          <w:lang w:val="en-GB"/>
        </w:rPr>
        <w:t>, 15 </w:t>
      </w:r>
      <w:r w:rsidRPr="00B668D2" w:rsidR="00D31E10">
        <w:rPr>
          <w:snapToGrid w:val="0"/>
          <w:lang w:val="en-GB"/>
        </w:rPr>
        <w:t>November 2012</w:t>
      </w:r>
      <w:r w:rsidR="00D31E10">
        <w:rPr>
          <w:lang w:val="en-GB"/>
        </w:rPr>
        <w:t>).</w:t>
      </w:r>
    </w:p>
    <w:p w:rsidR="00152DF7" w:rsidP="00F933AF" w:rsidRDefault="006711EC">
      <w:pPr>
        <w:pStyle w:val="ECHRPara"/>
        <w:rPr>
          <w:lang w:val="en-GB"/>
        </w:rPr>
      </w:pPr>
      <w:r>
        <w:rPr>
          <w:lang w:val="en-GB"/>
        </w:rPr>
        <w:fldChar w:fldCharType="begin"/>
      </w:r>
      <w:r>
        <w:rPr>
          <w:lang w:val="en-GB"/>
        </w:rPr>
        <w:instrText xml:space="preserve"> SEQ level0 \*arabic </w:instrText>
      </w:r>
      <w:r>
        <w:rPr>
          <w:lang w:val="en-GB"/>
        </w:rPr>
        <w:fldChar w:fldCharType="separate"/>
      </w:r>
      <w:r w:rsidR="00664191">
        <w:rPr>
          <w:noProof/>
          <w:lang w:val="en-GB"/>
        </w:rPr>
        <w:t>28</w:t>
      </w:r>
      <w:r>
        <w:rPr>
          <w:lang w:val="en-GB"/>
        </w:rPr>
        <w:fldChar w:fldCharType="end"/>
      </w:r>
      <w:r>
        <w:rPr>
          <w:lang w:val="en-GB"/>
        </w:rPr>
        <w:t>.  </w:t>
      </w:r>
      <w:r w:rsidR="009C4703">
        <w:rPr>
          <w:lang w:val="en-GB"/>
        </w:rPr>
        <w:t>Nevertheless, s</w:t>
      </w:r>
      <w:r w:rsidR="00BF70DC">
        <w:rPr>
          <w:lang w:val="en-GB"/>
        </w:rPr>
        <w:t>ubsequently</w:t>
      </w:r>
      <w:r w:rsidR="009C4703">
        <w:rPr>
          <w:lang w:val="en-GB"/>
        </w:rPr>
        <w:t xml:space="preserve"> </w:t>
      </w:r>
      <w:r w:rsidR="00BF70DC">
        <w:rPr>
          <w:lang w:val="en-GB"/>
        </w:rPr>
        <w:t xml:space="preserve">the courts </w:t>
      </w:r>
      <w:r w:rsidR="00C4659E">
        <w:rPr>
          <w:lang w:val="en-GB"/>
        </w:rPr>
        <w:t xml:space="preserve">reviewed </w:t>
      </w:r>
      <w:r w:rsidR="00BF70DC">
        <w:rPr>
          <w:lang w:val="en-GB"/>
        </w:rPr>
        <w:t xml:space="preserve">the available witness statements </w:t>
      </w:r>
      <w:r w:rsidR="00C4659E">
        <w:rPr>
          <w:lang w:val="en-GB"/>
        </w:rPr>
        <w:t xml:space="preserve">and </w:t>
      </w:r>
      <w:r w:rsidR="009C4703">
        <w:rPr>
          <w:lang w:val="en-GB"/>
        </w:rPr>
        <w:t xml:space="preserve">found </w:t>
      </w:r>
      <w:r w:rsidR="00BF70DC">
        <w:rPr>
          <w:lang w:val="en-GB"/>
        </w:rPr>
        <w:t xml:space="preserve">that the investigator </w:t>
      </w:r>
      <w:r w:rsidR="00C4659E">
        <w:rPr>
          <w:lang w:val="en-GB"/>
        </w:rPr>
        <w:t xml:space="preserve">did </w:t>
      </w:r>
      <w:r w:rsidR="00F9005C">
        <w:rPr>
          <w:lang w:val="en-GB"/>
        </w:rPr>
        <w:t xml:space="preserve">in fact </w:t>
      </w:r>
      <w:r w:rsidR="00C4659E">
        <w:rPr>
          <w:lang w:val="en-GB"/>
        </w:rPr>
        <w:t xml:space="preserve">have </w:t>
      </w:r>
      <w:r w:rsidR="00BF70DC">
        <w:rPr>
          <w:lang w:val="en-GB"/>
        </w:rPr>
        <w:t xml:space="preserve">grounds to consider </w:t>
      </w:r>
      <w:r w:rsidR="00F933AF">
        <w:rPr>
          <w:lang w:val="en-GB"/>
        </w:rPr>
        <w:t>that the</w:t>
      </w:r>
      <w:r w:rsidR="00BF70DC">
        <w:rPr>
          <w:lang w:val="en-GB"/>
        </w:rPr>
        <w:t xml:space="preserve"> witnesses </w:t>
      </w:r>
      <w:r w:rsidR="00F933AF">
        <w:rPr>
          <w:lang w:val="en-GB"/>
        </w:rPr>
        <w:t xml:space="preserve">had </w:t>
      </w:r>
      <w:r w:rsidR="00B261B4">
        <w:rPr>
          <w:lang w:val="en-GB"/>
        </w:rPr>
        <w:t xml:space="preserve">identified </w:t>
      </w:r>
      <w:r w:rsidR="00BF70DC">
        <w:rPr>
          <w:lang w:val="en-GB"/>
        </w:rPr>
        <w:t xml:space="preserve">the applicant as a person who had committed the </w:t>
      </w:r>
      <w:r w:rsidR="003A57EC">
        <w:rPr>
          <w:lang w:val="en-GB"/>
        </w:rPr>
        <w:t xml:space="preserve">alleged </w:t>
      </w:r>
      <w:r w:rsidR="00BF70DC">
        <w:rPr>
          <w:lang w:val="en-GB"/>
        </w:rPr>
        <w:t>crime</w:t>
      </w:r>
      <w:r w:rsidR="00F933AF">
        <w:rPr>
          <w:lang w:val="en-GB"/>
        </w:rPr>
        <w:t>s</w:t>
      </w:r>
      <w:r w:rsidR="00BF70DC">
        <w:rPr>
          <w:lang w:val="en-GB"/>
        </w:rPr>
        <w:t>.</w:t>
      </w:r>
      <w:r w:rsidR="009C4703">
        <w:rPr>
          <w:lang w:val="en-GB"/>
        </w:rPr>
        <w:t xml:space="preserve"> However</w:t>
      </w:r>
      <w:r w:rsidR="00F933AF">
        <w:rPr>
          <w:lang w:val="en-GB"/>
        </w:rPr>
        <w:t>, neither the investigator in his arrest report nor the domestic courts reviewing the investigator</w:t>
      </w:r>
      <w:r w:rsidR="006440D1">
        <w:rPr>
          <w:lang w:val="en-GB"/>
        </w:rPr>
        <w:t>’</w:t>
      </w:r>
      <w:r w:rsidR="00F933AF">
        <w:rPr>
          <w:lang w:val="en-GB"/>
        </w:rPr>
        <w:t xml:space="preserve">s decision </w:t>
      </w:r>
      <w:r w:rsidR="002F21E1">
        <w:rPr>
          <w:lang w:val="en-GB"/>
        </w:rPr>
        <w:t>gave</w:t>
      </w:r>
      <w:r w:rsidR="00BF70DC">
        <w:rPr>
          <w:lang w:val="en-GB"/>
        </w:rPr>
        <w:t xml:space="preserve"> reasons </w:t>
      </w:r>
      <w:r>
        <w:rPr>
          <w:lang w:val="en-GB"/>
        </w:rPr>
        <w:t xml:space="preserve">showing </w:t>
      </w:r>
      <w:r w:rsidR="002F21E1">
        <w:rPr>
          <w:lang w:val="en-GB"/>
        </w:rPr>
        <w:t xml:space="preserve">that the </w:t>
      </w:r>
      <w:r w:rsidR="00347629">
        <w:rPr>
          <w:lang w:val="en-GB"/>
        </w:rPr>
        <w:t>applicant</w:t>
      </w:r>
      <w:r w:rsidR="006440D1">
        <w:rPr>
          <w:lang w:val="en-GB"/>
        </w:rPr>
        <w:t>’</w:t>
      </w:r>
      <w:r w:rsidR="00347629">
        <w:rPr>
          <w:lang w:val="en-GB"/>
        </w:rPr>
        <w:t xml:space="preserve">s </w:t>
      </w:r>
      <w:r w:rsidR="002F21E1">
        <w:rPr>
          <w:lang w:val="en-GB"/>
        </w:rPr>
        <w:t xml:space="preserve">preliminary </w:t>
      </w:r>
      <w:r w:rsidR="00347629">
        <w:rPr>
          <w:lang w:val="en-GB"/>
        </w:rPr>
        <w:t xml:space="preserve">detention, </w:t>
      </w:r>
      <w:r w:rsidR="002F21E1">
        <w:rPr>
          <w:lang w:val="en-GB"/>
        </w:rPr>
        <w:t>as a</w:t>
      </w:r>
      <w:r w:rsidR="00BF70DC">
        <w:rPr>
          <w:lang w:val="en-GB"/>
        </w:rPr>
        <w:t xml:space="preserve"> temporary preventive measure </w:t>
      </w:r>
      <w:r w:rsidR="00F933AF">
        <w:rPr>
          <w:lang w:val="en-GB"/>
        </w:rPr>
        <w:t xml:space="preserve">in terms of Article 149 of the </w:t>
      </w:r>
      <w:r w:rsidR="00347629">
        <w:rPr>
          <w:lang w:val="en-GB"/>
        </w:rPr>
        <w:t>CCP,</w:t>
      </w:r>
      <w:r w:rsidR="00F933AF">
        <w:rPr>
          <w:lang w:val="en-GB"/>
        </w:rPr>
        <w:t xml:space="preserve"> </w:t>
      </w:r>
      <w:r w:rsidR="00BF70DC">
        <w:rPr>
          <w:lang w:val="en-GB"/>
        </w:rPr>
        <w:t xml:space="preserve">was </w:t>
      </w:r>
      <w:r w:rsidR="00F933AF">
        <w:rPr>
          <w:lang w:val="en-GB"/>
        </w:rPr>
        <w:t xml:space="preserve">a </w:t>
      </w:r>
      <w:r w:rsidR="00BF70DC">
        <w:rPr>
          <w:lang w:val="en-GB"/>
        </w:rPr>
        <w:t>necessary</w:t>
      </w:r>
      <w:r w:rsidR="00F933AF">
        <w:rPr>
          <w:lang w:val="en-GB"/>
        </w:rPr>
        <w:t xml:space="preserve"> procedural step</w:t>
      </w:r>
      <w:r w:rsidR="009C4703">
        <w:rPr>
          <w:lang w:val="en-GB"/>
        </w:rPr>
        <w:t xml:space="preserve"> aimed at preventing certain risks for the proceedings</w:t>
      </w:r>
      <w:r w:rsidR="00347629">
        <w:rPr>
          <w:lang w:val="en-GB"/>
        </w:rPr>
        <w:t xml:space="preserve">. The domestic authorities did not </w:t>
      </w:r>
      <w:r w:rsidR="00E17525">
        <w:rPr>
          <w:lang w:val="en-GB"/>
        </w:rPr>
        <w:t xml:space="preserve">establish and </w:t>
      </w:r>
      <w:r w:rsidR="00CA366E">
        <w:rPr>
          <w:lang w:val="en-GB"/>
        </w:rPr>
        <w:t xml:space="preserve">substantiate </w:t>
      </w:r>
      <w:r w:rsidR="002F21E1">
        <w:rPr>
          <w:lang w:val="en-GB"/>
        </w:rPr>
        <w:t xml:space="preserve">any of the </w:t>
      </w:r>
      <w:r w:rsidR="00347629">
        <w:rPr>
          <w:lang w:val="en-GB"/>
        </w:rPr>
        <w:t xml:space="preserve">specific purposes </w:t>
      </w:r>
      <w:r w:rsidR="002F21E1">
        <w:rPr>
          <w:lang w:val="en-GB"/>
        </w:rPr>
        <w:t xml:space="preserve">for </w:t>
      </w:r>
      <w:r w:rsidR="00333C65">
        <w:rPr>
          <w:lang w:val="en-GB"/>
        </w:rPr>
        <w:t>applying</w:t>
      </w:r>
      <w:r w:rsidR="002F21E1">
        <w:rPr>
          <w:lang w:val="en-GB"/>
        </w:rPr>
        <w:t xml:space="preserve"> preventive measure</w:t>
      </w:r>
      <w:r w:rsidR="00D31E10">
        <w:rPr>
          <w:lang w:val="en-GB"/>
        </w:rPr>
        <w:t xml:space="preserve"> </w:t>
      </w:r>
      <w:r w:rsidR="00FE457B">
        <w:rPr>
          <w:lang w:val="en-GB"/>
        </w:rPr>
        <w:t xml:space="preserve">in accordance with </w:t>
      </w:r>
      <w:r w:rsidR="00D31E10">
        <w:rPr>
          <w:lang w:val="en-GB"/>
        </w:rPr>
        <w:t>the domestic law</w:t>
      </w:r>
      <w:r w:rsidR="00152DF7">
        <w:rPr>
          <w:lang w:val="en-GB"/>
        </w:rPr>
        <w:t xml:space="preserve">. </w:t>
      </w:r>
      <w:r w:rsidR="002F21E1">
        <w:rPr>
          <w:lang w:val="en-GB"/>
        </w:rPr>
        <w:t>In that regard</w:t>
      </w:r>
      <w:r w:rsidR="00FE457B">
        <w:rPr>
          <w:lang w:val="en-GB"/>
        </w:rPr>
        <w:t>,</w:t>
      </w:r>
      <w:r w:rsidR="002F21E1">
        <w:rPr>
          <w:lang w:val="en-GB"/>
        </w:rPr>
        <w:t xml:space="preserve"> the Court </w:t>
      </w:r>
      <w:r w:rsidR="000B30AD">
        <w:rPr>
          <w:lang w:val="en-GB"/>
        </w:rPr>
        <w:t>notes that on</w:t>
      </w:r>
      <w:r w:rsidR="002F21E1">
        <w:rPr>
          <w:lang w:val="en-GB"/>
        </w:rPr>
        <w:t xml:space="preserve"> 7</w:t>
      </w:r>
      <w:r w:rsidR="009C4703">
        <w:rPr>
          <w:lang w:val="en-GB"/>
        </w:rPr>
        <w:t> </w:t>
      </w:r>
      <w:r w:rsidR="002F21E1">
        <w:rPr>
          <w:lang w:val="en-GB"/>
        </w:rPr>
        <w:t xml:space="preserve">December 2009 the investigator released the applicant </w:t>
      </w:r>
      <w:r>
        <w:rPr>
          <w:lang w:val="en-GB"/>
        </w:rPr>
        <w:t xml:space="preserve">from detention </w:t>
      </w:r>
      <w:r w:rsidR="002F21E1">
        <w:rPr>
          <w:lang w:val="en-GB"/>
        </w:rPr>
        <w:t xml:space="preserve">after </w:t>
      </w:r>
      <w:r>
        <w:rPr>
          <w:lang w:val="en-GB"/>
        </w:rPr>
        <w:t xml:space="preserve">finding that there </w:t>
      </w:r>
      <w:r w:rsidR="00B261B4">
        <w:rPr>
          <w:lang w:val="en-GB"/>
        </w:rPr>
        <w:t xml:space="preserve">was </w:t>
      </w:r>
      <w:r w:rsidR="002F21E1">
        <w:rPr>
          <w:lang w:val="en-GB"/>
        </w:rPr>
        <w:t xml:space="preserve">no information that </w:t>
      </w:r>
      <w:r w:rsidR="00FE457B">
        <w:rPr>
          <w:lang w:val="en-GB"/>
        </w:rPr>
        <w:t xml:space="preserve">he </w:t>
      </w:r>
      <w:r w:rsidR="002F21E1">
        <w:rPr>
          <w:lang w:val="en-GB"/>
        </w:rPr>
        <w:t xml:space="preserve">would abscond or hinder the investigation. </w:t>
      </w:r>
      <w:r w:rsidR="009C4703">
        <w:rPr>
          <w:lang w:val="en-GB"/>
        </w:rPr>
        <w:t xml:space="preserve">It is </w:t>
      </w:r>
      <w:r w:rsidR="000B30AD">
        <w:rPr>
          <w:lang w:val="en-GB"/>
        </w:rPr>
        <w:t xml:space="preserve">also </w:t>
      </w:r>
      <w:r w:rsidR="009C4703">
        <w:rPr>
          <w:lang w:val="en-GB"/>
        </w:rPr>
        <w:t>notable that that decision was taken with due attention to the applicant</w:t>
      </w:r>
      <w:r w:rsidR="006440D1">
        <w:rPr>
          <w:lang w:val="en-GB"/>
        </w:rPr>
        <w:t>’</w:t>
      </w:r>
      <w:r w:rsidR="009C4703">
        <w:rPr>
          <w:lang w:val="en-GB"/>
        </w:rPr>
        <w:t>s p</w:t>
      </w:r>
      <w:r w:rsidR="00152DF7">
        <w:rPr>
          <w:lang w:val="en-GB"/>
        </w:rPr>
        <w:t>ersonal and family situation</w:t>
      </w:r>
      <w:r w:rsidR="009C4703">
        <w:rPr>
          <w:lang w:val="en-GB"/>
        </w:rPr>
        <w:t>.</w:t>
      </w:r>
    </w:p>
    <w:p w:rsidR="00BF70DC" w:rsidP="001432C6" w:rsidRDefault="006711EC">
      <w:pPr>
        <w:pStyle w:val="ECHRPara"/>
        <w:rPr>
          <w:lang w:val="en-GB"/>
        </w:rPr>
      </w:pPr>
      <w:r>
        <w:rPr>
          <w:lang w:val="en-GB"/>
        </w:rPr>
        <w:fldChar w:fldCharType="begin"/>
      </w:r>
      <w:r>
        <w:rPr>
          <w:lang w:val="en-GB"/>
        </w:rPr>
        <w:instrText xml:space="preserve"> SEQ level0 \*arabic </w:instrText>
      </w:r>
      <w:r>
        <w:rPr>
          <w:lang w:val="en-GB"/>
        </w:rPr>
        <w:fldChar w:fldCharType="separate"/>
      </w:r>
      <w:r w:rsidR="00664191">
        <w:rPr>
          <w:noProof/>
          <w:lang w:val="en-GB"/>
        </w:rPr>
        <w:t>29</w:t>
      </w:r>
      <w:r>
        <w:rPr>
          <w:lang w:val="en-GB"/>
        </w:rPr>
        <w:fldChar w:fldCharType="end"/>
      </w:r>
      <w:r>
        <w:rPr>
          <w:lang w:val="en-GB"/>
        </w:rPr>
        <w:t>.  Having regard to the above considerations, t</w:t>
      </w:r>
      <w:r w:rsidRPr="001432C6">
        <w:rPr>
          <w:lang w:val="en-GB"/>
        </w:rPr>
        <w:t>he Court finds that the applicant</w:t>
      </w:r>
      <w:r w:rsidR="006440D1">
        <w:rPr>
          <w:lang w:val="en-GB"/>
        </w:rPr>
        <w:t>’</w:t>
      </w:r>
      <w:r w:rsidRPr="001432C6">
        <w:rPr>
          <w:lang w:val="en-GB"/>
        </w:rPr>
        <w:t xml:space="preserve">s detention, based on the </w:t>
      </w:r>
      <w:r w:rsidR="00D31E10">
        <w:rPr>
          <w:lang w:val="en-GB"/>
        </w:rPr>
        <w:t>investigator</w:t>
      </w:r>
      <w:r w:rsidR="006440D1">
        <w:rPr>
          <w:lang w:val="en-GB"/>
        </w:rPr>
        <w:t>’</w:t>
      </w:r>
      <w:r w:rsidR="00D31E10">
        <w:rPr>
          <w:lang w:val="en-GB"/>
        </w:rPr>
        <w:t xml:space="preserve">s decision of </w:t>
      </w:r>
      <w:r w:rsidRPr="001432C6">
        <w:rPr>
          <w:lang w:val="en-GB"/>
        </w:rPr>
        <w:t>2</w:t>
      </w:r>
      <w:r>
        <w:rPr>
          <w:lang w:val="en-GB"/>
        </w:rPr>
        <w:t>7</w:t>
      </w:r>
      <w:r w:rsidRPr="001432C6">
        <w:rPr>
          <w:lang w:val="en-GB"/>
        </w:rPr>
        <w:t xml:space="preserve"> November 200</w:t>
      </w:r>
      <w:r>
        <w:rPr>
          <w:lang w:val="en-GB"/>
        </w:rPr>
        <w:t>9</w:t>
      </w:r>
      <w:r w:rsidRPr="001432C6">
        <w:rPr>
          <w:lang w:val="en-GB"/>
        </w:rPr>
        <w:t xml:space="preserve">, </w:t>
      </w:r>
      <w:r w:rsidR="009C4703">
        <w:rPr>
          <w:lang w:val="en-GB"/>
        </w:rPr>
        <w:t>was</w:t>
      </w:r>
      <w:r w:rsidRPr="001432C6">
        <w:rPr>
          <w:lang w:val="en-GB"/>
        </w:rPr>
        <w:t xml:space="preserve"> incompatible with the requirements of Article 5 § 1 (c) of the Convention. There has therefore been a violation of </w:t>
      </w:r>
      <w:r w:rsidR="00E17525">
        <w:rPr>
          <w:lang w:val="en-GB"/>
        </w:rPr>
        <w:t>Article 5 § 1 of the Convention</w:t>
      </w:r>
      <w:r w:rsidRPr="001432C6">
        <w:rPr>
          <w:lang w:val="en-GB"/>
        </w:rPr>
        <w:t>.</w:t>
      </w:r>
    </w:p>
    <w:p w:rsidRPr="00C447AD" w:rsidR="00014566" w:rsidP="00014566" w:rsidRDefault="002C21AA">
      <w:pPr>
        <w:pStyle w:val="ECHRHeading1"/>
        <w:rPr>
          <w:lang w:val="en-GB"/>
        </w:rPr>
      </w:pPr>
      <w:r>
        <w:rPr>
          <w:lang w:val="en-GB"/>
        </w:rPr>
        <w:t>II</w:t>
      </w:r>
      <w:r w:rsidRPr="00C447AD" w:rsidR="00014566">
        <w:rPr>
          <w:lang w:val="en-GB"/>
        </w:rPr>
        <w:t xml:space="preserve">.  ALLEGED VIOLATION OF ARTICLE </w:t>
      </w:r>
      <w:r>
        <w:rPr>
          <w:lang w:val="en-GB"/>
        </w:rPr>
        <w:t>5 § 4</w:t>
      </w:r>
      <w:r w:rsidRPr="00C447AD" w:rsidR="00014566">
        <w:rPr>
          <w:lang w:val="en-GB"/>
        </w:rPr>
        <w:t xml:space="preserve"> OF THE CONVENTION</w:t>
      </w:r>
    </w:p>
    <w:p w:rsidR="00472875" w:rsidP="00C621C2" w:rsidRDefault="00231B69">
      <w:pPr>
        <w:pStyle w:val="ECHRPara"/>
      </w:pPr>
      <w:r>
        <w:rPr>
          <w:lang w:val="en-GB"/>
        </w:rPr>
        <w:fldChar w:fldCharType="begin"/>
      </w:r>
      <w:r>
        <w:rPr>
          <w:lang w:val="en-GB"/>
        </w:rPr>
        <w:instrText xml:space="preserve"> SEQ level0 \*arabic </w:instrText>
      </w:r>
      <w:r>
        <w:rPr>
          <w:lang w:val="en-GB"/>
        </w:rPr>
        <w:fldChar w:fldCharType="separate"/>
      </w:r>
      <w:r w:rsidR="00664191">
        <w:rPr>
          <w:noProof/>
          <w:lang w:val="en-GB"/>
        </w:rPr>
        <w:t>30</w:t>
      </w:r>
      <w:r>
        <w:rPr>
          <w:lang w:val="en-GB"/>
        </w:rPr>
        <w:fldChar w:fldCharType="end"/>
      </w:r>
      <w:r w:rsidRPr="00C447AD" w:rsidR="00014566">
        <w:rPr>
          <w:lang w:val="en-GB"/>
        </w:rPr>
        <w:t xml:space="preserve">.  The applicant complained </w:t>
      </w:r>
      <w:r w:rsidR="00605835">
        <w:rPr>
          <w:lang w:val="en-GB"/>
        </w:rPr>
        <w:t xml:space="preserve">that </w:t>
      </w:r>
      <w:r w:rsidR="00BE3066">
        <w:rPr>
          <w:lang w:val="en-GB"/>
        </w:rPr>
        <w:t xml:space="preserve">he </w:t>
      </w:r>
      <w:r w:rsidR="00FE457B">
        <w:rPr>
          <w:lang w:val="en-GB"/>
        </w:rPr>
        <w:t xml:space="preserve">had been unable </w:t>
      </w:r>
      <w:r w:rsidR="00BE3066">
        <w:rPr>
          <w:lang w:val="en-GB"/>
        </w:rPr>
        <w:t xml:space="preserve">effectively </w:t>
      </w:r>
      <w:r w:rsidR="00FE457B">
        <w:rPr>
          <w:lang w:val="en-GB"/>
        </w:rPr>
        <w:t xml:space="preserve">to </w:t>
      </w:r>
      <w:r w:rsidR="00BE3066">
        <w:rPr>
          <w:lang w:val="en-GB"/>
        </w:rPr>
        <w:t xml:space="preserve">challenge </w:t>
      </w:r>
      <w:r w:rsidR="00605835">
        <w:t>his arrest and detention.</w:t>
      </w:r>
    </w:p>
    <w:p w:rsidR="00605835" w:rsidP="00C621C2" w:rsidRDefault="006440D1">
      <w:pPr>
        <w:pStyle w:val="ECHRPara"/>
      </w:pPr>
      <w:fldSimple w:instr=" SEQ level0 \*arabic ">
        <w:r w:rsidR="00664191">
          <w:rPr>
            <w:noProof/>
          </w:rPr>
          <w:t>31</w:t>
        </w:r>
      </w:fldSimple>
      <w:r w:rsidR="0094494E">
        <w:t>.  </w:t>
      </w:r>
      <w:r w:rsidR="00605835">
        <w:t>The Court considers that the complaint falls under Article 5 §</w:t>
      </w:r>
      <w:r w:rsidR="0094494E">
        <w:t> </w:t>
      </w:r>
      <w:r w:rsidR="00605835">
        <w:t>4 of the Convention</w:t>
      </w:r>
      <w:r w:rsidR="00FE457B">
        <w:t>,</w:t>
      </w:r>
      <w:r w:rsidR="00605835">
        <w:t xml:space="preserve"> </w:t>
      </w:r>
      <w:r w:rsidR="0094494E">
        <w:t>which provides as follows:</w:t>
      </w:r>
    </w:p>
    <w:p w:rsidRPr="00BE3066" w:rsidR="00BE3066" w:rsidP="00BE3066" w:rsidRDefault="00BE3066">
      <w:pPr>
        <w:pStyle w:val="ECHRParaQuote"/>
      </w:pPr>
      <w:r>
        <w:t>“</w:t>
      </w:r>
      <w:r w:rsidRPr="00BE3066">
        <w:t>4.  Everyone who is deprived of his liberty by arrest or detention shall be entitled to take proceedings by which the lawfulness of his detention shall be decided speedily by a court and his release ordered if the detention is not lawful.</w:t>
      </w:r>
      <w:r>
        <w:t>”</w:t>
      </w:r>
    </w:p>
    <w:p w:rsidRPr="00C447AD" w:rsidR="002C21AA" w:rsidP="00EB129E" w:rsidRDefault="002C21AA">
      <w:pPr>
        <w:pStyle w:val="ECHRHeading2"/>
        <w:rPr>
          <w:lang w:val="en-GB"/>
        </w:rPr>
      </w:pPr>
      <w:r w:rsidRPr="00C447AD">
        <w:rPr>
          <w:lang w:val="en-GB"/>
        </w:rPr>
        <w:t>A.  Admissibility</w:t>
      </w:r>
    </w:p>
    <w:p w:rsidRPr="00C447AD" w:rsidR="002C21AA" w:rsidP="002C21AA" w:rsidRDefault="002C21AA">
      <w:pPr>
        <w:pStyle w:val="ECHRPara"/>
        <w:rPr>
          <w:lang w:val="en-GB"/>
        </w:rPr>
      </w:pPr>
      <w:r>
        <w:rPr>
          <w:lang w:val="en-GB"/>
        </w:rPr>
        <w:fldChar w:fldCharType="begin"/>
      </w:r>
      <w:r>
        <w:rPr>
          <w:lang w:val="en-GB"/>
        </w:rPr>
        <w:instrText xml:space="preserve"> SEQ level0 \*arabic </w:instrText>
      </w:r>
      <w:r>
        <w:rPr>
          <w:lang w:val="en-GB"/>
        </w:rPr>
        <w:fldChar w:fldCharType="separate"/>
      </w:r>
      <w:r w:rsidR="00664191">
        <w:rPr>
          <w:noProof/>
          <w:lang w:val="en-GB"/>
        </w:rPr>
        <w:t>32</w:t>
      </w:r>
      <w:r>
        <w:rPr>
          <w:lang w:val="en-GB"/>
        </w:rPr>
        <w:fldChar w:fldCharType="end"/>
      </w:r>
      <w:r w:rsidRPr="00C447AD">
        <w:rPr>
          <w:lang w:val="en-GB"/>
        </w:rPr>
        <w:t>.  The Court notes that this complaint is not manifestly ill-founded within the meaning of Article 35 § 3 (a) of the Convention. It further notes that it is not inadmissible on any other grounds. It must therefore be declared admissible.</w:t>
      </w:r>
    </w:p>
    <w:p w:rsidRPr="00C447AD" w:rsidR="002C21AA" w:rsidP="00EB129E" w:rsidRDefault="002C21AA">
      <w:pPr>
        <w:pStyle w:val="ECHRHeading2"/>
        <w:rPr>
          <w:lang w:val="en-GB"/>
        </w:rPr>
      </w:pPr>
      <w:r w:rsidRPr="00C447AD">
        <w:rPr>
          <w:lang w:val="en-GB"/>
        </w:rPr>
        <w:t>B.  Merits</w:t>
      </w:r>
    </w:p>
    <w:p w:rsidR="00B90B51" w:rsidP="002C21AA" w:rsidRDefault="002C21AA">
      <w:pPr>
        <w:pStyle w:val="ECHRPara"/>
        <w:rPr>
          <w:lang w:val="en-GB"/>
        </w:rPr>
      </w:pPr>
      <w:r>
        <w:rPr>
          <w:lang w:val="en-GB"/>
        </w:rPr>
        <w:fldChar w:fldCharType="begin"/>
      </w:r>
      <w:r>
        <w:rPr>
          <w:lang w:val="en-GB"/>
        </w:rPr>
        <w:instrText xml:space="preserve"> SEQ level0 \*arabic </w:instrText>
      </w:r>
      <w:r>
        <w:rPr>
          <w:lang w:val="en-GB"/>
        </w:rPr>
        <w:fldChar w:fldCharType="separate"/>
      </w:r>
      <w:r w:rsidR="00664191">
        <w:rPr>
          <w:noProof/>
          <w:lang w:val="en-GB"/>
        </w:rPr>
        <w:t>33</w:t>
      </w:r>
      <w:r>
        <w:rPr>
          <w:lang w:val="en-GB"/>
        </w:rPr>
        <w:fldChar w:fldCharType="end"/>
      </w:r>
      <w:r w:rsidRPr="00C447AD">
        <w:rPr>
          <w:lang w:val="en-GB"/>
        </w:rPr>
        <w:t xml:space="preserve">.  The Government </w:t>
      </w:r>
      <w:r w:rsidR="00B90B51">
        <w:rPr>
          <w:lang w:val="en-GB"/>
        </w:rPr>
        <w:t>submitted that the applicant could and did challenge his arrest and detention. The domestic courts examined the applicant</w:t>
      </w:r>
      <w:r w:rsidR="006440D1">
        <w:rPr>
          <w:lang w:val="en-GB"/>
        </w:rPr>
        <w:t>’</w:t>
      </w:r>
      <w:r w:rsidR="00B90B51">
        <w:rPr>
          <w:lang w:val="en-GB"/>
        </w:rPr>
        <w:t xml:space="preserve">s complaint </w:t>
      </w:r>
      <w:r w:rsidR="00FD35F5">
        <w:rPr>
          <w:lang w:val="en-GB"/>
        </w:rPr>
        <w:t xml:space="preserve">of 28 November 2009 </w:t>
      </w:r>
      <w:r w:rsidR="00B90B51">
        <w:rPr>
          <w:lang w:val="en-GB"/>
        </w:rPr>
        <w:t xml:space="preserve">and rejected it as unfounded. The Government further </w:t>
      </w:r>
      <w:r w:rsidR="00FE457B">
        <w:rPr>
          <w:lang w:val="en-GB"/>
        </w:rPr>
        <w:t xml:space="preserve">asserted </w:t>
      </w:r>
      <w:r w:rsidR="00B90B51">
        <w:rPr>
          <w:lang w:val="en-GB"/>
        </w:rPr>
        <w:t xml:space="preserve">that on 30 November 2009 the District Court </w:t>
      </w:r>
      <w:r w:rsidR="00B261B4">
        <w:rPr>
          <w:lang w:val="en-GB"/>
        </w:rPr>
        <w:t xml:space="preserve">had </w:t>
      </w:r>
      <w:r w:rsidR="00333C65">
        <w:rPr>
          <w:lang w:val="en-GB"/>
        </w:rPr>
        <w:t>implicitly</w:t>
      </w:r>
      <w:r w:rsidR="00B90B51">
        <w:rPr>
          <w:lang w:val="en-GB"/>
        </w:rPr>
        <w:t xml:space="preserve"> reviewed the lawfulness of the applicant</w:t>
      </w:r>
      <w:r w:rsidR="006440D1">
        <w:rPr>
          <w:lang w:val="en-GB"/>
        </w:rPr>
        <w:t>’</w:t>
      </w:r>
      <w:r w:rsidR="00B90B51">
        <w:rPr>
          <w:lang w:val="en-GB"/>
        </w:rPr>
        <w:t xml:space="preserve">s deprivation of liberty and found that </w:t>
      </w:r>
      <w:r w:rsidR="00FE457B">
        <w:rPr>
          <w:lang w:val="en-GB"/>
        </w:rPr>
        <w:t xml:space="preserve">his </w:t>
      </w:r>
      <w:r w:rsidR="00B90B51">
        <w:rPr>
          <w:lang w:val="en-GB"/>
        </w:rPr>
        <w:t xml:space="preserve">preliminary detention </w:t>
      </w:r>
      <w:r w:rsidR="00B261B4">
        <w:rPr>
          <w:lang w:val="en-GB"/>
        </w:rPr>
        <w:t xml:space="preserve">should </w:t>
      </w:r>
      <w:r w:rsidR="00B90B51">
        <w:rPr>
          <w:lang w:val="en-GB"/>
        </w:rPr>
        <w:t>be extended to ten days.</w:t>
      </w:r>
      <w:r w:rsidR="00FD35F5">
        <w:rPr>
          <w:lang w:val="en-GB"/>
        </w:rPr>
        <w:t xml:space="preserve"> The</w:t>
      </w:r>
      <w:r w:rsidR="00FE457B">
        <w:rPr>
          <w:lang w:val="en-GB"/>
        </w:rPr>
        <w:t>y</w:t>
      </w:r>
      <w:r w:rsidR="00FD35F5">
        <w:rPr>
          <w:lang w:val="en-GB"/>
        </w:rPr>
        <w:t xml:space="preserve"> conclude</w:t>
      </w:r>
      <w:r w:rsidR="00B2496C">
        <w:rPr>
          <w:lang w:val="en-GB"/>
        </w:rPr>
        <w:t>d</w:t>
      </w:r>
      <w:r w:rsidR="00FD35F5">
        <w:rPr>
          <w:lang w:val="en-GB"/>
        </w:rPr>
        <w:t xml:space="preserve"> that there had been no violation of Article 5 § 4 of the Convention.</w:t>
      </w:r>
    </w:p>
    <w:p w:rsidR="00FD35F5" w:rsidP="00B2496C" w:rsidRDefault="00FD35F5">
      <w:pPr>
        <w:pStyle w:val="ECHRPara"/>
        <w:rPr>
          <w:lang w:val="en-GB"/>
        </w:rPr>
      </w:pPr>
      <w:r>
        <w:rPr>
          <w:lang w:val="en-GB"/>
        </w:rPr>
        <w:fldChar w:fldCharType="begin"/>
      </w:r>
      <w:r>
        <w:rPr>
          <w:lang w:val="en-GB"/>
        </w:rPr>
        <w:instrText xml:space="preserve"> SEQ level0 \*arabic </w:instrText>
      </w:r>
      <w:r>
        <w:rPr>
          <w:lang w:val="en-GB"/>
        </w:rPr>
        <w:fldChar w:fldCharType="separate"/>
      </w:r>
      <w:r w:rsidR="00664191">
        <w:rPr>
          <w:noProof/>
          <w:lang w:val="en-GB"/>
        </w:rPr>
        <w:t>34</w:t>
      </w:r>
      <w:r>
        <w:rPr>
          <w:lang w:val="en-GB"/>
        </w:rPr>
        <w:fldChar w:fldCharType="end"/>
      </w:r>
      <w:r>
        <w:rPr>
          <w:lang w:val="en-GB"/>
        </w:rPr>
        <w:t>.  The applicant disagreed</w:t>
      </w:r>
      <w:r w:rsidR="00B2496C">
        <w:rPr>
          <w:lang w:val="en-GB"/>
        </w:rPr>
        <w:t xml:space="preserve"> and argued that the District Court </w:t>
      </w:r>
      <w:r w:rsidR="00B261B4">
        <w:rPr>
          <w:lang w:val="en-GB"/>
        </w:rPr>
        <w:t xml:space="preserve">had </w:t>
      </w:r>
      <w:r w:rsidR="00B2496C">
        <w:rPr>
          <w:lang w:val="en-GB"/>
        </w:rPr>
        <w:t>not examine</w:t>
      </w:r>
      <w:r w:rsidR="00B261B4">
        <w:rPr>
          <w:lang w:val="en-GB"/>
        </w:rPr>
        <w:t>d</w:t>
      </w:r>
      <w:r w:rsidR="00B2496C">
        <w:rPr>
          <w:lang w:val="en-GB"/>
        </w:rPr>
        <w:t xml:space="preserve"> his complaint on 30 November 2009 but </w:t>
      </w:r>
      <w:r w:rsidR="00B261B4">
        <w:rPr>
          <w:lang w:val="en-GB"/>
        </w:rPr>
        <w:t xml:space="preserve">had done </w:t>
      </w:r>
      <w:r w:rsidR="00B2496C">
        <w:rPr>
          <w:lang w:val="en-GB"/>
        </w:rPr>
        <w:t xml:space="preserve">so </w:t>
      </w:r>
      <w:r w:rsidR="00360FF6">
        <w:rPr>
          <w:lang w:val="en-GB"/>
        </w:rPr>
        <w:t xml:space="preserve">for the first time </w:t>
      </w:r>
      <w:r w:rsidR="00B2496C">
        <w:rPr>
          <w:lang w:val="en-GB"/>
        </w:rPr>
        <w:t>only on 29 January 2010.</w:t>
      </w:r>
    </w:p>
    <w:p w:rsidR="00907E06" w:rsidP="0032318A" w:rsidRDefault="006440D1">
      <w:pPr>
        <w:pStyle w:val="ECHRPara"/>
      </w:pPr>
      <w:fldSimple w:instr=" SEQ level0 \*arabic ">
        <w:r w:rsidR="00664191">
          <w:rPr>
            <w:noProof/>
          </w:rPr>
          <w:t>35</w:t>
        </w:r>
      </w:fldSimple>
      <w:r w:rsidR="0032318A">
        <w:t>.  </w:t>
      </w:r>
      <w:r w:rsidRPr="00AE7606" w:rsidR="006A2F68">
        <w:t>The Court reiterates that by virtue of Article 5 § 4</w:t>
      </w:r>
      <w:r w:rsidR="000B2FA4">
        <w:t>,</w:t>
      </w:r>
      <w:r w:rsidRPr="00AE7606" w:rsidR="006A2F68">
        <w:t xml:space="preserve"> an arrested or detained person is entitled to bring proceedings for review by a court of the procedural and substantive conditions which are essential for </w:t>
      </w:r>
      <w:r w:rsidR="00FE457B">
        <w:t xml:space="preserve">the </w:t>
      </w:r>
      <w:r w:rsidRPr="00AE7606" w:rsidR="006A2F68">
        <w:t xml:space="preserve">“lawfulness”, in the sense of Article 5 § 1, of his or her deprivation of liberty (see </w:t>
      </w:r>
      <w:r w:rsidRPr="00AE7606" w:rsidR="006A2F68">
        <w:rPr>
          <w:i/>
          <w:iCs/>
        </w:rPr>
        <w:t>Brogan and Others v. the United Kingdom</w:t>
      </w:r>
      <w:r w:rsidRPr="00AE7606" w:rsidR="006A2F68">
        <w:t>, 29</w:t>
      </w:r>
      <w:r w:rsidR="006A2F68">
        <w:t xml:space="preserve"> </w:t>
      </w:r>
      <w:r w:rsidRPr="00AE7606" w:rsidR="006A2F68">
        <w:t>November 1988, § 65, Series A no. 154-B).</w:t>
      </w:r>
      <w:r w:rsidR="00C2580E">
        <w:t xml:space="preserve"> </w:t>
      </w:r>
      <w:r w:rsidR="009C3E14">
        <w:t xml:space="preserve">Among the </w:t>
      </w:r>
      <w:r w:rsidR="00360FF6">
        <w:t xml:space="preserve">procedural </w:t>
      </w:r>
      <w:r w:rsidR="009C3E14">
        <w:t xml:space="preserve">guarantees, Article 5 § 4 requires that the judicial review of the lawfulness of detention </w:t>
      </w:r>
      <w:r w:rsidRPr="009C3E14" w:rsidR="009C3E14">
        <w:t>be decided speedily</w:t>
      </w:r>
      <w:r w:rsidR="00B261B4">
        <w:t>,</w:t>
      </w:r>
      <w:r w:rsidR="009C3E14">
        <w:t xml:space="preserve"> which implies that </w:t>
      </w:r>
      <w:r w:rsidR="00360FF6">
        <w:t>such</w:t>
      </w:r>
      <w:r w:rsidRPr="00DA6F81" w:rsidR="009C3E14">
        <w:t xml:space="preserve"> proceedings must be conducted </w:t>
      </w:r>
      <w:r w:rsidRPr="0002492F" w:rsidR="009C3E14">
        <w:t xml:space="preserve">with </w:t>
      </w:r>
      <w:r w:rsidR="000B2FA4">
        <w:t xml:space="preserve">the </w:t>
      </w:r>
      <w:r w:rsidR="009C3E14">
        <w:t xml:space="preserve">requisite </w:t>
      </w:r>
      <w:r w:rsidR="00E05FAA">
        <w:t>expedition</w:t>
      </w:r>
      <w:r w:rsidR="0032318A">
        <w:t xml:space="preserve"> </w:t>
      </w:r>
      <w:r w:rsidR="000B2FA4">
        <w:t xml:space="preserve">and </w:t>
      </w:r>
      <w:r w:rsidR="0032318A">
        <w:t>without unjustified delays</w:t>
      </w:r>
      <w:r w:rsidR="009C3E14">
        <w:t xml:space="preserve"> (see </w:t>
      </w:r>
      <w:r w:rsidRPr="00B668D2" w:rsidR="0032318A">
        <w:rPr>
          <w:i/>
          <w:lang w:val="en-GB"/>
        </w:rPr>
        <w:t>Jablonski v. Poland</w:t>
      </w:r>
      <w:r w:rsidRPr="00B668D2" w:rsidR="0032318A">
        <w:rPr>
          <w:lang w:val="en-GB"/>
        </w:rPr>
        <w:t>, no.</w:t>
      </w:r>
      <w:r w:rsidR="0032318A">
        <w:rPr>
          <w:lang w:val="en-GB"/>
        </w:rPr>
        <w:t> </w:t>
      </w:r>
      <w:r w:rsidRPr="00B668D2" w:rsidR="0032318A">
        <w:rPr>
          <w:lang w:val="en-GB"/>
        </w:rPr>
        <w:t>33492/96, §</w:t>
      </w:r>
      <w:r w:rsidR="0032318A">
        <w:rPr>
          <w:lang w:val="en-GB"/>
        </w:rPr>
        <w:t>§ 91 and 92</w:t>
      </w:r>
      <w:r w:rsidRPr="00B668D2" w:rsidR="0032318A">
        <w:rPr>
          <w:lang w:val="en-GB"/>
        </w:rPr>
        <w:t>, 21 December 2000</w:t>
      </w:r>
      <w:r w:rsidR="0032318A">
        <w:rPr>
          <w:lang w:val="en-GB"/>
        </w:rPr>
        <w:t>)</w:t>
      </w:r>
      <w:r w:rsidR="009C3E14">
        <w:t>.</w:t>
      </w:r>
    </w:p>
    <w:p w:rsidR="006D651C" w:rsidRDefault="005445CC">
      <w:pPr>
        <w:pStyle w:val="ECHRPara"/>
      </w:pPr>
      <w:r>
        <w:fldChar w:fldCharType="begin"/>
      </w:r>
      <w:r>
        <w:instrText xml:space="preserve"> SEQ level0 \*arabic </w:instrText>
      </w:r>
      <w:r>
        <w:fldChar w:fldCharType="separate"/>
      </w:r>
      <w:r w:rsidR="00664191">
        <w:rPr>
          <w:noProof/>
        </w:rPr>
        <w:t>36</w:t>
      </w:r>
      <w:r>
        <w:rPr>
          <w:noProof/>
        </w:rPr>
        <w:fldChar w:fldCharType="end"/>
      </w:r>
      <w:r w:rsidR="00664191">
        <w:t>.  </w:t>
      </w:r>
      <w:r w:rsidRPr="00B627C7" w:rsidR="006D651C">
        <w:t>The Court stresses that, since there is an individual</w:t>
      </w:r>
      <w:r w:rsidR="006440D1">
        <w:t>’</w:t>
      </w:r>
      <w:r w:rsidRPr="00B627C7" w:rsidR="006D651C">
        <w:t xml:space="preserve">s personal liberty at stake, Article 5 § 4 imposes strict requirements of speedy review (see </w:t>
      </w:r>
      <w:proofErr w:type="spellStart"/>
      <w:r w:rsidRPr="00B627C7" w:rsidR="006D651C">
        <w:rPr>
          <w:i/>
        </w:rPr>
        <w:t>Shcherbakov</w:t>
      </w:r>
      <w:proofErr w:type="spellEnd"/>
      <w:r w:rsidRPr="00B627C7" w:rsidR="006D651C">
        <w:rPr>
          <w:i/>
        </w:rPr>
        <w:t xml:space="preserve"> v. Russia (no. 2),</w:t>
      </w:r>
      <w:r w:rsidRPr="00B627C7" w:rsidR="006D651C">
        <w:t xml:space="preserve"> no. 34959/07, § 101, 24 October 2013). In the recent case of </w:t>
      </w:r>
      <w:proofErr w:type="spellStart"/>
      <w:r w:rsidRPr="00B627C7" w:rsidR="006D651C">
        <w:rPr>
          <w:i/>
        </w:rPr>
        <w:t>Asalya</w:t>
      </w:r>
      <w:proofErr w:type="spellEnd"/>
      <w:r w:rsidRPr="00B627C7" w:rsidR="006D651C">
        <w:rPr>
          <w:i/>
        </w:rPr>
        <w:t xml:space="preserve"> v. Turkey</w:t>
      </w:r>
      <w:r w:rsidRPr="00B627C7" w:rsidR="006D651C">
        <w:t xml:space="preserve"> (no. 43875/09, § 73, 15 April 2014), where the applicant regained his liberty on the seventh day of his detention by way of decision of the executive, the Court held that the failure of the domestic court to determine the lawfulness of detention </w:t>
      </w:r>
      <w:r w:rsidR="00AD7759">
        <w:t>before the actual release</w:t>
      </w:r>
      <w:r w:rsidR="001C4E1B">
        <w:t xml:space="preserve"> </w:t>
      </w:r>
      <w:r w:rsidR="003D72E4">
        <w:t xml:space="preserve">had </w:t>
      </w:r>
      <w:r w:rsidR="00907E06">
        <w:t xml:space="preserve">not </w:t>
      </w:r>
      <w:r w:rsidR="003D72E4">
        <w:t xml:space="preserve">been </w:t>
      </w:r>
      <w:r w:rsidR="009D4168">
        <w:t>compatible with Article 5 § 4. The Court reached that conclusion after finding that the failure of the domestic court to review the applicant</w:t>
      </w:r>
      <w:r w:rsidR="006440D1">
        <w:t>’</w:t>
      </w:r>
      <w:r w:rsidR="009D4168">
        <w:t xml:space="preserve">s </w:t>
      </w:r>
      <w:r w:rsidR="001C4E1B">
        <w:t xml:space="preserve">ongoing </w:t>
      </w:r>
      <w:r w:rsidR="009D4168">
        <w:t xml:space="preserve">detention had not been </w:t>
      </w:r>
      <w:r w:rsidRPr="00B627C7" w:rsidR="006D651C">
        <w:t xml:space="preserve">justified by any </w:t>
      </w:r>
      <w:r w:rsidR="009D4168">
        <w:t>valid</w:t>
      </w:r>
      <w:r w:rsidRPr="00B627C7" w:rsidR="006D651C">
        <w:t xml:space="preserve"> reason</w:t>
      </w:r>
      <w:r w:rsidR="001C4E1B">
        <w:t xml:space="preserve">. On the contrary, no issue has arisen where the </w:t>
      </w:r>
      <w:r w:rsidRPr="00991C20" w:rsidR="001C4E1B">
        <w:rPr>
          <w:lang w:val="en-GB"/>
        </w:rPr>
        <w:t xml:space="preserve">applicants were released within a matter of hours before any judicial scrutiny of their detention could in practice have taken place (see, for example, </w:t>
      </w:r>
      <w:r w:rsidRPr="00991C20" w:rsidR="001C4E1B">
        <w:rPr>
          <w:i/>
          <w:lang w:val="en-GB"/>
        </w:rPr>
        <w:t>Fox, Campbell and Hartley v.</w:t>
      </w:r>
      <w:r w:rsidR="00634A4A">
        <w:rPr>
          <w:i/>
          <w:lang w:val="en-GB"/>
        </w:rPr>
        <w:t> </w:t>
      </w:r>
      <w:r w:rsidRPr="00991C20" w:rsidR="001C4E1B">
        <w:rPr>
          <w:i/>
          <w:lang w:val="en-GB"/>
        </w:rPr>
        <w:t>the United Kingdom</w:t>
      </w:r>
      <w:r w:rsidRPr="00991C20" w:rsidR="001C4E1B">
        <w:rPr>
          <w:lang w:val="en-GB"/>
        </w:rPr>
        <w:t>, 30 August 1990, § 45, Series A no. 182)</w:t>
      </w:r>
      <w:r w:rsidR="00A06642">
        <w:rPr>
          <w:lang w:val="en-GB"/>
        </w:rPr>
        <w:t>.</w:t>
      </w:r>
    </w:p>
    <w:p w:rsidR="00472875" w:rsidP="00360FF6" w:rsidRDefault="006440D1">
      <w:pPr>
        <w:pStyle w:val="ECHRPara"/>
      </w:pPr>
      <w:fldSimple w:instr=" SEQ level0 \*arabic ">
        <w:r w:rsidR="00664191">
          <w:rPr>
            <w:noProof/>
          </w:rPr>
          <w:t>37</w:t>
        </w:r>
      </w:fldSimple>
      <w:r w:rsidR="00B2496C">
        <w:t>.  </w:t>
      </w:r>
      <w:r w:rsidR="0032318A">
        <w:t>In the present case t</w:t>
      </w:r>
      <w:r w:rsidR="00B2496C">
        <w:t xml:space="preserve">he applicant lodged his complaint </w:t>
      </w:r>
      <w:r w:rsidR="000B2FA4">
        <w:t xml:space="preserve">the </w:t>
      </w:r>
      <w:r w:rsidR="00B2496C">
        <w:t>day after his arrest, namely on 28 November 2009</w:t>
      </w:r>
      <w:r w:rsidR="000B2FA4">
        <w:t>,</w:t>
      </w:r>
      <w:r w:rsidR="00360FF6">
        <w:t xml:space="preserve"> setting out </w:t>
      </w:r>
      <w:r w:rsidR="003F14E3">
        <w:t xml:space="preserve">the </w:t>
      </w:r>
      <w:r w:rsidR="00360FF6">
        <w:t>reasons for which his arrest and detention had to be declared unlawful</w:t>
      </w:r>
      <w:r w:rsidR="00B2496C">
        <w:t>. By virtue of Article</w:t>
      </w:r>
      <w:r w:rsidR="003F14E3">
        <w:t> </w:t>
      </w:r>
      <w:r w:rsidR="00B2496C">
        <w:t>106 of the CCP</w:t>
      </w:r>
      <w:r w:rsidR="000B2FA4">
        <w:t>,</w:t>
      </w:r>
      <w:r w:rsidR="00B2496C">
        <w:t xml:space="preserve"> </w:t>
      </w:r>
      <w:r w:rsidR="000B2FA4">
        <w:t xml:space="preserve">his </w:t>
      </w:r>
      <w:r w:rsidR="00B2496C">
        <w:t xml:space="preserve">complaint had </w:t>
      </w:r>
      <w:r w:rsidR="00877939">
        <w:t xml:space="preserve">to </w:t>
      </w:r>
      <w:r w:rsidRPr="00B2496C" w:rsidR="00B2496C">
        <w:t xml:space="preserve">be immediately sent to the </w:t>
      </w:r>
      <w:r w:rsidR="000B2FA4">
        <w:t xml:space="preserve">relevant </w:t>
      </w:r>
      <w:r w:rsidRPr="00B2496C" w:rsidR="00B2496C">
        <w:t>court</w:t>
      </w:r>
      <w:r w:rsidR="00B2496C">
        <w:t xml:space="preserve"> </w:t>
      </w:r>
      <w:r w:rsidR="007D3E4F">
        <w:t xml:space="preserve">and had to be considered </w:t>
      </w:r>
      <w:r w:rsidR="00B261B4">
        <w:t xml:space="preserve">by </w:t>
      </w:r>
      <w:r w:rsidR="00360FF6">
        <w:t>a</w:t>
      </w:r>
      <w:r w:rsidR="00B2496C">
        <w:t xml:space="preserve"> </w:t>
      </w:r>
      <w:r w:rsidRPr="00B2496C" w:rsidR="00B2496C">
        <w:t xml:space="preserve">judge together with the </w:t>
      </w:r>
      <w:r w:rsidR="000B2FA4">
        <w:t>investigator</w:t>
      </w:r>
      <w:r>
        <w:t>’</w:t>
      </w:r>
      <w:r w:rsidR="000B2FA4">
        <w:t xml:space="preserve">s </w:t>
      </w:r>
      <w:r w:rsidRPr="00B2496C" w:rsidR="00B2496C">
        <w:t xml:space="preserve">request </w:t>
      </w:r>
      <w:r w:rsidR="000B2FA4">
        <w:t xml:space="preserve">to remand </w:t>
      </w:r>
      <w:r w:rsidR="00E05FAA">
        <w:t>the applicant in custody</w:t>
      </w:r>
      <w:r w:rsidRPr="00B2496C" w:rsidR="00B2496C">
        <w:t>.</w:t>
      </w:r>
      <w:r w:rsidR="00B2496C">
        <w:t xml:space="preserve"> </w:t>
      </w:r>
      <w:r w:rsidR="00360FF6">
        <w:t xml:space="preserve">However, in the hearing of </w:t>
      </w:r>
      <w:r w:rsidR="00A03857">
        <w:t>30 November 2009</w:t>
      </w:r>
      <w:r w:rsidR="00E05FAA">
        <w:t xml:space="preserve"> </w:t>
      </w:r>
      <w:r w:rsidR="00A03857">
        <w:t>the District Court</w:t>
      </w:r>
      <w:r w:rsidR="004813EC">
        <w:t xml:space="preserve"> did not</w:t>
      </w:r>
      <w:r w:rsidR="00360FF6">
        <w:t xml:space="preserve"> </w:t>
      </w:r>
      <w:r w:rsidR="000B2FA4">
        <w:t xml:space="preserve">determine </w:t>
      </w:r>
      <w:r w:rsidR="00360FF6">
        <w:t xml:space="preserve">whether </w:t>
      </w:r>
      <w:r w:rsidR="003F14E3">
        <w:t xml:space="preserve">or not </w:t>
      </w:r>
      <w:r w:rsidR="00360FF6">
        <w:t xml:space="preserve">the </w:t>
      </w:r>
      <w:r w:rsidR="003F14E3">
        <w:t>applicant</w:t>
      </w:r>
      <w:r>
        <w:t>’</w:t>
      </w:r>
      <w:r w:rsidR="003F14E3">
        <w:t xml:space="preserve">s </w:t>
      </w:r>
      <w:r w:rsidR="00360FF6">
        <w:t xml:space="preserve">arrest and detention had been lawful. </w:t>
      </w:r>
      <w:r w:rsidR="004813EC">
        <w:t>Nor did it take a definite decision in respect of the investigator</w:t>
      </w:r>
      <w:r>
        <w:t>’</w:t>
      </w:r>
      <w:r w:rsidR="004813EC">
        <w:t xml:space="preserve">s request. </w:t>
      </w:r>
      <w:r w:rsidR="00360FF6">
        <w:t>Instead, the court extended the applicant</w:t>
      </w:r>
      <w:r>
        <w:t>’</w:t>
      </w:r>
      <w:r w:rsidR="00360FF6">
        <w:t>s detention to ten days</w:t>
      </w:r>
      <w:r w:rsidR="000B2FA4">
        <w:t>,</w:t>
      </w:r>
      <w:r w:rsidR="00360FF6">
        <w:t xml:space="preserve"> </w:t>
      </w:r>
      <w:r w:rsidR="000B2FA4">
        <w:t xml:space="preserve">reasoning </w:t>
      </w:r>
      <w:r w:rsidR="00360FF6">
        <w:t xml:space="preserve">that the </w:t>
      </w:r>
      <w:r w:rsidR="00A03857">
        <w:t xml:space="preserve">investigator </w:t>
      </w:r>
      <w:r w:rsidR="00360FF6">
        <w:t>had to</w:t>
      </w:r>
      <w:r w:rsidR="00877939">
        <w:t xml:space="preserve"> </w:t>
      </w:r>
      <w:r w:rsidR="00A03857">
        <w:t>provide additional information concerning the applicant</w:t>
      </w:r>
      <w:r>
        <w:t>’</w:t>
      </w:r>
      <w:r w:rsidR="00A03857">
        <w:t xml:space="preserve">s personality, family status and lifestyle. </w:t>
      </w:r>
      <w:r w:rsidR="00877939">
        <w:t>T</w:t>
      </w:r>
      <w:r w:rsidR="000B0E3E">
        <w:t xml:space="preserve">he Court does not discern </w:t>
      </w:r>
      <w:r w:rsidR="00877939">
        <w:t xml:space="preserve">any </w:t>
      </w:r>
      <w:r w:rsidR="000B0E3E">
        <w:t xml:space="preserve">justification for </w:t>
      </w:r>
      <w:r w:rsidR="00B261B4">
        <w:t xml:space="preserve">failing to examine </w:t>
      </w:r>
      <w:r w:rsidR="000B0E3E">
        <w:t xml:space="preserve">the </w:t>
      </w:r>
      <w:r w:rsidR="00877939">
        <w:t>applicant</w:t>
      </w:r>
      <w:r>
        <w:t>’</w:t>
      </w:r>
      <w:r w:rsidR="00877939">
        <w:t xml:space="preserve">s </w:t>
      </w:r>
      <w:r w:rsidR="000B0E3E">
        <w:t>complaint on that day</w:t>
      </w:r>
      <w:r w:rsidR="00A03857">
        <w:t xml:space="preserve">. </w:t>
      </w:r>
      <w:r w:rsidR="000B0E3E">
        <w:t xml:space="preserve">Furthermore, </w:t>
      </w:r>
      <w:r w:rsidR="000B2FA4">
        <w:t xml:space="preserve">when </w:t>
      </w:r>
      <w:r w:rsidR="00EF5BB9">
        <w:t>the applicant</w:t>
      </w:r>
      <w:r w:rsidR="000B2FA4">
        <w:t xml:space="preserve"> was</w:t>
      </w:r>
      <w:r w:rsidR="00EF5BB9">
        <w:t xml:space="preserve"> release</w:t>
      </w:r>
      <w:r w:rsidR="000B2FA4">
        <w:t>d</w:t>
      </w:r>
      <w:r w:rsidR="00EF5BB9">
        <w:t xml:space="preserve"> on 7</w:t>
      </w:r>
      <w:r w:rsidR="00877939">
        <w:t xml:space="preserve"> </w:t>
      </w:r>
      <w:r w:rsidR="00793FAF">
        <w:t>December 2009</w:t>
      </w:r>
      <w:r w:rsidR="000B2FA4">
        <w:t>,</w:t>
      </w:r>
      <w:r w:rsidR="00793FAF">
        <w:t xml:space="preserve"> </w:t>
      </w:r>
      <w:r w:rsidR="000B2FA4">
        <w:t xml:space="preserve">his </w:t>
      </w:r>
      <w:r w:rsidR="00A33CA2">
        <w:t>complaint</w:t>
      </w:r>
      <w:r w:rsidR="000B2FA4">
        <w:t xml:space="preserve"> had still not been examined</w:t>
      </w:r>
      <w:r w:rsidR="00634A4A">
        <w:t>.</w:t>
      </w:r>
    </w:p>
    <w:p w:rsidR="00472875" w:rsidP="00A03857" w:rsidRDefault="006440D1">
      <w:pPr>
        <w:pStyle w:val="ECHRPara"/>
      </w:pPr>
      <w:fldSimple w:instr=" SEQ level0 \*arabic ">
        <w:r w:rsidR="005F46D3">
          <w:rPr>
            <w:noProof/>
          </w:rPr>
          <w:t>38</w:t>
        </w:r>
      </w:fldSimple>
      <w:r w:rsidR="005F46D3">
        <w:t>.</w:t>
      </w:r>
      <w:r w:rsidR="00664191">
        <w:t> </w:t>
      </w:r>
      <w:r w:rsidR="005F46D3">
        <w:t> </w:t>
      </w:r>
      <w:r w:rsidR="00C2580E">
        <w:t xml:space="preserve">Having regard to </w:t>
      </w:r>
      <w:r w:rsidR="00E05FAA">
        <w:t xml:space="preserve">the </w:t>
      </w:r>
      <w:r w:rsidR="00C2580E">
        <w:t xml:space="preserve">circumstances </w:t>
      </w:r>
      <w:r w:rsidR="00E05FAA">
        <w:t xml:space="preserve">of the case, </w:t>
      </w:r>
      <w:r w:rsidR="00C2580E">
        <w:t xml:space="preserve">the Court considers that the </w:t>
      </w:r>
      <w:r w:rsidR="00E05FAA">
        <w:t>manner in which the domestic courts examined the applicant</w:t>
      </w:r>
      <w:r>
        <w:t>’</w:t>
      </w:r>
      <w:r w:rsidR="00E05FAA">
        <w:t xml:space="preserve">s complaint concerning the lawfulness of his arrest and detention </w:t>
      </w:r>
      <w:r w:rsidR="000B2FA4">
        <w:t xml:space="preserve">was </w:t>
      </w:r>
      <w:r w:rsidR="00E05FAA">
        <w:t>not compatible with</w:t>
      </w:r>
      <w:r w:rsidR="007F7481">
        <w:t xml:space="preserve"> </w:t>
      </w:r>
      <w:r w:rsidR="000B2FA4">
        <w:t xml:space="preserve">the </w:t>
      </w:r>
      <w:r w:rsidR="007F7481">
        <w:t>“speedy” review</w:t>
      </w:r>
      <w:r w:rsidR="000B2FA4">
        <w:t xml:space="preserve"> requirement under Article 5 § 4 of the Convention</w:t>
      </w:r>
      <w:r w:rsidR="00E05FAA">
        <w:t>.</w:t>
      </w:r>
    </w:p>
    <w:p w:rsidR="00A03857" w:rsidP="00A03857" w:rsidRDefault="006440D1">
      <w:pPr>
        <w:pStyle w:val="ECHRPara"/>
      </w:pPr>
      <w:fldSimple w:instr=" SEQ level0 \*arabic ">
        <w:r w:rsidR="005F46D3">
          <w:rPr>
            <w:noProof/>
          </w:rPr>
          <w:t>39</w:t>
        </w:r>
      </w:fldSimple>
      <w:r w:rsidR="00E05FAA">
        <w:t xml:space="preserve">.  There </w:t>
      </w:r>
      <w:r w:rsidR="000B2FA4">
        <w:t xml:space="preserve">has </w:t>
      </w:r>
      <w:r w:rsidR="00E05FAA">
        <w:t xml:space="preserve">therefore </w:t>
      </w:r>
      <w:r w:rsidR="000B2FA4">
        <w:t xml:space="preserve">been </w:t>
      </w:r>
      <w:r w:rsidR="006B6F2B">
        <w:t xml:space="preserve">a </w:t>
      </w:r>
      <w:r w:rsidR="00E05FAA">
        <w:t>violation of that provision of the Convention.</w:t>
      </w:r>
    </w:p>
    <w:p w:rsidRPr="00C447AD" w:rsidR="00014566" w:rsidP="00014566" w:rsidRDefault="000B0E3E">
      <w:pPr>
        <w:pStyle w:val="ECHRHeading1"/>
        <w:rPr>
          <w:lang w:val="en-GB"/>
        </w:rPr>
      </w:pPr>
      <w:r>
        <w:rPr>
          <w:lang w:val="en-GB"/>
        </w:rPr>
        <w:t>III</w:t>
      </w:r>
      <w:r w:rsidRPr="00C447AD" w:rsidR="00014566">
        <w:rPr>
          <w:lang w:val="en-GB"/>
        </w:rPr>
        <w:t>.  APPLICATION OF ARTICLE 41 OF THE CONVENTION</w:t>
      </w:r>
    </w:p>
    <w:p w:rsidRPr="00C447AD" w:rsidR="00014566" w:rsidP="00C621C2" w:rsidRDefault="00231B69">
      <w:pPr>
        <w:pStyle w:val="ECHRPara"/>
        <w:rPr>
          <w:lang w:val="en-GB"/>
        </w:rPr>
      </w:pPr>
      <w:r>
        <w:rPr>
          <w:lang w:val="en-GB"/>
        </w:rPr>
        <w:fldChar w:fldCharType="begin"/>
      </w:r>
      <w:r>
        <w:rPr>
          <w:lang w:val="en-GB"/>
        </w:rPr>
        <w:instrText xml:space="preserve"> SEQ level0 \*arabic </w:instrText>
      </w:r>
      <w:r>
        <w:rPr>
          <w:lang w:val="en-GB"/>
        </w:rPr>
        <w:fldChar w:fldCharType="separate"/>
      </w:r>
      <w:r w:rsidR="005F46D3">
        <w:rPr>
          <w:noProof/>
          <w:lang w:val="en-GB"/>
        </w:rPr>
        <w:t>40</w:t>
      </w:r>
      <w:r>
        <w:rPr>
          <w:lang w:val="en-GB"/>
        </w:rPr>
        <w:fldChar w:fldCharType="end"/>
      </w:r>
      <w:r w:rsidRPr="00C447AD" w:rsidR="00014566">
        <w:rPr>
          <w:lang w:val="en-GB"/>
        </w:rPr>
        <w:t>.  Article 41 of the Convention provides:</w:t>
      </w:r>
    </w:p>
    <w:p w:rsidRPr="00C447AD" w:rsidR="00014566" w:rsidP="00014566" w:rsidRDefault="00014566">
      <w:pPr>
        <w:pStyle w:val="ECHRParaQuote"/>
        <w:keepNext/>
        <w:keepLines/>
        <w:rPr>
          <w:lang w:val="en-GB"/>
        </w:rPr>
      </w:pPr>
      <w:r w:rsidRPr="00C447AD">
        <w:rPr>
          <w:lang w:val="en-GB"/>
        </w:rP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C447AD" w:rsidR="00014566" w:rsidP="00EB129E" w:rsidRDefault="00014566">
      <w:pPr>
        <w:pStyle w:val="ECHRHeading2"/>
        <w:rPr>
          <w:lang w:val="en-GB"/>
        </w:rPr>
      </w:pPr>
      <w:r w:rsidRPr="00C447AD">
        <w:rPr>
          <w:lang w:val="en-GB"/>
        </w:rPr>
        <w:t>A.  Damage</w:t>
      </w:r>
    </w:p>
    <w:p w:rsidRPr="00C447AD" w:rsidR="00014566" w:rsidP="00C621C2" w:rsidRDefault="00231B69">
      <w:pPr>
        <w:pStyle w:val="ECHRPara"/>
        <w:rPr>
          <w:lang w:val="en-GB"/>
        </w:rPr>
      </w:pPr>
      <w:r>
        <w:rPr>
          <w:lang w:val="en-GB"/>
        </w:rPr>
        <w:fldChar w:fldCharType="begin"/>
      </w:r>
      <w:r>
        <w:rPr>
          <w:lang w:val="en-GB"/>
        </w:rPr>
        <w:instrText xml:space="preserve"> SEQ level0 \*arabic </w:instrText>
      </w:r>
      <w:r>
        <w:rPr>
          <w:lang w:val="en-GB"/>
        </w:rPr>
        <w:fldChar w:fldCharType="separate"/>
      </w:r>
      <w:r w:rsidR="005F46D3">
        <w:rPr>
          <w:noProof/>
          <w:lang w:val="en-GB"/>
        </w:rPr>
        <w:t>41</w:t>
      </w:r>
      <w:r>
        <w:rPr>
          <w:lang w:val="en-GB"/>
        </w:rPr>
        <w:fldChar w:fldCharType="end"/>
      </w:r>
      <w:r w:rsidRPr="00C447AD" w:rsidR="00014566">
        <w:rPr>
          <w:lang w:val="en-GB"/>
        </w:rPr>
        <w:t xml:space="preserve">.  The applicant claimed </w:t>
      </w:r>
      <w:r w:rsidR="004515A6">
        <w:rPr>
          <w:lang w:val="en-GB"/>
        </w:rPr>
        <w:t>20,000</w:t>
      </w:r>
      <w:r w:rsidRPr="00C447AD" w:rsidR="00014566">
        <w:rPr>
          <w:lang w:val="en-GB"/>
        </w:rPr>
        <w:t xml:space="preserve"> euros (EUR) in respect of non</w:t>
      </w:r>
      <w:r w:rsidR="00634A4A">
        <w:rPr>
          <w:lang w:val="en-GB"/>
        </w:rPr>
        <w:noBreakHyphen/>
      </w:r>
      <w:r w:rsidRPr="00C447AD" w:rsidR="00014566">
        <w:rPr>
          <w:lang w:val="en-GB"/>
        </w:rPr>
        <w:t>pecuniary damage.</w:t>
      </w:r>
    </w:p>
    <w:p w:rsidRPr="00130DF7" w:rsidR="004515A6" w:rsidP="004515A6" w:rsidRDefault="00231B69">
      <w:pPr>
        <w:pStyle w:val="ECHRPara"/>
        <w:rPr>
          <w:lang w:val="en-GB"/>
        </w:rPr>
      </w:pPr>
      <w:r>
        <w:rPr>
          <w:lang w:val="en-GB"/>
        </w:rPr>
        <w:fldChar w:fldCharType="begin"/>
      </w:r>
      <w:r>
        <w:rPr>
          <w:lang w:val="en-GB"/>
        </w:rPr>
        <w:instrText xml:space="preserve"> SEQ level0 \*arabic </w:instrText>
      </w:r>
      <w:r>
        <w:rPr>
          <w:lang w:val="en-GB"/>
        </w:rPr>
        <w:fldChar w:fldCharType="separate"/>
      </w:r>
      <w:r w:rsidR="005F46D3">
        <w:rPr>
          <w:noProof/>
          <w:lang w:val="en-GB"/>
        </w:rPr>
        <w:t>42</w:t>
      </w:r>
      <w:r>
        <w:rPr>
          <w:lang w:val="en-GB"/>
        </w:rPr>
        <w:fldChar w:fldCharType="end"/>
      </w:r>
      <w:r w:rsidRPr="00C447AD" w:rsidR="00014566">
        <w:rPr>
          <w:lang w:val="en-GB"/>
        </w:rPr>
        <w:t xml:space="preserve">.  The Government </w:t>
      </w:r>
      <w:r w:rsidR="004515A6">
        <w:rPr>
          <w:lang w:val="en-GB"/>
        </w:rPr>
        <w:t>contested that claim and submitted that it was unfounded.</w:t>
      </w:r>
    </w:p>
    <w:p w:rsidRPr="00C447AD" w:rsidR="004515A6" w:rsidP="004515A6" w:rsidRDefault="004515A6">
      <w:pPr>
        <w:pStyle w:val="ECHRPara"/>
        <w:rPr>
          <w:lang w:val="en-GB"/>
        </w:rPr>
      </w:pPr>
      <w:r>
        <w:rPr>
          <w:lang w:val="en-GB"/>
        </w:rPr>
        <w:fldChar w:fldCharType="begin"/>
      </w:r>
      <w:r>
        <w:rPr>
          <w:lang w:val="en-GB"/>
        </w:rPr>
        <w:instrText xml:space="preserve"> SEQ level0 \*arabic </w:instrText>
      </w:r>
      <w:r>
        <w:rPr>
          <w:lang w:val="en-GB"/>
        </w:rPr>
        <w:fldChar w:fldCharType="separate"/>
      </w:r>
      <w:r w:rsidR="005F46D3">
        <w:rPr>
          <w:noProof/>
          <w:lang w:val="en-GB"/>
        </w:rPr>
        <w:t>43</w:t>
      </w:r>
      <w:r>
        <w:rPr>
          <w:lang w:val="en-GB"/>
        </w:rPr>
        <w:fldChar w:fldCharType="end"/>
      </w:r>
      <w:r>
        <w:rPr>
          <w:lang w:val="en-GB"/>
        </w:rPr>
        <w:t>.  </w:t>
      </w:r>
      <w:r w:rsidRPr="005C30FC">
        <w:rPr>
          <w:lang w:val="en-GB"/>
        </w:rPr>
        <w:t>The Court considers that the applicant must have suffered anguish and distress on account of the facts giving rise to the finding of violation</w:t>
      </w:r>
      <w:r>
        <w:rPr>
          <w:lang w:val="en-GB"/>
        </w:rPr>
        <w:t>s</w:t>
      </w:r>
      <w:r w:rsidRPr="005C30FC">
        <w:rPr>
          <w:lang w:val="en-GB"/>
        </w:rPr>
        <w:t xml:space="preserve"> in the present </w:t>
      </w:r>
      <w:r w:rsidRPr="003D06BD">
        <w:rPr>
          <w:lang w:val="en-GB"/>
        </w:rPr>
        <w:t xml:space="preserve">case. Ruling on an equitable basis, the Court awards the applicant </w:t>
      </w:r>
      <w:r w:rsidRPr="0057642A">
        <w:rPr>
          <w:lang w:val="en-GB"/>
        </w:rPr>
        <w:t>EUR </w:t>
      </w:r>
      <w:r w:rsidR="00F82E18">
        <w:rPr>
          <w:lang w:val="en-GB"/>
        </w:rPr>
        <w:t>2</w:t>
      </w:r>
      <w:r w:rsidR="00F53072">
        <w:rPr>
          <w:lang w:val="en-GB"/>
        </w:rPr>
        <w:t>,000</w:t>
      </w:r>
      <w:r w:rsidRPr="003D06BD">
        <w:rPr>
          <w:lang w:val="en-GB"/>
        </w:rPr>
        <w:t xml:space="preserve"> in respect of non-pecuniary damage.</w:t>
      </w:r>
    </w:p>
    <w:p w:rsidRPr="00C447AD" w:rsidR="00014566" w:rsidP="00EB129E" w:rsidRDefault="00014566">
      <w:pPr>
        <w:pStyle w:val="ECHRHeading2"/>
        <w:rPr>
          <w:lang w:val="en-GB"/>
        </w:rPr>
      </w:pPr>
      <w:r w:rsidRPr="00C447AD">
        <w:rPr>
          <w:lang w:val="en-GB"/>
        </w:rPr>
        <w:t>B.  Costs and expenses</w:t>
      </w:r>
    </w:p>
    <w:p w:rsidRPr="00C447AD" w:rsidR="00014566" w:rsidP="00C621C2" w:rsidRDefault="00231B69">
      <w:pPr>
        <w:pStyle w:val="ECHRPara"/>
        <w:rPr>
          <w:lang w:val="en-GB"/>
        </w:rPr>
      </w:pPr>
      <w:r>
        <w:rPr>
          <w:lang w:val="en-GB"/>
        </w:rPr>
        <w:fldChar w:fldCharType="begin"/>
      </w:r>
      <w:r>
        <w:rPr>
          <w:lang w:val="en-GB"/>
        </w:rPr>
        <w:instrText xml:space="preserve"> SEQ level0 \*arabic </w:instrText>
      </w:r>
      <w:r>
        <w:rPr>
          <w:lang w:val="en-GB"/>
        </w:rPr>
        <w:fldChar w:fldCharType="separate"/>
      </w:r>
      <w:r w:rsidR="005F46D3">
        <w:rPr>
          <w:noProof/>
          <w:lang w:val="en-GB"/>
        </w:rPr>
        <w:t>44</w:t>
      </w:r>
      <w:r>
        <w:rPr>
          <w:lang w:val="en-GB"/>
        </w:rPr>
        <w:fldChar w:fldCharType="end"/>
      </w:r>
      <w:r w:rsidRPr="00C447AD" w:rsidR="00014566">
        <w:rPr>
          <w:lang w:val="en-GB"/>
        </w:rPr>
        <w:t xml:space="preserve">.  The applicant also claimed EUR </w:t>
      </w:r>
      <w:r w:rsidR="00F53072">
        <w:rPr>
          <w:lang w:val="en-GB"/>
        </w:rPr>
        <w:t>1,300</w:t>
      </w:r>
      <w:r w:rsidRPr="00C447AD" w:rsidR="00014566">
        <w:rPr>
          <w:lang w:val="en-GB"/>
        </w:rPr>
        <w:t xml:space="preserve"> for the </w:t>
      </w:r>
      <w:r w:rsidR="00F53072">
        <w:rPr>
          <w:lang w:val="en-GB"/>
        </w:rPr>
        <w:t xml:space="preserve">legal expenses and EUR 78 for the translation </w:t>
      </w:r>
      <w:r w:rsidR="006E2A12">
        <w:rPr>
          <w:lang w:val="en-GB"/>
        </w:rPr>
        <w:t>costs</w:t>
      </w:r>
      <w:r w:rsidR="00F53072">
        <w:rPr>
          <w:lang w:val="en-GB"/>
        </w:rPr>
        <w:t xml:space="preserve"> </w:t>
      </w:r>
      <w:r w:rsidRPr="00C447AD" w:rsidR="00014566">
        <w:rPr>
          <w:lang w:val="en-GB"/>
        </w:rPr>
        <w:t>incurred before the Court.</w:t>
      </w:r>
    </w:p>
    <w:p w:rsidRPr="00C447AD" w:rsidR="00014566" w:rsidP="00C621C2" w:rsidRDefault="00231B69">
      <w:pPr>
        <w:pStyle w:val="ECHRPara"/>
        <w:rPr>
          <w:lang w:val="en-GB"/>
        </w:rPr>
      </w:pPr>
      <w:r>
        <w:rPr>
          <w:lang w:val="en-GB"/>
        </w:rPr>
        <w:fldChar w:fldCharType="begin"/>
      </w:r>
      <w:r>
        <w:rPr>
          <w:lang w:val="en-GB"/>
        </w:rPr>
        <w:instrText xml:space="preserve"> SEQ level0 \*arabic </w:instrText>
      </w:r>
      <w:r>
        <w:rPr>
          <w:lang w:val="en-GB"/>
        </w:rPr>
        <w:fldChar w:fldCharType="separate"/>
      </w:r>
      <w:r w:rsidR="005F46D3">
        <w:rPr>
          <w:noProof/>
          <w:lang w:val="en-GB"/>
        </w:rPr>
        <w:t>45</w:t>
      </w:r>
      <w:r>
        <w:rPr>
          <w:lang w:val="en-GB"/>
        </w:rPr>
        <w:fldChar w:fldCharType="end"/>
      </w:r>
      <w:r w:rsidRPr="00C447AD" w:rsidR="00014566">
        <w:rPr>
          <w:lang w:val="en-GB"/>
        </w:rPr>
        <w:t xml:space="preserve">.  The Government </w:t>
      </w:r>
      <w:r w:rsidR="00F53072">
        <w:rPr>
          <w:lang w:val="en-GB"/>
        </w:rPr>
        <w:t>argued that the claims were unsubstantiated.</w:t>
      </w:r>
    </w:p>
    <w:p w:rsidR="00472875" w:rsidP="00C621C2" w:rsidRDefault="00231B69">
      <w:pPr>
        <w:pStyle w:val="ECHRPara"/>
        <w:rPr>
          <w:lang w:val="en-GB"/>
        </w:rPr>
      </w:pPr>
      <w:r>
        <w:rPr>
          <w:lang w:val="en-GB"/>
        </w:rPr>
        <w:fldChar w:fldCharType="begin"/>
      </w:r>
      <w:r>
        <w:rPr>
          <w:lang w:val="en-GB"/>
        </w:rPr>
        <w:instrText xml:space="preserve"> SEQ level0 \*arabic </w:instrText>
      </w:r>
      <w:r>
        <w:rPr>
          <w:lang w:val="en-GB"/>
        </w:rPr>
        <w:fldChar w:fldCharType="separate"/>
      </w:r>
      <w:r w:rsidR="005F46D3">
        <w:rPr>
          <w:noProof/>
          <w:lang w:val="en-GB"/>
        </w:rPr>
        <w:t>46</w:t>
      </w:r>
      <w:r>
        <w:rPr>
          <w:lang w:val="en-GB"/>
        </w:rPr>
        <w:fldChar w:fldCharType="end"/>
      </w:r>
      <w:r w:rsidRPr="00C447AD" w:rsidR="00014566">
        <w:rPr>
          <w:lang w:val="en-GB"/>
        </w:rPr>
        <w:t>.  </w:t>
      </w:r>
      <w:r w:rsidRPr="00C447AD">
        <w:rPr>
          <w:lang w:val="en-GB"/>
        </w:rPr>
        <w:t>According to the Court</w:t>
      </w:r>
      <w:r w:rsidR="006440D1">
        <w:rPr>
          <w:lang w:val="en-GB"/>
        </w:rPr>
        <w:t>’</w:t>
      </w:r>
      <w:r w:rsidRPr="00C447AD">
        <w:rPr>
          <w:lang w:val="en-GB"/>
        </w:rPr>
        <w:t>s case-law, an applicant is entitled to the reimbursement of costs and expenses only in so far as it has been shown that these have been actually and necessarily incurred and are reasonable as to quantum. In the present case, regard</w:t>
      </w:r>
      <w:r w:rsidRPr="00C447AD" w:rsidR="00014566">
        <w:rPr>
          <w:lang w:val="en-GB"/>
        </w:rPr>
        <w:t xml:space="preserve"> being had to the documents in its possession and </w:t>
      </w:r>
      <w:r w:rsidRPr="00C447AD">
        <w:rPr>
          <w:lang w:val="en-GB"/>
        </w:rPr>
        <w:t>the above criteria</w:t>
      </w:r>
      <w:r w:rsidRPr="00C447AD" w:rsidR="00014566">
        <w:rPr>
          <w:lang w:val="en-GB"/>
        </w:rPr>
        <w:t xml:space="preserve">, the Court considers it reasonable to award the sum of EUR </w:t>
      </w:r>
      <w:r w:rsidR="00F53072">
        <w:rPr>
          <w:szCs w:val="24"/>
        </w:rPr>
        <w:t xml:space="preserve">564 </w:t>
      </w:r>
      <w:r w:rsidR="00F53072">
        <w:rPr>
          <w:lang w:val="en-GB"/>
        </w:rPr>
        <w:t xml:space="preserve">in respect of legal expenses and EUR 78 in respect of translation </w:t>
      </w:r>
      <w:r w:rsidR="006E2A12">
        <w:rPr>
          <w:lang w:val="en-GB"/>
        </w:rPr>
        <w:t>costs</w:t>
      </w:r>
      <w:r w:rsidR="00F53072">
        <w:rPr>
          <w:lang w:val="en-GB"/>
        </w:rPr>
        <w:t>.</w:t>
      </w:r>
    </w:p>
    <w:p w:rsidRPr="00C447AD" w:rsidR="00014566" w:rsidP="00EB129E" w:rsidRDefault="00014566">
      <w:pPr>
        <w:pStyle w:val="ECHRHeading2"/>
        <w:rPr>
          <w:lang w:val="en-GB"/>
        </w:rPr>
      </w:pPr>
      <w:r w:rsidRPr="00C447AD">
        <w:rPr>
          <w:lang w:val="en-GB"/>
        </w:rPr>
        <w:t>C.  Default interest</w:t>
      </w:r>
    </w:p>
    <w:p w:rsidRPr="00C447AD" w:rsidR="00014566" w:rsidP="00C621C2" w:rsidRDefault="00231B69">
      <w:pPr>
        <w:pStyle w:val="ECHRPara"/>
        <w:rPr>
          <w:lang w:val="en-GB"/>
        </w:rPr>
      </w:pPr>
      <w:r>
        <w:rPr>
          <w:lang w:val="en-GB"/>
        </w:rPr>
        <w:fldChar w:fldCharType="begin"/>
      </w:r>
      <w:r>
        <w:rPr>
          <w:lang w:val="en-GB"/>
        </w:rPr>
        <w:instrText xml:space="preserve"> SEQ level0 \*arabic </w:instrText>
      </w:r>
      <w:r>
        <w:rPr>
          <w:lang w:val="en-GB"/>
        </w:rPr>
        <w:fldChar w:fldCharType="separate"/>
      </w:r>
      <w:r w:rsidR="005F46D3">
        <w:rPr>
          <w:noProof/>
          <w:lang w:val="en-GB"/>
        </w:rPr>
        <w:t>47</w:t>
      </w:r>
      <w:r>
        <w:rPr>
          <w:lang w:val="en-GB"/>
        </w:rPr>
        <w:fldChar w:fldCharType="end"/>
      </w:r>
      <w:r w:rsidRPr="00C447AD" w:rsidR="00014566">
        <w:rPr>
          <w:lang w:val="en-GB"/>
        </w:rPr>
        <w:t>.  The Court considers it appropriate that the default interest rate should be based on the marginal lending rate of the European Central Bank, to which should be added three percentage points.</w:t>
      </w:r>
    </w:p>
    <w:p w:rsidRPr="00C447AD" w:rsidR="00014566" w:rsidP="00014566" w:rsidRDefault="00014566">
      <w:pPr>
        <w:pStyle w:val="ECHRTitle1"/>
        <w:rPr>
          <w:lang w:val="en-GB"/>
        </w:rPr>
      </w:pPr>
      <w:r w:rsidRPr="00C447AD">
        <w:rPr>
          <w:lang w:val="en-GB"/>
        </w:rPr>
        <w:t xml:space="preserve">FOR THESE REASONS, THE </w:t>
      </w:r>
      <w:proofErr w:type="gramStart"/>
      <w:r w:rsidRPr="00C447AD">
        <w:rPr>
          <w:lang w:val="en-GB"/>
        </w:rPr>
        <w:t xml:space="preserve">COURT </w:t>
      </w:r>
      <w:r w:rsidRPr="00C447AD" w:rsidR="00231B69">
        <w:rPr>
          <w:lang w:val="en-GB"/>
        </w:rPr>
        <w:t>,</w:t>
      </w:r>
      <w:proofErr w:type="gramEnd"/>
      <w:r w:rsidRPr="00C447AD" w:rsidR="00231B69">
        <w:rPr>
          <w:lang w:val="en-GB"/>
        </w:rPr>
        <w:t xml:space="preserve"> UNANIMOUSLY,</w:t>
      </w:r>
    </w:p>
    <w:p w:rsidRPr="00C447AD" w:rsidR="00014566" w:rsidP="00C621C2" w:rsidRDefault="00014566">
      <w:pPr>
        <w:pStyle w:val="JuList"/>
        <w:rPr>
          <w:lang w:val="en-GB"/>
        </w:rPr>
      </w:pPr>
      <w:r w:rsidRPr="00C447AD">
        <w:rPr>
          <w:lang w:val="en-GB"/>
        </w:rPr>
        <w:t>1.  </w:t>
      </w:r>
      <w:proofErr w:type="gramStart"/>
      <w:r w:rsidRPr="00C447AD">
        <w:rPr>
          <w:i/>
          <w:lang w:val="en-GB"/>
        </w:rPr>
        <w:t>Declares</w:t>
      </w:r>
      <w:proofErr w:type="gramEnd"/>
      <w:r w:rsidRPr="00C447AD" w:rsidR="00231B69">
        <w:rPr>
          <w:lang w:val="en-GB"/>
        </w:rPr>
        <w:t xml:space="preserve"> </w:t>
      </w:r>
      <w:r w:rsidRPr="00C447AD">
        <w:rPr>
          <w:lang w:val="en-GB"/>
        </w:rPr>
        <w:t xml:space="preserve">the </w:t>
      </w:r>
      <w:r w:rsidRPr="00C447AD" w:rsidR="00231B69">
        <w:rPr>
          <w:lang w:val="en-GB"/>
        </w:rPr>
        <w:t>application</w:t>
      </w:r>
      <w:r w:rsidRPr="00C447AD">
        <w:rPr>
          <w:lang w:val="en-GB"/>
        </w:rPr>
        <w:t xml:space="preserve"> admissible;</w:t>
      </w:r>
    </w:p>
    <w:p w:rsidRPr="00C447AD" w:rsidR="00014566" w:rsidP="00C621C2" w:rsidRDefault="00014566">
      <w:pPr>
        <w:pStyle w:val="JuList"/>
        <w:rPr>
          <w:lang w:val="en-GB"/>
        </w:rPr>
      </w:pPr>
    </w:p>
    <w:p w:rsidRPr="00C447AD" w:rsidR="00014566" w:rsidP="00C621C2" w:rsidRDefault="00E83B4F">
      <w:pPr>
        <w:pStyle w:val="JuList"/>
        <w:rPr>
          <w:lang w:val="en-GB"/>
        </w:rPr>
      </w:pPr>
      <w:r>
        <w:rPr>
          <w:lang w:val="en-GB"/>
        </w:rPr>
        <w:t>2</w:t>
      </w:r>
      <w:r w:rsidRPr="00C447AD" w:rsidR="00014566">
        <w:rPr>
          <w:lang w:val="en-GB"/>
        </w:rPr>
        <w:t>.  </w:t>
      </w:r>
      <w:r w:rsidRPr="00C447AD" w:rsidR="00014566">
        <w:rPr>
          <w:i/>
          <w:lang w:val="en-GB"/>
        </w:rPr>
        <w:t>Holds</w:t>
      </w:r>
      <w:r w:rsidRPr="00C447AD" w:rsidR="00231B69">
        <w:rPr>
          <w:lang w:val="en-GB"/>
        </w:rPr>
        <w:t xml:space="preserve"> </w:t>
      </w:r>
      <w:r w:rsidRPr="00C447AD" w:rsidR="00014566">
        <w:rPr>
          <w:lang w:val="en-GB"/>
        </w:rPr>
        <w:t xml:space="preserve">that there has been a violation of Article </w:t>
      </w:r>
      <w:r>
        <w:rPr>
          <w:lang w:val="en-GB"/>
        </w:rPr>
        <w:t xml:space="preserve">5 § 1 </w:t>
      </w:r>
      <w:r w:rsidRPr="00C447AD" w:rsidR="00014566">
        <w:rPr>
          <w:lang w:val="en-GB"/>
        </w:rPr>
        <w:t>of the Convention;</w:t>
      </w:r>
    </w:p>
    <w:p w:rsidRPr="00C447AD" w:rsidR="00014566" w:rsidP="00C621C2" w:rsidRDefault="00014566">
      <w:pPr>
        <w:pStyle w:val="JuList"/>
        <w:rPr>
          <w:lang w:val="en-GB"/>
        </w:rPr>
      </w:pPr>
    </w:p>
    <w:p w:rsidRPr="00C447AD" w:rsidR="00014566" w:rsidP="00C621C2" w:rsidRDefault="00E83B4F">
      <w:pPr>
        <w:pStyle w:val="JuList"/>
        <w:rPr>
          <w:lang w:val="en-GB"/>
        </w:rPr>
      </w:pPr>
      <w:r>
        <w:rPr>
          <w:lang w:val="en-GB"/>
        </w:rPr>
        <w:t>3</w:t>
      </w:r>
      <w:r w:rsidRPr="00C447AD" w:rsidR="00014566">
        <w:rPr>
          <w:lang w:val="en-GB"/>
        </w:rPr>
        <w:t>.  </w:t>
      </w:r>
      <w:r w:rsidRPr="00C447AD" w:rsidR="00014566">
        <w:rPr>
          <w:i/>
          <w:lang w:val="en-GB"/>
        </w:rPr>
        <w:t>Holds</w:t>
      </w:r>
      <w:r w:rsidRPr="00C447AD" w:rsidR="00231B69">
        <w:rPr>
          <w:lang w:val="en-GB"/>
        </w:rPr>
        <w:t xml:space="preserve"> </w:t>
      </w:r>
      <w:r w:rsidRPr="00C447AD" w:rsidR="00014566">
        <w:rPr>
          <w:lang w:val="en-GB"/>
        </w:rPr>
        <w:t xml:space="preserve">that there has been a violation of Article </w:t>
      </w:r>
      <w:r>
        <w:rPr>
          <w:lang w:val="en-GB"/>
        </w:rPr>
        <w:t>5 § 4</w:t>
      </w:r>
      <w:r w:rsidRPr="00C447AD" w:rsidR="00014566">
        <w:rPr>
          <w:lang w:val="en-GB"/>
        </w:rPr>
        <w:t xml:space="preserve"> of the Convention;</w:t>
      </w:r>
    </w:p>
    <w:p w:rsidRPr="00C447AD" w:rsidR="00014566" w:rsidP="00C621C2" w:rsidRDefault="00014566">
      <w:pPr>
        <w:pStyle w:val="JuList"/>
        <w:rPr>
          <w:lang w:val="en-GB"/>
        </w:rPr>
      </w:pPr>
    </w:p>
    <w:p w:rsidRPr="00C447AD" w:rsidR="00014566" w:rsidP="00C621C2" w:rsidRDefault="00E83B4F">
      <w:pPr>
        <w:pStyle w:val="JuList"/>
        <w:rPr>
          <w:lang w:val="en-GB"/>
        </w:rPr>
      </w:pPr>
      <w:r>
        <w:rPr>
          <w:lang w:val="en-GB"/>
        </w:rPr>
        <w:t>4</w:t>
      </w:r>
      <w:r w:rsidRPr="00C447AD" w:rsidR="00014566">
        <w:rPr>
          <w:lang w:val="en-GB"/>
        </w:rPr>
        <w:t>.  </w:t>
      </w:r>
      <w:r w:rsidRPr="00C447AD" w:rsidR="00014566">
        <w:rPr>
          <w:i/>
          <w:lang w:val="en-GB"/>
        </w:rPr>
        <w:t>Holds</w:t>
      </w:r>
    </w:p>
    <w:p w:rsidRPr="00C447AD" w:rsidR="00014566" w:rsidP="00014566" w:rsidRDefault="00014566">
      <w:pPr>
        <w:pStyle w:val="JuLista"/>
        <w:rPr>
          <w:lang w:val="en-GB"/>
        </w:rPr>
      </w:pPr>
      <w:r w:rsidRPr="00C447AD">
        <w:rPr>
          <w:lang w:val="en-GB"/>
        </w:rPr>
        <w:t>(a)  that the respondent State is to pay the applicant, within three months</w:t>
      </w:r>
      <w:r w:rsidR="00472875">
        <w:rPr>
          <w:lang w:val="en-GB"/>
        </w:rPr>
        <w:t xml:space="preserve"> </w:t>
      </w:r>
      <w:r w:rsidRPr="00C447AD" w:rsidR="00231B69">
        <w:rPr>
          <w:lang w:val="en-GB"/>
        </w:rPr>
        <w:t>from the date on which the judgment becomes final in accordance with Article 44 § 2 of the Convention,</w:t>
      </w:r>
      <w:r w:rsidRPr="00C447AD">
        <w:rPr>
          <w:lang w:val="en-GB"/>
        </w:rPr>
        <w:t xml:space="preserve"> the following amounts</w:t>
      </w:r>
      <w:r w:rsidRPr="00E83B4F">
        <w:rPr>
          <w:lang w:val="en-GB"/>
        </w:rPr>
        <w:t xml:space="preserve">, to be converted into </w:t>
      </w:r>
      <w:r w:rsidRPr="00E83B4F">
        <w:rPr>
          <w:color w:val="000000"/>
          <w:lang w:val="en-GB"/>
        </w:rPr>
        <w:t>the currency of the respondent State</w:t>
      </w:r>
      <w:r w:rsidRPr="00C447AD">
        <w:rPr>
          <w:lang w:val="en-GB"/>
        </w:rPr>
        <w:t xml:space="preserve"> at the rate applicable at the date of settlement:</w:t>
      </w:r>
    </w:p>
    <w:p w:rsidRPr="00C447AD" w:rsidR="00014566" w:rsidP="00014566" w:rsidRDefault="00014566">
      <w:pPr>
        <w:pStyle w:val="JuListi"/>
        <w:rPr>
          <w:lang w:val="en-GB"/>
        </w:rPr>
      </w:pPr>
      <w:r w:rsidRPr="00C447AD">
        <w:rPr>
          <w:lang w:val="en-GB"/>
        </w:rPr>
        <w:t>(</w:t>
      </w:r>
      <w:proofErr w:type="spellStart"/>
      <w:r w:rsidRPr="00C447AD">
        <w:rPr>
          <w:lang w:val="en-GB"/>
        </w:rPr>
        <w:t>i</w:t>
      </w:r>
      <w:proofErr w:type="spellEnd"/>
      <w:r w:rsidRPr="00C447AD">
        <w:rPr>
          <w:lang w:val="en-GB"/>
        </w:rPr>
        <w:t xml:space="preserve">)  EUR </w:t>
      </w:r>
      <w:r w:rsidR="00F82E18">
        <w:rPr>
          <w:lang w:val="en-GB"/>
        </w:rPr>
        <w:t>2</w:t>
      </w:r>
      <w:r w:rsidR="00E83B4F">
        <w:rPr>
          <w:lang w:val="en-GB"/>
        </w:rPr>
        <w:t>,000</w:t>
      </w:r>
      <w:r w:rsidRPr="00C447AD">
        <w:rPr>
          <w:lang w:val="en-GB"/>
        </w:rPr>
        <w:t xml:space="preserve"> (</w:t>
      </w:r>
      <w:r w:rsidR="00F82E18">
        <w:rPr>
          <w:lang w:val="en-GB"/>
        </w:rPr>
        <w:t xml:space="preserve">two </w:t>
      </w:r>
      <w:r w:rsidR="00E83B4F">
        <w:rPr>
          <w:lang w:val="en-GB"/>
        </w:rPr>
        <w:t>thousand euros)</w:t>
      </w:r>
      <w:r w:rsidRPr="00C447AD">
        <w:rPr>
          <w:lang w:val="en-GB"/>
        </w:rPr>
        <w:t>, plus any tax that may be chargeable,</w:t>
      </w:r>
      <w:r w:rsidR="00E83B4F">
        <w:rPr>
          <w:lang w:val="en-GB"/>
        </w:rPr>
        <w:t xml:space="preserve"> </w:t>
      </w:r>
      <w:r w:rsidRPr="00C447AD">
        <w:rPr>
          <w:lang w:val="en-GB"/>
        </w:rPr>
        <w:t xml:space="preserve">in respect of </w:t>
      </w:r>
      <w:r w:rsidR="00E83B4F">
        <w:rPr>
          <w:lang w:val="en-GB"/>
        </w:rPr>
        <w:t>non-</w:t>
      </w:r>
      <w:r w:rsidRPr="00C447AD">
        <w:rPr>
          <w:lang w:val="en-GB"/>
        </w:rPr>
        <w:t>pecuniary damage;</w:t>
      </w:r>
    </w:p>
    <w:p w:rsidR="00E83B4F" w:rsidP="00E83B4F" w:rsidRDefault="00014566">
      <w:pPr>
        <w:pStyle w:val="JuListi"/>
        <w:rPr>
          <w:lang w:val="en-GB"/>
        </w:rPr>
      </w:pPr>
      <w:r w:rsidRPr="00C447AD">
        <w:rPr>
          <w:lang w:val="en-GB"/>
        </w:rPr>
        <w:t xml:space="preserve">(ii)  EUR </w:t>
      </w:r>
      <w:r w:rsidR="00E83B4F">
        <w:rPr>
          <w:lang w:val="en-GB"/>
        </w:rPr>
        <w:t>564</w:t>
      </w:r>
      <w:r w:rsidRPr="00C447AD">
        <w:rPr>
          <w:lang w:val="en-GB"/>
        </w:rPr>
        <w:t xml:space="preserve"> (</w:t>
      </w:r>
      <w:r w:rsidR="00E83B4F">
        <w:rPr>
          <w:lang w:val="en-GB"/>
        </w:rPr>
        <w:t xml:space="preserve">five hundred </w:t>
      </w:r>
      <w:r w:rsidR="00817687">
        <w:rPr>
          <w:lang w:val="en-GB"/>
        </w:rPr>
        <w:t xml:space="preserve">and </w:t>
      </w:r>
      <w:r w:rsidR="00E83B4F">
        <w:rPr>
          <w:lang w:val="en-GB"/>
        </w:rPr>
        <w:t>sixty-four</w:t>
      </w:r>
      <w:r w:rsidRPr="00C447AD">
        <w:rPr>
          <w:lang w:val="en-GB"/>
        </w:rPr>
        <w:t xml:space="preserve"> euros), plus any tax that may be chargeable to the applicant, in respect of </w:t>
      </w:r>
      <w:r w:rsidR="00E83B4F">
        <w:rPr>
          <w:lang w:val="en-GB"/>
        </w:rPr>
        <w:t>legal expenses</w:t>
      </w:r>
      <w:r w:rsidRPr="00C447AD">
        <w:rPr>
          <w:lang w:val="en-GB"/>
        </w:rPr>
        <w:t>;</w:t>
      </w:r>
    </w:p>
    <w:p w:rsidRPr="00E83B4F" w:rsidR="00E83B4F" w:rsidP="00E83B4F" w:rsidRDefault="00E83B4F">
      <w:pPr>
        <w:pStyle w:val="JuListi"/>
        <w:rPr>
          <w:lang w:val="en-GB"/>
        </w:rPr>
      </w:pPr>
      <w:r>
        <w:rPr>
          <w:lang w:val="en-GB"/>
        </w:rPr>
        <w:t>(iii) </w:t>
      </w:r>
      <w:r w:rsidR="00634A4A">
        <w:rPr>
          <w:lang w:val="en-GB"/>
        </w:rPr>
        <w:t> </w:t>
      </w:r>
      <w:r w:rsidRPr="00C447AD">
        <w:rPr>
          <w:lang w:val="en-GB"/>
        </w:rPr>
        <w:t xml:space="preserve">EUR </w:t>
      </w:r>
      <w:r>
        <w:rPr>
          <w:lang w:val="en-GB"/>
        </w:rPr>
        <w:t>78</w:t>
      </w:r>
      <w:r w:rsidRPr="00C447AD">
        <w:rPr>
          <w:lang w:val="en-GB"/>
        </w:rPr>
        <w:t xml:space="preserve"> (</w:t>
      </w:r>
      <w:r>
        <w:rPr>
          <w:lang w:val="en-GB"/>
        </w:rPr>
        <w:t>seventy-eight</w:t>
      </w:r>
      <w:r w:rsidRPr="00C447AD">
        <w:rPr>
          <w:lang w:val="en-GB"/>
        </w:rPr>
        <w:t xml:space="preserve"> euros), plus any tax that may be chargeable to the applicant, in respect of </w:t>
      </w:r>
      <w:r>
        <w:rPr>
          <w:lang w:val="en-GB"/>
        </w:rPr>
        <w:t>translation costs</w:t>
      </w:r>
      <w:r w:rsidRPr="00C447AD">
        <w:rPr>
          <w:lang w:val="en-GB"/>
        </w:rPr>
        <w:t>;</w:t>
      </w:r>
    </w:p>
    <w:p w:rsidRPr="00C447AD" w:rsidR="00014566" w:rsidP="00014566" w:rsidRDefault="00014566">
      <w:pPr>
        <w:pStyle w:val="JuLista"/>
        <w:rPr>
          <w:lang w:val="en-GB"/>
        </w:rPr>
      </w:pPr>
      <w:r w:rsidRPr="00C447AD">
        <w:rPr>
          <w:lang w:val="en-GB"/>
        </w:rPr>
        <w:t>(b)  that from the expiry of the above-mentioned three months until settlement simple interest shall be payable on the above amounts at a rate equal to the marginal lending rate of the European Central Bank during the default period plus three percentage points;</w:t>
      </w:r>
    </w:p>
    <w:p w:rsidRPr="00C447AD" w:rsidR="00014566" w:rsidP="00C621C2" w:rsidRDefault="00014566">
      <w:pPr>
        <w:pStyle w:val="JuList"/>
        <w:rPr>
          <w:lang w:val="en-GB"/>
        </w:rPr>
      </w:pPr>
    </w:p>
    <w:p w:rsidRPr="00C447AD" w:rsidR="00014566" w:rsidP="00C621C2" w:rsidRDefault="00E83B4F">
      <w:pPr>
        <w:pStyle w:val="JuList"/>
        <w:rPr>
          <w:lang w:val="en-GB"/>
        </w:rPr>
      </w:pPr>
      <w:r>
        <w:rPr>
          <w:lang w:val="en-GB"/>
        </w:rPr>
        <w:t>5</w:t>
      </w:r>
      <w:r w:rsidRPr="00C447AD" w:rsidR="00014566">
        <w:rPr>
          <w:lang w:val="en-GB"/>
        </w:rPr>
        <w:t>.  </w:t>
      </w:r>
      <w:r w:rsidRPr="00C447AD" w:rsidR="00014566">
        <w:rPr>
          <w:i/>
          <w:lang w:val="en-GB"/>
        </w:rPr>
        <w:t>Dismisses</w:t>
      </w:r>
      <w:r w:rsidRPr="00C447AD" w:rsidR="00231B69">
        <w:rPr>
          <w:lang w:val="en-GB"/>
        </w:rPr>
        <w:t xml:space="preserve"> </w:t>
      </w:r>
      <w:r w:rsidRPr="00C447AD" w:rsidR="00014566">
        <w:rPr>
          <w:lang w:val="en-GB"/>
        </w:rPr>
        <w:t>the remainder of the applicant</w:t>
      </w:r>
      <w:r w:rsidR="006440D1">
        <w:rPr>
          <w:lang w:val="en-GB"/>
        </w:rPr>
        <w:t>’</w:t>
      </w:r>
      <w:r w:rsidRPr="00C447AD" w:rsidR="00231B69">
        <w:rPr>
          <w:lang w:val="en-GB"/>
        </w:rPr>
        <w:t>s</w:t>
      </w:r>
      <w:r w:rsidRPr="00C447AD" w:rsidR="00014566">
        <w:rPr>
          <w:lang w:val="en-GB"/>
        </w:rPr>
        <w:t xml:space="preserve"> claim for just satisfaction.</w:t>
      </w:r>
    </w:p>
    <w:p w:rsidRPr="00C447AD" w:rsidR="00014566" w:rsidP="00014566" w:rsidRDefault="00014566">
      <w:pPr>
        <w:pStyle w:val="JuParaLast"/>
        <w:rPr>
          <w:lang w:val="en-GB"/>
        </w:rPr>
      </w:pPr>
      <w:r w:rsidRPr="00C447AD">
        <w:rPr>
          <w:lang w:val="en-GB"/>
        </w:rPr>
        <w:t xml:space="preserve">Done in English, and notified in writing on </w:t>
      </w:r>
      <w:r w:rsidR="00634A4A">
        <w:rPr>
          <w:lang w:val="en-GB"/>
        </w:rPr>
        <w:t>29 January 2015</w:t>
      </w:r>
      <w:r w:rsidRPr="00C447AD">
        <w:rPr>
          <w:lang w:val="en-GB"/>
        </w:rPr>
        <w:t>, pursuant to Rule 77 §§ 2 and 3 of the Rules of Court.</w:t>
      </w:r>
    </w:p>
    <w:p w:rsidRPr="00C447AD" w:rsidR="004D15F3" w:rsidP="007D3E4F" w:rsidRDefault="00014566">
      <w:pPr>
        <w:pStyle w:val="JuSigned"/>
        <w:rPr>
          <w:lang w:val="en-GB"/>
        </w:rPr>
      </w:pPr>
      <w:r w:rsidRPr="00C447AD">
        <w:rPr>
          <w:lang w:val="en-GB"/>
        </w:rPr>
        <w:tab/>
      </w:r>
      <w:r w:rsidR="00231B69">
        <w:rPr>
          <w:lang w:val="en-GB"/>
        </w:rPr>
        <w:t>Claudia</w:t>
      </w:r>
      <w:r w:rsidRPr="00C447AD" w:rsidR="00231B69">
        <w:rPr>
          <w:lang w:val="en-GB"/>
        </w:rPr>
        <w:t xml:space="preserve"> </w:t>
      </w:r>
      <w:r w:rsidR="00231B69">
        <w:rPr>
          <w:lang w:val="en-GB"/>
        </w:rPr>
        <w:t>Westerdiek</w:t>
      </w:r>
      <w:r w:rsidRPr="00C447AD">
        <w:rPr>
          <w:lang w:val="en-GB"/>
        </w:rPr>
        <w:tab/>
      </w:r>
      <w:r w:rsidR="00231B69">
        <w:rPr>
          <w:szCs w:val="24"/>
          <w:lang w:val="en-GB"/>
        </w:rPr>
        <w:t>Mark</w:t>
      </w:r>
      <w:r w:rsidRPr="00C447AD" w:rsidR="00231B69">
        <w:rPr>
          <w:szCs w:val="24"/>
          <w:lang w:val="en-GB"/>
        </w:rPr>
        <w:t xml:space="preserve"> </w:t>
      </w:r>
      <w:proofErr w:type="spellStart"/>
      <w:r w:rsidR="00231B69">
        <w:rPr>
          <w:szCs w:val="24"/>
          <w:lang w:val="en-GB"/>
        </w:rPr>
        <w:t>Villiger</w:t>
      </w:r>
      <w:proofErr w:type="spellEnd"/>
      <w:r w:rsidR="00EB129E">
        <w:rPr>
          <w:szCs w:val="24"/>
          <w:lang w:val="en-GB"/>
        </w:rPr>
        <w:br/>
      </w:r>
      <w:r w:rsidRPr="00C447AD">
        <w:rPr>
          <w:lang w:val="en-GB"/>
        </w:rPr>
        <w:tab/>
      </w:r>
      <w:r w:rsidRPr="00C447AD" w:rsidR="00231B69">
        <w:rPr>
          <w:iCs/>
          <w:lang w:val="en-GB"/>
        </w:rPr>
        <w:t>Registrar</w:t>
      </w:r>
      <w:r w:rsidRPr="00C447AD">
        <w:rPr>
          <w:lang w:val="en-GB"/>
        </w:rPr>
        <w:tab/>
        <w:t>President</w:t>
      </w:r>
    </w:p>
    <w:sectPr w:rsidRPr="00C447AD" w:rsidR="004D15F3" w:rsidSect="00BB1DD0">
      <w:headerReference w:type="even" r:id="rId11"/>
      <w:headerReference w:type="default" r:id="rId12"/>
      <w:footnotePr>
        <w:numRestart w:val="eachPage"/>
      </w:footnotePr>
      <w:pgSz w:w="11906" w:h="16838" w:code="9"/>
      <w:pgMar w:top="2274" w:right="2274" w:bottom="2274" w:left="2274" w:header="1701"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FA4" w:rsidRDefault="000B2FA4" w:rsidP="00014566">
      <w:r>
        <w:separator/>
      </w:r>
    </w:p>
  </w:endnote>
  <w:endnote w:type="continuationSeparator" w:id="0">
    <w:p w:rsidR="000B2FA4" w:rsidRDefault="000B2FA4" w:rsidP="00014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DD0" w:rsidRPr="00150BFA" w:rsidRDefault="00BB1DD0" w:rsidP="0020718E">
    <w:pPr>
      <w:jc w:val="center"/>
    </w:pPr>
    <w:r>
      <w:rPr>
        <w:noProof/>
        <w:lang w:eastAsia="ja-JP"/>
      </w:rPr>
      <w:drawing>
        <wp:inline distT="0" distB="0" distL="0" distR="0" wp14:anchorId="58A9504B" wp14:editId="727A29EE">
          <wp:extent cx="771525" cy="619125"/>
          <wp:effectExtent l="0" t="0" r="9525" b="9525"/>
          <wp:docPr id="8" name="Picture 8"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BB1DD0" w:rsidRDefault="00BB1D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FA4" w:rsidRDefault="000B2FA4" w:rsidP="00014566">
      <w:r>
        <w:separator/>
      </w:r>
    </w:p>
  </w:footnote>
  <w:footnote w:type="continuationSeparator" w:id="0">
    <w:p w:rsidR="000B2FA4" w:rsidRDefault="000B2FA4" w:rsidP="000145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FA4" w:rsidRPr="00BB1DD0" w:rsidRDefault="000B2FA4" w:rsidP="00BB1DD0">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DD0" w:rsidRPr="00A45145" w:rsidRDefault="00BB1DD0" w:rsidP="00A45145">
    <w:pPr>
      <w:jc w:val="center"/>
    </w:pPr>
    <w:r>
      <w:rPr>
        <w:noProof/>
        <w:lang w:eastAsia="ja-JP"/>
      </w:rPr>
      <w:drawing>
        <wp:inline distT="0" distB="0" distL="0" distR="0" wp14:anchorId="058B5D1A" wp14:editId="4E7F57F4">
          <wp:extent cx="2962275" cy="1219200"/>
          <wp:effectExtent l="0" t="0" r="9525" b="0"/>
          <wp:docPr id="3" name="Picture 3"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BB1DD0" w:rsidRDefault="00BB1DD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DD0" w:rsidRPr="00FF2306" w:rsidRDefault="00BB1DD0" w:rsidP="00EE1DA9">
    <w:pPr>
      <w:pStyle w:val="ECHRHeader"/>
      <w:rPr>
        <w:lang w:val="en-GB"/>
      </w:rPr>
    </w:pP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6440D1">
      <w:rPr>
        <w:rStyle w:val="PageNumber"/>
        <w:noProof/>
        <w:szCs w:val="18"/>
        <w:lang w:val="en-GB"/>
      </w:rPr>
      <w:t>12</w:t>
    </w:r>
    <w:r>
      <w:rPr>
        <w:rStyle w:val="PageNumber"/>
        <w:szCs w:val="18"/>
        <w:lang w:val="en-GB"/>
      </w:rPr>
      <w:fldChar w:fldCharType="end"/>
    </w:r>
    <w:r w:rsidRPr="00FF2306">
      <w:rPr>
        <w:lang w:val="en-GB"/>
      </w:rPr>
      <w:tab/>
    </w:r>
    <w:r>
      <w:rPr>
        <w:lang w:val="en-GB"/>
      </w:rPr>
      <w:t>MALYK v. UKRAINE</w:t>
    </w:r>
    <w:r w:rsidRPr="00FF2306">
      <w:rPr>
        <w:lang w:val="en-GB"/>
      </w:rPr>
      <w:t xml:space="preserve"> </w:t>
    </w:r>
    <w:r>
      <w:rPr>
        <w:lang w:val="en-GB"/>
      </w:rPr>
      <w:t>JUDGMENT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DD0" w:rsidRPr="00D60D87" w:rsidRDefault="00BB1DD0" w:rsidP="00D60D87">
    <w:pPr>
      <w:pStyle w:val="ECHRHeader"/>
      <w:rPr>
        <w:lang w:val="en-GB"/>
      </w:rPr>
    </w:pPr>
    <w:r w:rsidRPr="00D60D87">
      <w:rPr>
        <w:lang w:val="en-GB"/>
      </w:rPr>
      <w:tab/>
    </w:r>
    <w:r>
      <w:rPr>
        <w:lang w:val="en-GB"/>
      </w:rPr>
      <w:t>MALYK v. UKRAINE</w:t>
    </w:r>
    <w:r w:rsidRPr="00D60D87">
      <w:rPr>
        <w:lang w:val="en-GB"/>
      </w:rPr>
      <w:t xml:space="preserve"> </w:t>
    </w:r>
    <w:r>
      <w:rPr>
        <w:lang w:val="en-GB"/>
      </w:rPr>
      <w:t>JUDGMENT</w:t>
    </w:r>
    <w:r w:rsidRPr="00D60D87">
      <w:rPr>
        <w:lang w:val="en-GB"/>
      </w:rPr>
      <w:tab/>
    </w: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6440D1">
      <w:rPr>
        <w:rStyle w:val="PageNumber"/>
        <w:noProof/>
        <w:szCs w:val="18"/>
        <w:lang w:val="en-GB"/>
      </w:rPr>
      <w:t>11</w:t>
    </w:r>
    <w:r>
      <w:rPr>
        <w:rStyle w:val="PageNumber"/>
        <w:szCs w:val="18"/>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0180FE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90ECFB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C5B8BEFC"/>
    <w:lvl w:ilvl="0">
      <w:start w:val="1"/>
      <w:numFmt w:val="decimal"/>
      <w:pStyle w:val="ListNumber3"/>
      <w:lvlText w:val="%1."/>
      <w:lvlJc w:val="left"/>
      <w:pPr>
        <w:tabs>
          <w:tab w:val="num" w:pos="926"/>
        </w:tabs>
        <w:ind w:left="926" w:hanging="360"/>
      </w:pPr>
    </w:lvl>
  </w:abstractNum>
  <w:abstractNum w:abstractNumId="3">
    <w:nsid w:val="FFFFFF7F"/>
    <w:multiLevelType w:val="singleLevel"/>
    <w:tmpl w:val="6F1CF73A"/>
    <w:lvl w:ilvl="0">
      <w:start w:val="1"/>
      <w:numFmt w:val="decimal"/>
      <w:pStyle w:val="ListNumber2"/>
      <w:lvlText w:val="%1."/>
      <w:lvlJc w:val="left"/>
      <w:pPr>
        <w:tabs>
          <w:tab w:val="num" w:pos="643"/>
        </w:tabs>
        <w:ind w:left="643" w:hanging="360"/>
      </w:pPr>
    </w:lvl>
  </w:abstractNum>
  <w:abstractNum w:abstractNumId="4">
    <w:nsid w:val="FFFFFF80"/>
    <w:multiLevelType w:val="singleLevel"/>
    <w:tmpl w:val="2380266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0C2C34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82EC3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666B2C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2760110"/>
    <w:lvl w:ilvl="0">
      <w:start w:val="1"/>
      <w:numFmt w:val="decimal"/>
      <w:pStyle w:val="ListNumber"/>
      <w:lvlText w:val="%1."/>
      <w:lvlJc w:val="left"/>
      <w:pPr>
        <w:tabs>
          <w:tab w:val="num" w:pos="360"/>
        </w:tabs>
        <w:ind w:left="360" w:hanging="360"/>
      </w:pPr>
    </w:lvl>
  </w:abstractNum>
  <w:abstractNum w:abstractNumId="9">
    <w:nsid w:val="0066004F"/>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63F153D"/>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2">
    <w:nsid w:val="76903243"/>
    <w:multiLevelType w:val="multilevel"/>
    <w:tmpl w:val="E884A926"/>
    <w:lvl w:ilvl="0">
      <w:start w:val="1"/>
      <w:numFmt w:val="decimal"/>
      <w:pStyle w:val="JuAppQuestion"/>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7737461D"/>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10"/>
  </w:num>
  <w:num w:numId="3">
    <w:abstractNumId w:val="9"/>
  </w:num>
  <w:num w:numId="4">
    <w:abstractNumId w:val="13"/>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evenAndOddHeaders/>
  <w:drawingGridHorizontalSpacing w:val="110"/>
  <w:displayHorizontalDrawingGridEvery w:val="2"/>
  <w:displayVertic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NatAutre" w:val="0"/>
    <w:docVar w:name="DocVarPREMATURE" w:val="0"/>
    <w:docVar w:name="EMM" w:val="0"/>
    <w:docVar w:name="ETRANSMISSION" w:val="BY E-TRANSMISSION ONLY"/>
    <w:docVar w:name="L4_1Annex" w:val="0"/>
    <w:docVar w:name="L4_1Anonymity" w:val="0"/>
    <w:docVar w:name="NBEMMDOC" w:val="0"/>
    <w:docVar w:name="SignForeName" w:val="0"/>
  </w:docVars>
  <w:rsids>
    <w:rsidRoot w:val="00231B69"/>
    <w:rsid w:val="000041F8"/>
    <w:rsid w:val="000042A8"/>
    <w:rsid w:val="00004308"/>
    <w:rsid w:val="00005BF0"/>
    <w:rsid w:val="00007154"/>
    <w:rsid w:val="000103AE"/>
    <w:rsid w:val="00011D69"/>
    <w:rsid w:val="00012AD3"/>
    <w:rsid w:val="00014566"/>
    <w:rsid w:val="00015C2D"/>
    <w:rsid w:val="00015F00"/>
    <w:rsid w:val="00020798"/>
    <w:rsid w:val="00021EE9"/>
    <w:rsid w:val="00022C1D"/>
    <w:rsid w:val="00034987"/>
    <w:rsid w:val="00041B21"/>
    <w:rsid w:val="00043CB6"/>
    <w:rsid w:val="000602DF"/>
    <w:rsid w:val="00061B05"/>
    <w:rsid w:val="00062D5D"/>
    <w:rsid w:val="000632D5"/>
    <w:rsid w:val="000644EE"/>
    <w:rsid w:val="000659A6"/>
    <w:rsid w:val="00075AD2"/>
    <w:rsid w:val="000925AD"/>
    <w:rsid w:val="00096296"/>
    <w:rsid w:val="000A24EB"/>
    <w:rsid w:val="000B0E3E"/>
    <w:rsid w:val="000B2FA4"/>
    <w:rsid w:val="000B30AD"/>
    <w:rsid w:val="000B6923"/>
    <w:rsid w:val="000C033C"/>
    <w:rsid w:val="000C5F3C"/>
    <w:rsid w:val="000C6DCC"/>
    <w:rsid w:val="000D47AA"/>
    <w:rsid w:val="000D721F"/>
    <w:rsid w:val="000E069B"/>
    <w:rsid w:val="000E0E82"/>
    <w:rsid w:val="000E1DC5"/>
    <w:rsid w:val="000E223F"/>
    <w:rsid w:val="000E7D45"/>
    <w:rsid w:val="000F7746"/>
    <w:rsid w:val="000F7851"/>
    <w:rsid w:val="00104E23"/>
    <w:rsid w:val="00111B0C"/>
    <w:rsid w:val="00120D6C"/>
    <w:rsid w:val="001257EC"/>
    <w:rsid w:val="00133D33"/>
    <w:rsid w:val="0013472F"/>
    <w:rsid w:val="00134D64"/>
    <w:rsid w:val="00135A30"/>
    <w:rsid w:val="0013612C"/>
    <w:rsid w:val="00137FF6"/>
    <w:rsid w:val="00141650"/>
    <w:rsid w:val="001432C6"/>
    <w:rsid w:val="00145475"/>
    <w:rsid w:val="00152DF7"/>
    <w:rsid w:val="00162A12"/>
    <w:rsid w:val="00166530"/>
    <w:rsid w:val="001832BD"/>
    <w:rsid w:val="001943B5"/>
    <w:rsid w:val="00195134"/>
    <w:rsid w:val="001A145B"/>
    <w:rsid w:val="001A674C"/>
    <w:rsid w:val="001B3B24"/>
    <w:rsid w:val="001C0F98"/>
    <w:rsid w:val="001C2A42"/>
    <w:rsid w:val="001C4520"/>
    <w:rsid w:val="001C4E1B"/>
    <w:rsid w:val="001D63ED"/>
    <w:rsid w:val="001D7348"/>
    <w:rsid w:val="001E035B"/>
    <w:rsid w:val="001E0961"/>
    <w:rsid w:val="001E3EAE"/>
    <w:rsid w:val="001E6F32"/>
    <w:rsid w:val="001F2145"/>
    <w:rsid w:val="001F6262"/>
    <w:rsid w:val="001F67B0"/>
    <w:rsid w:val="001F7B3D"/>
    <w:rsid w:val="00205F9F"/>
    <w:rsid w:val="00210338"/>
    <w:rsid w:val="002115FC"/>
    <w:rsid w:val="0021423C"/>
    <w:rsid w:val="002269A9"/>
    <w:rsid w:val="00230D00"/>
    <w:rsid w:val="00231B69"/>
    <w:rsid w:val="00231DF7"/>
    <w:rsid w:val="00231FD1"/>
    <w:rsid w:val="002339E0"/>
    <w:rsid w:val="00233CF8"/>
    <w:rsid w:val="0023575D"/>
    <w:rsid w:val="00237148"/>
    <w:rsid w:val="002403F3"/>
    <w:rsid w:val="0024222D"/>
    <w:rsid w:val="00244B0E"/>
    <w:rsid w:val="00244F6C"/>
    <w:rsid w:val="002532C5"/>
    <w:rsid w:val="00260C03"/>
    <w:rsid w:val="0026540E"/>
    <w:rsid w:val="00275123"/>
    <w:rsid w:val="00282240"/>
    <w:rsid w:val="0028572A"/>
    <w:rsid w:val="0028757F"/>
    <w:rsid w:val="002948AD"/>
    <w:rsid w:val="00294C92"/>
    <w:rsid w:val="002A01CC"/>
    <w:rsid w:val="002A61B1"/>
    <w:rsid w:val="002A663C"/>
    <w:rsid w:val="002B444B"/>
    <w:rsid w:val="002B5887"/>
    <w:rsid w:val="002C01E8"/>
    <w:rsid w:val="002C0692"/>
    <w:rsid w:val="002C0E27"/>
    <w:rsid w:val="002C21AA"/>
    <w:rsid w:val="002C3040"/>
    <w:rsid w:val="002D022D"/>
    <w:rsid w:val="002D24BB"/>
    <w:rsid w:val="002E0F33"/>
    <w:rsid w:val="002F21E1"/>
    <w:rsid w:val="002F2AF7"/>
    <w:rsid w:val="002F7E1C"/>
    <w:rsid w:val="00301A75"/>
    <w:rsid w:val="00302F70"/>
    <w:rsid w:val="0030336F"/>
    <w:rsid w:val="0030375E"/>
    <w:rsid w:val="00312A30"/>
    <w:rsid w:val="00320F72"/>
    <w:rsid w:val="0032318A"/>
    <w:rsid w:val="0032463E"/>
    <w:rsid w:val="00324FE3"/>
    <w:rsid w:val="0032609C"/>
    <w:rsid w:val="00326224"/>
    <w:rsid w:val="00331C3A"/>
    <w:rsid w:val="00333C65"/>
    <w:rsid w:val="00337EE4"/>
    <w:rsid w:val="00340FFD"/>
    <w:rsid w:val="00347629"/>
    <w:rsid w:val="003506B1"/>
    <w:rsid w:val="00353091"/>
    <w:rsid w:val="00356AC7"/>
    <w:rsid w:val="003609FA"/>
    <w:rsid w:val="00360FF6"/>
    <w:rsid w:val="00363418"/>
    <w:rsid w:val="00363DEF"/>
    <w:rsid w:val="003710C8"/>
    <w:rsid w:val="003750BE"/>
    <w:rsid w:val="00387B9D"/>
    <w:rsid w:val="0039364F"/>
    <w:rsid w:val="00396686"/>
    <w:rsid w:val="0039778E"/>
    <w:rsid w:val="003A57EC"/>
    <w:rsid w:val="003B4941"/>
    <w:rsid w:val="003C3D96"/>
    <w:rsid w:val="003C5714"/>
    <w:rsid w:val="003C6B9F"/>
    <w:rsid w:val="003C6E2A"/>
    <w:rsid w:val="003D0299"/>
    <w:rsid w:val="003D72E4"/>
    <w:rsid w:val="003E6D80"/>
    <w:rsid w:val="003F05FA"/>
    <w:rsid w:val="003F14E3"/>
    <w:rsid w:val="003F244A"/>
    <w:rsid w:val="003F30B8"/>
    <w:rsid w:val="003F4C45"/>
    <w:rsid w:val="003F5F7B"/>
    <w:rsid w:val="003F7D64"/>
    <w:rsid w:val="00414300"/>
    <w:rsid w:val="00425C67"/>
    <w:rsid w:val="00427E7A"/>
    <w:rsid w:val="00436307"/>
    <w:rsid w:val="00436C49"/>
    <w:rsid w:val="004418A0"/>
    <w:rsid w:val="00445366"/>
    <w:rsid w:val="00447F5B"/>
    <w:rsid w:val="004515A6"/>
    <w:rsid w:val="00454639"/>
    <w:rsid w:val="00457F14"/>
    <w:rsid w:val="00461DB0"/>
    <w:rsid w:val="00463926"/>
    <w:rsid w:val="004646E0"/>
    <w:rsid w:val="00464C9A"/>
    <w:rsid w:val="00464F42"/>
    <w:rsid w:val="00472875"/>
    <w:rsid w:val="00474F3D"/>
    <w:rsid w:val="00477E3A"/>
    <w:rsid w:val="004813EC"/>
    <w:rsid w:val="00483E5F"/>
    <w:rsid w:val="00485FF9"/>
    <w:rsid w:val="004879BF"/>
    <w:rsid w:val="004907F0"/>
    <w:rsid w:val="0049140B"/>
    <w:rsid w:val="004915CF"/>
    <w:rsid w:val="004923A5"/>
    <w:rsid w:val="00496BFB"/>
    <w:rsid w:val="004A15C7"/>
    <w:rsid w:val="004B013B"/>
    <w:rsid w:val="004B112B"/>
    <w:rsid w:val="004C01E4"/>
    <w:rsid w:val="004C086C"/>
    <w:rsid w:val="004C1F56"/>
    <w:rsid w:val="004C27BC"/>
    <w:rsid w:val="004D15F3"/>
    <w:rsid w:val="004D5311"/>
    <w:rsid w:val="004D5DCC"/>
    <w:rsid w:val="004F10AF"/>
    <w:rsid w:val="004F11A4"/>
    <w:rsid w:val="004F2389"/>
    <w:rsid w:val="004F304D"/>
    <w:rsid w:val="004F61BE"/>
    <w:rsid w:val="004F66B1"/>
    <w:rsid w:val="00504E09"/>
    <w:rsid w:val="00511C07"/>
    <w:rsid w:val="00512E00"/>
    <w:rsid w:val="005173A6"/>
    <w:rsid w:val="00520BAA"/>
    <w:rsid w:val="00525208"/>
    <w:rsid w:val="005257A5"/>
    <w:rsid w:val="005264C0"/>
    <w:rsid w:val="00526A8A"/>
    <w:rsid w:val="00531DF2"/>
    <w:rsid w:val="005442EE"/>
    <w:rsid w:val="00547353"/>
    <w:rsid w:val="005474E7"/>
    <w:rsid w:val="005512A3"/>
    <w:rsid w:val="005578CE"/>
    <w:rsid w:val="00562781"/>
    <w:rsid w:val="00563E83"/>
    <w:rsid w:val="0057271C"/>
    <w:rsid w:val="00572845"/>
    <w:rsid w:val="00580B14"/>
    <w:rsid w:val="00592772"/>
    <w:rsid w:val="0059574A"/>
    <w:rsid w:val="005A1B9B"/>
    <w:rsid w:val="005A60B0"/>
    <w:rsid w:val="005A6751"/>
    <w:rsid w:val="005B092E"/>
    <w:rsid w:val="005B152C"/>
    <w:rsid w:val="005B1EE0"/>
    <w:rsid w:val="005B2B24"/>
    <w:rsid w:val="005B4425"/>
    <w:rsid w:val="005B4B94"/>
    <w:rsid w:val="005C394E"/>
    <w:rsid w:val="005C3EE8"/>
    <w:rsid w:val="005D34F9"/>
    <w:rsid w:val="005D4190"/>
    <w:rsid w:val="005D67A3"/>
    <w:rsid w:val="005E2988"/>
    <w:rsid w:val="005E2A43"/>
    <w:rsid w:val="005E3085"/>
    <w:rsid w:val="005E3783"/>
    <w:rsid w:val="005F46D3"/>
    <w:rsid w:val="005F51E1"/>
    <w:rsid w:val="00605835"/>
    <w:rsid w:val="00611C80"/>
    <w:rsid w:val="00615AB0"/>
    <w:rsid w:val="00620692"/>
    <w:rsid w:val="006242CA"/>
    <w:rsid w:val="00627507"/>
    <w:rsid w:val="00633717"/>
    <w:rsid w:val="006344E1"/>
    <w:rsid w:val="00634A4A"/>
    <w:rsid w:val="006440D1"/>
    <w:rsid w:val="00650D88"/>
    <w:rsid w:val="006545C4"/>
    <w:rsid w:val="00661971"/>
    <w:rsid w:val="00661CE8"/>
    <w:rsid w:val="006623D9"/>
    <w:rsid w:val="00664191"/>
    <w:rsid w:val="0066550C"/>
    <w:rsid w:val="006711EC"/>
    <w:rsid w:val="006716F2"/>
    <w:rsid w:val="00682BF2"/>
    <w:rsid w:val="006859CE"/>
    <w:rsid w:val="006864DC"/>
    <w:rsid w:val="00691270"/>
    <w:rsid w:val="00694BA8"/>
    <w:rsid w:val="006A037C"/>
    <w:rsid w:val="006A2F68"/>
    <w:rsid w:val="006A36F4"/>
    <w:rsid w:val="006A406F"/>
    <w:rsid w:val="006A5D3A"/>
    <w:rsid w:val="006B6F2B"/>
    <w:rsid w:val="006C23D4"/>
    <w:rsid w:val="006C7BB0"/>
    <w:rsid w:val="006D3237"/>
    <w:rsid w:val="006D651C"/>
    <w:rsid w:val="006E2A12"/>
    <w:rsid w:val="006E2E37"/>
    <w:rsid w:val="006E3CF1"/>
    <w:rsid w:val="006E7E80"/>
    <w:rsid w:val="006F48CA"/>
    <w:rsid w:val="006F64DD"/>
    <w:rsid w:val="00715127"/>
    <w:rsid w:val="00715E8E"/>
    <w:rsid w:val="00716AEB"/>
    <w:rsid w:val="00723580"/>
    <w:rsid w:val="00723755"/>
    <w:rsid w:val="0073136C"/>
    <w:rsid w:val="00731F0F"/>
    <w:rsid w:val="00731FF3"/>
    <w:rsid w:val="0073296B"/>
    <w:rsid w:val="00733250"/>
    <w:rsid w:val="00741404"/>
    <w:rsid w:val="007421A4"/>
    <w:rsid w:val="007449E5"/>
    <w:rsid w:val="00746C5A"/>
    <w:rsid w:val="00747FF0"/>
    <w:rsid w:val="00761884"/>
    <w:rsid w:val="00764D4E"/>
    <w:rsid w:val="00765A1F"/>
    <w:rsid w:val="00766F47"/>
    <w:rsid w:val="0077149D"/>
    <w:rsid w:val="00775B6D"/>
    <w:rsid w:val="00776D68"/>
    <w:rsid w:val="007850EE"/>
    <w:rsid w:val="00785B95"/>
    <w:rsid w:val="00790E96"/>
    <w:rsid w:val="00793366"/>
    <w:rsid w:val="00793FAF"/>
    <w:rsid w:val="00795FCA"/>
    <w:rsid w:val="007A716F"/>
    <w:rsid w:val="007B270A"/>
    <w:rsid w:val="007B5431"/>
    <w:rsid w:val="007C0695"/>
    <w:rsid w:val="007C419A"/>
    <w:rsid w:val="007C4CC8"/>
    <w:rsid w:val="007C5426"/>
    <w:rsid w:val="007C5798"/>
    <w:rsid w:val="007D3E4F"/>
    <w:rsid w:val="007D4832"/>
    <w:rsid w:val="007E21B2"/>
    <w:rsid w:val="007E2C4E"/>
    <w:rsid w:val="007F163B"/>
    <w:rsid w:val="007F1905"/>
    <w:rsid w:val="007F2236"/>
    <w:rsid w:val="007F68B6"/>
    <w:rsid w:val="007F7481"/>
    <w:rsid w:val="00801300"/>
    <w:rsid w:val="00802C64"/>
    <w:rsid w:val="00805E52"/>
    <w:rsid w:val="008061D0"/>
    <w:rsid w:val="00810B38"/>
    <w:rsid w:val="00817687"/>
    <w:rsid w:val="008204C7"/>
    <w:rsid w:val="00820992"/>
    <w:rsid w:val="00823602"/>
    <w:rsid w:val="008255F5"/>
    <w:rsid w:val="0083014E"/>
    <w:rsid w:val="0083214A"/>
    <w:rsid w:val="00834220"/>
    <w:rsid w:val="00842723"/>
    <w:rsid w:val="00845723"/>
    <w:rsid w:val="00851EF9"/>
    <w:rsid w:val="008577FD"/>
    <w:rsid w:val="00860B03"/>
    <w:rsid w:val="0086497A"/>
    <w:rsid w:val="00870E7D"/>
    <w:rsid w:val="008713A1"/>
    <w:rsid w:val="008754AB"/>
    <w:rsid w:val="00877939"/>
    <w:rsid w:val="0088060C"/>
    <w:rsid w:val="00893576"/>
    <w:rsid w:val="00893E73"/>
    <w:rsid w:val="008A13A4"/>
    <w:rsid w:val="008A43C4"/>
    <w:rsid w:val="008A4C7E"/>
    <w:rsid w:val="008B02DC"/>
    <w:rsid w:val="008B57CE"/>
    <w:rsid w:val="008C09E7"/>
    <w:rsid w:val="008C26DE"/>
    <w:rsid w:val="008D2225"/>
    <w:rsid w:val="008D4752"/>
    <w:rsid w:val="008E271C"/>
    <w:rsid w:val="008E418E"/>
    <w:rsid w:val="008E5BC6"/>
    <w:rsid w:val="008E6A25"/>
    <w:rsid w:val="008F5193"/>
    <w:rsid w:val="008F7119"/>
    <w:rsid w:val="009013A7"/>
    <w:rsid w:val="009017FB"/>
    <w:rsid w:val="009017FC"/>
    <w:rsid w:val="0090506B"/>
    <w:rsid w:val="009050C9"/>
    <w:rsid w:val="009066FC"/>
    <w:rsid w:val="00907E06"/>
    <w:rsid w:val="009140A3"/>
    <w:rsid w:val="009144A2"/>
    <w:rsid w:val="009146E9"/>
    <w:rsid w:val="0091510C"/>
    <w:rsid w:val="009259AC"/>
    <w:rsid w:val="00926F38"/>
    <w:rsid w:val="00934301"/>
    <w:rsid w:val="00936CD1"/>
    <w:rsid w:val="00941747"/>
    <w:rsid w:val="00941EFB"/>
    <w:rsid w:val="00943D99"/>
    <w:rsid w:val="0094494E"/>
    <w:rsid w:val="00947AFB"/>
    <w:rsid w:val="00951D7D"/>
    <w:rsid w:val="009630C7"/>
    <w:rsid w:val="0096384A"/>
    <w:rsid w:val="009649D3"/>
    <w:rsid w:val="00972B55"/>
    <w:rsid w:val="009743B7"/>
    <w:rsid w:val="0098228B"/>
    <w:rsid w:val="009828DA"/>
    <w:rsid w:val="00985BAB"/>
    <w:rsid w:val="009B1B5F"/>
    <w:rsid w:val="009B2EC2"/>
    <w:rsid w:val="009B6673"/>
    <w:rsid w:val="009C191B"/>
    <w:rsid w:val="009C2BD6"/>
    <w:rsid w:val="009C3E14"/>
    <w:rsid w:val="009C4703"/>
    <w:rsid w:val="009D3713"/>
    <w:rsid w:val="009D4168"/>
    <w:rsid w:val="009E16C4"/>
    <w:rsid w:val="009E1F32"/>
    <w:rsid w:val="009E5829"/>
    <w:rsid w:val="009E776C"/>
    <w:rsid w:val="00A03857"/>
    <w:rsid w:val="00A06642"/>
    <w:rsid w:val="00A1726E"/>
    <w:rsid w:val="00A204CF"/>
    <w:rsid w:val="00A23D49"/>
    <w:rsid w:val="00A27004"/>
    <w:rsid w:val="00A30C29"/>
    <w:rsid w:val="00A33CA2"/>
    <w:rsid w:val="00A34DD6"/>
    <w:rsid w:val="00A36819"/>
    <w:rsid w:val="00A36989"/>
    <w:rsid w:val="00A43628"/>
    <w:rsid w:val="00A54192"/>
    <w:rsid w:val="00A6035E"/>
    <w:rsid w:val="00A6144C"/>
    <w:rsid w:val="00A66464"/>
    <w:rsid w:val="00A66617"/>
    <w:rsid w:val="00A671F8"/>
    <w:rsid w:val="00A673A4"/>
    <w:rsid w:val="00A704D2"/>
    <w:rsid w:val="00A724AE"/>
    <w:rsid w:val="00A73329"/>
    <w:rsid w:val="00A768D0"/>
    <w:rsid w:val="00A82359"/>
    <w:rsid w:val="00A865D2"/>
    <w:rsid w:val="00A91C8E"/>
    <w:rsid w:val="00A94C20"/>
    <w:rsid w:val="00AA227F"/>
    <w:rsid w:val="00AA3BC7"/>
    <w:rsid w:val="00AA754A"/>
    <w:rsid w:val="00AB099E"/>
    <w:rsid w:val="00AB4328"/>
    <w:rsid w:val="00AD7759"/>
    <w:rsid w:val="00AE0A2E"/>
    <w:rsid w:val="00AE354C"/>
    <w:rsid w:val="00AF4B07"/>
    <w:rsid w:val="00AF6186"/>
    <w:rsid w:val="00AF7A3A"/>
    <w:rsid w:val="00B133DB"/>
    <w:rsid w:val="00B147D1"/>
    <w:rsid w:val="00B160DB"/>
    <w:rsid w:val="00B20836"/>
    <w:rsid w:val="00B22822"/>
    <w:rsid w:val="00B235BB"/>
    <w:rsid w:val="00B2496C"/>
    <w:rsid w:val="00B2587E"/>
    <w:rsid w:val="00B261B4"/>
    <w:rsid w:val="00B27A44"/>
    <w:rsid w:val="00B30BBF"/>
    <w:rsid w:val="00B33C03"/>
    <w:rsid w:val="00B44E56"/>
    <w:rsid w:val="00B46543"/>
    <w:rsid w:val="00B47D33"/>
    <w:rsid w:val="00B52BE0"/>
    <w:rsid w:val="00B54133"/>
    <w:rsid w:val="00B627C7"/>
    <w:rsid w:val="00B701ED"/>
    <w:rsid w:val="00B72B29"/>
    <w:rsid w:val="00B73CE7"/>
    <w:rsid w:val="00B76215"/>
    <w:rsid w:val="00B8086C"/>
    <w:rsid w:val="00B861B4"/>
    <w:rsid w:val="00B86DFE"/>
    <w:rsid w:val="00B90990"/>
    <w:rsid w:val="00B90B51"/>
    <w:rsid w:val="00B922FF"/>
    <w:rsid w:val="00B9281E"/>
    <w:rsid w:val="00B93925"/>
    <w:rsid w:val="00B95187"/>
    <w:rsid w:val="00B95C15"/>
    <w:rsid w:val="00BA2D55"/>
    <w:rsid w:val="00BA71B1"/>
    <w:rsid w:val="00BB0637"/>
    <w:rsid w:val="00BB1DD0"/>
    <w:rsid w:val="00BB345F"/>
    <w:rsid w:val="00BB68EA"/>
    <w:rsid w:val="00BC1C27"/>
    <w:rsid w:val="00BC4B50"/>
    <w:rsid w:val="00BC6BBF"/>
    <w:rsid w:val="00BD1572"/>
    <w:rsid w:val="00BE06FB"/>
    <w:rsid w:val="00BE14E3"/>
    <w:rsid w:val="00BE3066"/>
    <w:rsid w:val="00BE3774"/>
    <w:rsid w:val="00BE41E5"/>
    <w:rsid w:val="00BF4109"/>
    <w:rsid w:val="00BF4CC3"/>
    <w:rsid w:val="00BF70DC"/>
    <w:rsid w:val="00C054C7"/>
    <w:rsid w:val="00C057B5"/>
    <w:rsid w:val="00C22687"/>
    <w:rsid w:val="00C2580E"/>
    <w:rsid w:val="00C31122"/>
    <w:rsid w:val="00C32E4D"/>
    <w:rsid w:val="00C333A0"/>
    <w:rsid w:val="00C36A81"/>
    <w:rsid w:val="00C40D9E"/>
    <w:rsid w:val="00C41974"/>
    <w:rsid w:val="00C447AD"/>
    <w:rsid w:val="00C4659E"/>
    <w:rsid w:val="00C53F4A"/>
    <w:rsid w:val="00C54125"/>
    <w:rsid w:val="00C55B54"/>
    <w:rsid w:val="00C6098E"/>
    <w:rsid w:val="00C6152C"/>
    <w:rsid w:val="00C621C2"/>
    <w:rsid w:val="00C74810"/>
    <w:rsid w:val="00C90D68"/>
    <w:rsid w:val="00C912EF"/>
    <w:rsid w:val="00C939FE"/>
    <w:rsid w:val="00CA18EB"/>
    <w:rsid w:val="00CA366E"/>
    <w:rsid w:val="00CA4BDA"/>
    <w:rsid w:val="00CA650C"/>
    <w:rsid w:val="00CB13F2"/>
    <w:rsid w:val="00CB1F66"/>
    <w:rsid w:val="00CB2951"/>
    <w:rsid w:val="00CC3212"/>
    <w:rsid w:val="00CC6C62"/>
    <w:rsid w:val="00CD282B"/>
    <w:rsid w:val="00CD4C35"/>
    <w:rsid w:val="00CD7369"/>
    <w:rsid w:val="00CE0B0E"/>
    <w:rsid w:val="00CE3831"/>
    <w:rsid w:val="00CE3BE7"/>
    <w:rsid w:val="00CF440B"/>
    <w:rsid w:val="00D00ABB"/>
    <w:rsid w:val="00D02EEC"/>
    <w:rsid w:val="00D03551"/>
    <w:rsid w:val="00D03DF7"/>
    <w:rsid w:val="00D06A63"/>
    <w:rsid w:val="00D07E0E"/>
    <w:rsid w:val="00D11478"/>
    <w:rsid w:val="00D15ED0"/>
    <w:rsid w:val="00D16897"/>
    <w:rsid w:val="00D21B3E"/>
    <w:rsid w:val="00D21FED"/>
    <w:rsid w:val="00D24251"/>
    <w:rsid w:val="00D2437F"/>
    <w:rsid w:val="00D31E10"/>
    <w:rsid w:val="00D32DD1"/>
    <w:rsid w:val="00D343E2"/>
    <w:rsid w:val="00D361A2"/>
    <w:rsid w:val="00D44C2E"/>
    <w:rsid w:val="00D45414"/>
    <w:rsid w:val="00D566BD"/>
    <w:rsid w:val="00D57A4D"/>
    <w:rsid w:val="00D60AA7"/>
    <w:rsid w:val="00D60D87"/>
    <w:rsid w:val="00D6435F"/>
    <w:rsid w:val="00D75E28"/>
    <w:rsid w:val="00D772C2"/>
    <w:rsid w:val="00D8008E"/>
    <w:rsid w:val="00D82C45"/>
    <w:rsid w:val="00D908A8"/>
    <w:rsid w:val="00D977B6"/>
    <w:rsid w:val="00DA4A31"/>
    <w:rsid w:val="00DA5F32"/>
    <w:rsid w:val="00DA7804"/>
    <w:rsid w:val="00DA7B04"/>
    <w:rsid w:val="00DB36C2"/>
    <w:rsid w:val="00DC169B"/>
    <w:rsid w:val="00DC2AB9"/>
    <w:rsid w:val="00DC63F0"/>
    <w:rsid w:val="00DD6EE5"/>
    <w:rsid w:val="00DE386C"/>
    <w:rsid w:val="00DE4D35"/>
    <w:rsid w:val="00DF0549"/>
    <w:rsid w:val="00DF098B"/>
    <w:rsid w:val="00DF11C4"/>
    <w:rsid w:val="00DF210C"/>
    <w:rsid w:val="00DF4B6A"/>
    <w:rsid w:val="00E02652"/>
    <w:rsid w:val="00E02C09"/>
    <w:rsid w:val="00E03F4B"/>
    <w:rsid w:val="00E04D59"/>
    <w:rsid w:val="00E05D19"/>
    <w:rsid w:val="00E05FAA"/>
    <w:rsid w:val="00E07DA1"/>
    <w:rsid w:val="00E123CB"/>
    <w:rsid w:val="00E17525"/>
    <w:rsid w:val="00E20E13"/>
    <w:rsid w:val="00E21DBC"/>
    <w:rsid w:val="00E275D7"/>
    <w:rsid w:val="00E27DBE"/>
    <w:rsid w:val="00E32AB1"/>
    <w:rsid w:val="00E36C71"/>
    <w:rsid w:val="00E37956"/>
    <w:rsid w:val="00E40404"/>
    <w:rsid w:val="00E459C6"/>
    <w:rsid w:val="00E47589"/>
    <w:rsid w:val="00E523FF"/>
    <w:rsid w:val="00E5698F"/>
    <w:rsid w:val="00E64915"/>
    <w:rsid w:val="00E661D4"/>
    <w:rsid w:val="00E70091"/>
    <w:rsid w:val="00E720F5"/>
    <w:rsid w:val="00E76D47"/>
    <w:rsid w:val="00E83B4F"/>
    <w:rsid w:val="00E849F7"/>
    <w:rsid w:val="00E90302"/>
    <w:rsid w:val="00E919A0"/>
    <w:rsid w:val="00E97396"/>
    <w:rsid w:val="00EA185E"/>
    <w:rsid w:val="00EA592A"/>
    <w:rsid w:val="00EB129E"/>
    <w:rsid w:val="00EB14E4"/>
    <w:rsid w:val="00EB32A5"/>
    <w:rsid w:val="00EB34ED"/>
    <w:rsid w:val="00EB7BE0"/>
    <w:rsid w:val="00EC315E"/>
    <w:rsid w:val="00ED077C"/>
    <w:rsid w:val="00ED1190"/>
    <w:rsid w:val="00ED6544"/>
    <w:rsid w:val="00EE0277"/>
    <w:rsid w:val="00EE1DA9"/>
    <w:rsid w:val="00EE3E00"/>
    <w:rsid w:val="00EE5DD2"/>
    <w:rsid w:val="00EF41F1"/>
    <w:rsid w:val="00EF4F08"/>
    <w:rsid w:val="00EF5BB9"/>
    <w:rsid w:val="00F00A79"/>
    <w:rsid w:val="00F00E86"/>
    <w:rsid w:val="00F07C1E"/>
    <w:rsid w:val="00F105DB"/>
    <w:rsid w:val="00F132BC"/>
    <w:rsid w:val="00F13D80"/>
    <w:rsid w:val="00F16AAA"/>
    <w:rsid w:val="00F21161"/>
    <w:rsid w:val="00F218EF"/>
    <w:rsid w:val="00F21BC7"/>
    <w:rsid w:val="00F266A2"/>
    <w:rsid w:val="00F32269"/>
    <w:rsid w:val="00F336E9"/>
    <w:rsid w:val="00F36674"/>
    <w:rsid w:val="00F53072"/>
    <w:rsid w:val="00F56A6F"/>
    <w:rsid w:val="00F5709C"/>
    <w:rsid w:val="00F64EF1"/>
    <w:rsid w:val="00F82E18"/>
    <w:rsid w:val="00F840C0"/>
    <w:rsid w:val="00F8765F"/>
    <w:rsid w:val="00F9005C"/>
    <w:rsid w:val="00F90767"/>
    <w:rsid w:val="00F933AF"/>
    <w:rsid w:val="00FA685B"/>
    <w:rsid w:val="00FB0C01"/>
    <w:rsid w:val="00FC18F2"/>
    <w:rsid w:val="00FC39E5"/>
    <w:rsid w:val="00FC3A78"/>
    <w:rsid w:val="00FD1005"/>
    <w:rsid w:val="00FD3180"/>
    <w:rsid w:val="00FD35F5"/>
    <w:rsid w:val="00FD53C8"/>
    <w:rsid w:val="00FD6C75"/>
    <w:rsid w:val="00FE457B"/>
    <w:rsid w:val="00FE71B3"/>
    <w:rsid w:val="00FE7805"/>
    <w:rsid w:val="00FF42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57" w:unhideWhenUsed="1"/>
    <w:lsdException w:name="footer" w:semiHidden="1" w:uiPriority="57"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EB129E"/>
    <w:pPr>
      <w:jc w:val="both"/>
    </w:pPr>
    <w:rPr>
      <w:rFonts w:eastAsiaTheme="minorEastAsia"/>
      <w:sz w:val="24"/>
    </w:rPr>
  </w:style>
  <w:style w:type="paragraph" w:styleId="Heading1">
    <w:name w:val="heading 1"/>
    <w:basedOn w:val="Normal"/>
    <w:next w:val="Normal"/>
    <w:link w:val="Heading1Char"/>
    <w:uiPriority w:val="99"/>
    <w:semiHidden/>
    <w:rsid w:val="00EB129E"/>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EB129E"/>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EB129E"/>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EB129E"/>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EB129E"/>
    <w:pPr>
      <w:spacing w:before="200"/>
      <w:outlineLvl w:val="4"/>
    </w:pPr>
    <w:rPr>
      <w:rFonts w:asciiTheme="majorHAnsi" w:eastAsiaTheme="majorEastAsia" w:hAnsiTheme="majorHAnsi" w:cstheme="majorBidi"/>
      <w:b/>
      <w:bCs/>
      <w:color w:val="808080"/>
      <w:sz w:val="22"/>
    </w:rPr>
  </w:style>
  <w:style w:type="paragraph" w:styleId="Heading6">
    <w:name w:val="heading 6"/>
    <w:basedOn w:val="Normal"/>
    <w:next w:val="Normal"/>
    <w:link w:val="Heading6Char"/>
    <w:uiPriority w:val="99"/>
    <w:semiHidden/>
    <w:rsid w:val="00EB129E"/>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EB129E"/>
    <w:pPr>
      <w:outlineLvl w:val="6"/>
    </w:pPr>
    <w:rPr>
      <w:rFonts w:asciiTheme="majorHAnsi" w:eastAsiaTheme="majorEastAsia" w:hAnsiTheme="majorHAnsi" w:cstheme="majorBidi"/>
      <w:i/>
      <w:iCs/>
      <w:sz w:val="22"/>
      <w:lang w:bidi="en-US"/>
    </w:rPr>
  </w:style>
  <w:style w:type="paragraph" w:styleId="Heading8">
    <w:name w:val="heading 8"/>
    <w:basedOn w:val="Normal"/>
    <w:next w:val="Normal"/>
    <w:link w:val="Heading8Char"/>
    <w:uiPriority w:val="99"/>
    <w:semiHidden/>
    <w:qFormat/>
    <w:rsid w:val="00EB129E"/>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EB129E"/>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EB129E"/>
    <w:rPr>
      <w:rFonts w:ascii="Tahoma" w:hAnsi="Tahoma" w:cs="Tahoma"/>
      <w:sz w:val="16"/>
      <w:szCs w:val="16"/>
    </w:rPr>
  </w:style>
  <w:style w:type="character" w:customStyle="1" w:styleId="BalloonTextChar">
    <w:name w:val="Balloon Text Char"/>
    <w:basedOn w:val="DefaultParagraphFont"/>
    <w:link w:val="BalloonText"/>
    <w:uiPriority w:val="99"/>
    <w:semiHidden/>
    <w:rsid w:val="00EB129E"/>
    <w:rPr>
      <w:rFonts w:ascii="Tahoma" w:eastAsiaTheme="minorEastAsia" w:hAnsi="Tahoma" w:cs="Tahoma"/>
      <w:sz w:val="16"/>
      <w:szCs w:val="16"/>
    </w:rPr>
  </w:style>
  <w:style w:type="character" w:styleId="BookTitle">
    <w:name w:val="Book Title"/>
    <w:uiPriority w:val="99"/>
    <w:semiHidden/>
    <w:qFormat/>
    <w:rsid w:val="00EB129E"/>
    <w:rPr>
      <w:i/>
      <w:iCs/>
      <w:smallCaps/>
      <w:spacing w:val="5"/>
    </w:rPr>
  </w:style>
  <w:style w:type="paragraph" w:customStyle="1" w:styleId="ECHRHeader">
    <w:name w:val="ECHR_Header"/>
    <w:aliases w:val="Ju_Header"/>
    <w:basedOn w:val="Header"/>
    <w:uiPriority w:val="4"/>
    <w:qFormat/>
    <w:rsid w:val="00EB129E"/>
    <w:pPr>
      <w:tabs>
        <w:tab w:val="clear" w:pos="4536"/>
        <w:tab w:val="clear" w:pos="9072"/>
        <w:tab w:val="center" w:pos="3686"/>
        <w:tab w:val="right" w:pos="7371"/>
      </w:tabs>
      <w:jc w:val="left"/>
    </w:pPr>
    <w:rPr>
      <w:sz w:val="18"/>
    </w:rPr>
  </w:style>
  <w:style w:type="paragraph" w:customStyle="1" w:styleId="ECHRFooter">
    <w:name w:val="ECHR_Footer"/>
    <w:aliases w:val="Footer_ECHR"/>
    <w:basedOn w:val="Footer"/>
    <w:uiPriority w:val="57"/>
    <w:semiHidden/>
    <w:rsid w:val="00EB129E"/>
    <w:pPr>
      <w:jc w:val="left"/>
    </w:pPr>
    <w:rPr>
      <w:sz w:val="8"/>
    </w:rPr>
  </w:style>
  <w:style w:type="character" w:styleId="Strong">
    <w:name w:val="Strong"/>
    <w:uiPriority w:val="99"/>
    <w:semiHidden/>
    <w:qFormat/>
    <w:rsid w:val="00EB129E"/>
    <w:rPr>
      <w:b/>
      <w:bCs/>
    </w:rPr>
  </w:style>
  <w:style w:type="paragraph" w:styleId="NoSpacing">
    <w:name w:val="No Spacing"/>
    <w:basedOn w:val="Normal"/>
    <w:link w:val="NoSpacingChar"/>
    <w:semiHidden/>
    <w:qFormat/>
    <w:rsid w:val="00EB129E"/>
    <w:rPr>
      <w:sz w:val="22"/>
    </w:rPr>
  </w:style>
  <w:style w:type="character" w:customStyle="1" w:styleId="NoSpacingChar">
    <w:name w:val="No Spacing Char"/>
    <w:basedOn w:val="DefaultParagraphFont"/>
    <w:link w:val="NoSpacing"/>
    <w:semiHidden/>
    <w:rsid w:val="00EB129E"/>
    <w:rPr>
      <w:rFonts w:eastAsiaTheme="minorEastAsia"/>
    </w:rPr>
  </w:style>
  <w:style w:type="paragraph" w:customStyle="1" w:styleId="ECHRFooterLine">
    <w:name w:val="ECHR_Footer_Line"/>
    <w:aliases w:val="Footer_Line"/>
    <w:basedOn w:val="Normal"/>
    <w:next w:val="ECHRFooter"/>
    <w:uiPriority w:val="57"/>
    <w:semiHidden/>
    <w:rsid w:val="00EB129E"/>
    <w:pPr>
      <w:pBdr>
        <w:top w:val="single" w:sz="6" w:space="1" w:color="5F5F5F"/>
      </w:pBdr>
      <w:tabs>
        <w:tab w:val="center" w:pos="4536"/>
        <w:tab w:val="right" w:pos="9696"/>
      </w:tabs>
      <w:ind w:left="-680" w:right="-680"/>
      <w:jc w:val="left"/>
    </w:pPr>
    <w:rPr>
      <w:color w:val="5F5F5F"/>
    </w:rPr>
  </w:style>
  <w:style w:type="paragraph" w:customStyle="1" w:styleId="JuAppQuestion">
    <w:name w:val="Ju_App_Question"/>
    <w:basedOn w:val="Normal"/>
    <w:uiPriority w:val="5"/>
    <w:rsid w:val="00EB129E"/>
    <w:pPr>
      <w:numPr>
        <w:numId w:val="14"/>
      </w:numPr>
      <w:jc w:val="left"/>
    </w:pPr>
    <w:rPr>
      <w:b/>
    </w:rPr>
  </w:style>
  <w:style w:type="paragraph" w:customStyle="1" w:styleId="OpiPara">
    <w:name w:val="Opi_Para"/>
    <w:basedOn w:val="ECHRPara"/>
    <w:uiPriority w:val="46"/>
    <w:qFormat/>
    <w:rsid w:val="00EB129E"/>
  </w:style>
  <w:style w:type="paragraph" w:customStyle="1" w:styleId="JuParaSub">
    <w:name w:val="Ju_Para_Sub"/>
    <w:basedOn w:val="ECHRPara"/>
    <w:uiPriority w:val="13"/>
    <w:qFormat/>
    <w:rsid w:val="00EB129E"/>
    <w:pPr>
      <w:ind w:left="284"/>
    </w:pPr>
  </w:style>
  <w:style w:type="paragraph" w:customStyle="1" w:styleId="ECHRTitleCentre3">
    <w:name w:val="ECHR_Title_Centre_3"/>
    <w:aliases w:val="Ju_H_Article"/>
    <w:basedOn w:val="Normal"/>
    <w:next w:val="ECHRParaQuote"/>
    <w:link w:val="JuHArticleChar"/>
    <w:uiPriority w:val="27"/>
    <w:qFormat/>
    <w:rsid w:val="00EB129E"/>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EB129E"/>
    <w:pPr>
      <w:keepNext/>
      <w:keepLines/>
      <w:spacing w:after="240"/>
      <w:jc w:val="center"/>
      <w:outlineLvl w:val="0"/>
    </w:pPr>
    <w:rPr>
      <w:rFonts w:asciiTheme="majorHAnsi" w:hAnsiTheme="majorHAnsi"/>
      <w:sz w:val="28"/>
    </w:rPr>
  </w:style>
  <w:style w:type="paragraph" w:customStyle="1" w:styleId="OpiParaSub">
    <w:name w:val="Opi_Para_Sub"/>
    <w:basedOn w:val="JuParaSub"/>
    <w:uiPriority w:val="47"/>
    <w:qFormat/>
    <w:rsid w:val="00EB129E"/>
  </w:style>
  <w:style w:type="paragraph" w:customStyle="1" w:styleId="OpiQuot">
    <w:name w:val="Opi_Quot"/>
    <w:basedOn w:val="ECHRParaQuote"/>
    <w:uiPriority w:val="48"/>
    <w:qFormat/>
    <w:rsid w:val="00EB129E"/>
  </w:style>
  <w:style w:type="paragraph" w:customStyle="1" w:styleId="OpiQuotSub">
    <w:name w:val="Opi_Quot_Sub"/>
    <w:basedOn w:val="JuQuotSub"/>
    <w:uiPriority w:val="49"/>
    <w:qFormat/>
    <w:rsid w:val="00EB129E"/>
  </w:style>
  <w:style w:type="paragraph" w:customStyle="1" w:styleId="ECHRTitleCentre2">
    <w:name w:val="ECHR_Title_Centre_2"/>
    <w:aliases w:val="Dec_H_Case"/>
    <w:basedOn w:val="Normal"/>
    <w:next w:val="ECHRPara"/>
    <w:uiPriority w:val="8"/>
    <w:rsid w:val="00EB129E"/>
    <w:pPr>
      <w:spacing w:after="240"/>
      <w:jc w:val="center"/>
      <w:outlineLvl w:val="0"/>
    </w:pPr>
    <w:rPr>
      <w:rFonts w:asciiTheme="majorHAnsi" w:hAnsiTheme="majorHAnsi"/>
    </w:rPr>
  </w:style>
  <w:style w:type="paragraph" w:customStyle="1" w:styleId="JuTitle">
    <w:name w:val="Ju_Title"/>
    <w:basedOn w:val="Normal"/>
    <w:next w:val="ECHRPara"/>
    <w:uiPriority w:val="3"/>
    <w:rsid w:val="00EB129E"/>
    <w:pPr>
      <w:spacing w:before="720" w:after="240"/>
      <w:jc w:val="center"/>
      <w:outlineLvl w:val="0"/>
    </w:pPr>
    <w:rPr>
      <w:rFonts w:asciiTheme="majorHAnsi" w:hAnsiTheme="majorHAnsi"/>
      <w:b/>
      <w:caps/>
    </w:rPr>
  </w:style>
  <w:style w:type="paragraph" w:styleId="Title">
    <w:name w:val="Title"/>
    <w:basedOn w:val="Normal"/>
    <w:next w:val="Normal"/>
    <w:link w:val="TitleChar"/>
    <w:uiPriority w:val="99"/>
    <w:semiHidden/>
    <w:qFormat/>
    <w:rsid w:val="00EB129E"/>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semiHidden/>
    <w:rsid w:val="00EB129E"/>
    <w:rPr>
      <w:rFonts w:asciiTheme="majorHAnsi" w:eastAsiaTheme="majorEastAsia" w:hAnsiTheme="majorHAnsi" w:cstheme="majorBidi"/>
      <w:spacing w:val="5"/>
      <w:sz w:val="52"/>
      <w:szCs w:val="52"/>
      <w:lang w:bidi="en-US"/>
    </w:rPr>
  </w:style>
  <w:style w:type="paragraph" w:customStyle="1" w:styleId="ECHRHeading3">
    <w:name w:val="ECHR_Heading_3"/>
    <w:aliases w:val="Ju_H_1."/>
    <w:basedOn w:val="Heading3"/>
    <w:next w:val="ECHRPara"/>
    <w:uiPriority w:val="21"/>
    <w:qFormat/>
    <w:rsid w:val="00EB129E"/>
    <w:pPr>
      <w:keepNext/>
      <w:keepLines/>
      <w:tabs>
        <w:tab w:val="left" w:pos="731"/>
      </w:tabs>
      <w:spacing w:before="240" w:after="120" w:line="240" w:lineRule="auto"/>
      <w:ind w:left="732" w:hanging="301"/>
    </w:pPr>
    <w:rPr>
      <w:b w:val="0"/>
      <w:i/>
      <w:color w:val="auto"/>
    </w:rPr>
  </w:style>
  <w:style w:type="paragraph" w:customStyle="1" w:styleId="ECHRHeading4">
    <w:name w:val="ECHR_Heading_4"/>
    <w:aliases w:val="Ju_H_a"/>
    <w:basedOn w:val="Heading4"/>
    <w:next w:val="ECHRPara"/>
    <w:uiPriority w:val="22"/>
    <w:qFormat/>
    <w:rsid w:val="00EB129E"/>
    <w:pPr>
      <w:keepNext/>
      <w:keepLines/>
      <w:tabs>
        <w:tab w:val="left" w:pos="975"/>
      </w:tabs>
      <w:spacing w:before="240" w:after="120"/>
      <w:ind w:left="975" w:hanging="340"/>
    </w:pPr>
    <w:rPr>
      <w:i w:val="0"/>
      <w:color w:val="auto"/>
      <w:sz w:val="20"/>
    </w:rPr>
  </w:style>
  <w:style w:type="paragraph" w:customStyle="1" w:styleId="ECHRHeading5">
    <w:name w:val="ECHR_Heading_5"/>
    <w:aliases w:val="Ju_H_i"/>
    <w:basedOn w:val="Heading5"/>
    <w:next w:val="ECHRPara"/>
    <w:uiPriority w:val="23"/>
    <w:qFormat/>
    <w:rsid w:val="00EB129E"/>
    <w:pPr>
      <w:keepNext/>
      <w:keepLines/>
      <w:tabs>
        <w:tab w:val="left" w:pos="1191"/>
      </w:tabs>
      <w:spacing w:before="240" w:after="120"/>
      <w:ind w:left="1190" w:hanging="357"/>
    </w:pPr>
    <w:rPr>
      <w:b w:val="0"/>
      <w:i/>
      <w:color w:val="auto"/>
      <w:sz w:val="20"/>
    </w:rPr>
  </w:style>
  <w:style w:type="paragraph" w:customStyle="1" w:styleId="ECHRHeading6">
    <w:name w:val="ECHR_Heading_6"/>
    <w:aliases w:val="Ju_H_alpha"/>
    <w:basedOn w:val="Heading6"/>
    <w:next w:val="ECHRPara"/>
    <w:uiPriority w:val="24"/>
    <w:qFormat/>
    <w:rsid w:val="00EB129E"/>
    <w:pPr>
      <w:keepNext/>
      <w:keepLines/>
      <w:tabs>
        <w:tab w:val="left" w:pos="1372"/>
      </w:tabs>
      <w:spacing w:before="240" w:after="120" w:line="240" w:lineRule="auto"/>
      <w:ind w:left="1373" w:hanging="335"/>
    </w:pPr>
    <w:rPr>
      <w:b w:val="0"/>
      <w:color w:val="auto"/>
      <w:sz w:val="20"/>
    </w:rPr>
  </w:style>
  <w:style w:type="paragraph" w:customStyle="1" w:styleId="ECHRHeading7">
    <w:name w:val="ECHR_Heading_7"/>
    <w:aliases w:val="Ju_H_–"/>
    <w:basedOn w:val="Heading7"/>
    <w:next w:val="ECHRPara"/>
    <w:uiPriority w:val="25"/>
    <w:qFormat/>
    <w:rsid w:val="00EB129E"/>
    <w:pPr>
      <w:keepNext/>
      <w:keepLines/>
      <w:spacing w:before="240" w:after="120"/>
      <w:ind w:left="1236"/>
    </w:pPr>
    <w:rPr>
      <w:sz w:val="20"/>
    </w:rPr>
  </w:style>
  <w:style w:type="paragraph" w:customStyle="1" w:styleId="JuQuotSub">
    <w:name w:val="Ju_Quot_Sub"/>
    <w:basedOn w:val="ECHRParaQuote"/>
    <w:uiPriority w:val="15"/>
    <w:qFormat/>
    <w:rsid w:val="00EB129E"/>
    <w:pPr>
      <w:ind w:left="567"/>
    </w:pPr>
  </w:style>
  <w:style w:type="paragraph" w:customStyle="1" w:styleId="JuInitialled">
    <w:name w:val="Ju_Initialled"/>
    <w:basedOn w:val="Normal"/>
    <w:uiPriority w:val="31"/>
    <w:qFormat/>
    <w:rsid w:val="00EB129E"/>
    <w:pPr>
      <w:tabs>
        <w:tab w:val="center" w:pos="6407"/>
      </w:tabs>
      <w:spacing w:before="720"/>
      <w:jc w:val="right"/>
    </w:pPr>
  </w:style>
  <w:style w:type="paragraph" w:customStyle="1" w:styleId="OpiHA">
    <w:name w:val="Opi_H_A"/>
    <w:basedOn w:val="ECHRHeading1"/>
    <w:next w:val="OpiPara"/>
    <w:uiPriority w:val="41"/>
    <w:qFormat/>
    <w:rsid w:val="00EB129E"/>
    <w:pPr>
      <w:tabs>
        <w:tab w:val="clear" w:pos="357"/>
      </w:tabs>
      <w:outlineLvl w:val="1"/>
    </w:pPr>
    <w:rPr>
      <w:b/>
    </w:rPr>
  </w:style>
  <w:style w:type="paragraph" w:styleId="Header">
    <w:name w:val="header"/>
    <w:basedOn w:val="Normal"/>
    <w:link w:val="HeaderChar"/>
    <w:uiPriority w:val="57"/>
    <w:semiHidden/>
    <w:rsid w:val="00EB129E"/>
    <w:pPr>
      <w:tabs>
        <w:tab w:val="center" w:pos="4536"/>
        <w:tab w:val="right" w:pos="9072"/>
      </w:tabs>
    </w:pPr>
    <w:rPr>
      <w:rFonts w:eastAsiaTheme="minorHAnsi"/>
    </w:rPr>
  </w:style>
  <w:style w:type="character" w:customStyle="1" w:styleId="HeaderChar">
    <w:name w:val="Header Char"/>
    <w:basedOn w:val="DefaultParagraphFont"/>
    <w:link w:val="Header"/>
    <w:uiPriority w:val="57"/>
    <w:semiHidden/>
    <w:rsid w:val="00EB129E"/>
    <w:rPr>
      <w:sz w:val="24"/>
    </w:rPr>
  </w:style>
  <w:style w:type="character" w:customStyle="1" w:styleId="Heading1Char">
    <w:name w:val="Heading 1 Char"/>
    <w:basedOn w:val="DefaultParagraphFont"/>
    <w:link w:val="Heading1"/>
    <w:uiPriority w:val="99"/>
    <w:semiHidden/>
    <w:rsid w:val="00EB129E"/>
    <w:rPr>
      <w:rFonts w:asciiTheme="majorHAnsi" w:eastAsiaTheme="majorEastAsia" w:hAnsiTheme="majorHAnsi" w:cstheme="majorBidi"/>
      <w:b/>
      <w:bCs/>
      <w:color w:val="333333"/>
      <w:sz w:val="28"/>
      <w:szCs w:val="28"/>
    </w:rPr>
  </w:style>
  <w:style w:type="paragraph" w:customStyle="1" w:styleId="ECHRHeading1">
    <w:name w:val="ECHR_Heading_1"/>
    <w:aliases w:val="Ju_H_I_Roman"/>
    <w:basedOn w:val="Heading1"/>
    <w:next w:val="ECHRPara"/>
    <w:uiPriority w:val="19"/>
    <w:qFormat/>
    <w:rsid w:val="00EB129E"/>
    <w:pPr>
      <w:keepNext/>
      <w:keepLines/>
      <w:tabs>
        <w:tab w:val="left" w:pos="357"/>
      </w:tabs>
      <w:spacing w:before="360" w:after="240"/>
      <w:ind w:left="357" w:hanging="357"/>
      <w:contextualSpacing w:val="0"/>
    </w:pPr>
    <w:rPr>
      <w:b w:val="0"/>
      <w:color w:val="auto"/>
      <w:sz w:val="24"/>
    </w:rPr>
  </w:style>
  <w:style w:type="paragraph" w:customStyle="1" w:styleId="ECHRHeading2">
    <w:name w:val="ECHR_Heading_2"/>
    <w:aliases w:val="Ju_H_A"/>
    <w:basedOn w:val="Heading2"/>
    <w:next w:val="ECHRPara"/>
    <w:link w:val="JuHAChar"/>
    <w:uiPriority w:val="20"/>
    <w:qFormat/>
    <w:rsid w:val="00EB129E"/>
    <w:pPr>
      <w:keepNext/>
      <w:keepLines/>
      <w:tabs>
        <w:tab w:val="left" w:pos="584"/>
      </w:tabs>
      <w:spacing w:before="360" w:after="240"/>
      <w:ind w:left="584" w:hanging="352"/>
    </w:pPr>
    <w:rPr>
      <w:color w:val="auto"/>
      <w:sz w:val="24"/>
    </w:rPr>
  </w:style>
  <w:style w:type="character" w:customStyle="1" w:styleId="Heading2Char">
    <w:name w:val="Heading 2 Char"/>
    <w:basedOn w:val="DefaultParagraphFont"/>
    <w:link w:val="Heading2"/>
    <w:uiPriority w:val="99"/>
    <w:semiHidden/>
    <w:rsid w:val="00EB129E"/>
    <w:rPr>
      <w:rFonts w:asciiTheme="majorHAnsi" w:eastAsiaTheme="majorEastAsia" w:hAnsiTheme="majorHAnsi" w:cstheme="majorBidi"/>
      <w:b/>
      <w:bCs/>
      <w:color w:val="4D4D4D"/>
      <w:sz w:val="26"/>
      <w:szCs w:val="26"/>
    </w:rPr>
  </w:style>
  <w:style w:type="character" w:customStyle="1" w:styleId="JUNAMES">
    <w:name w:val="JU_NAMES"/>
    <w:uiPriority w:val="17"/>
    <w:qFormat/>
    <w:rsid w:val="00EB129E"/>
    <w:rPr>
      <w:caps w:val="0"/>
      <w:smallCaps/>
    </w:rPr>
  </w:style>
  <w:style w:type="paragraph" w:customStyle="1" w:styleId="JuCase">
    <w:name w:val="Ju_Case"/>
    <w:basedOn w:val="Normal"/>
    <w:next w:val="ECHRPara"/>
    <w:uiPriority w:val="10"/>
    <w:rsid w:val="00EB129E"/>
    <w:pPr>
      <w:ind w:firstLine="284"/>
    </w:pPr>
    <w:rPr>
      <w:b/>
    </w:rPr>
  </w:style>
  <w:style w:type="character" w:customStyle="1" w:styleId="Heading3Char">
    <w:name w:val="Heading 3 Char"/>
    <w:basedOn w:val="DefaultParagraphFont"/>
    <w:link w:val="Heading3"/>
    <w:uiPriority w:val="99"/>
    <w:semiHidden/>
    <w:rsid w:val="00EB129E"/>
    <w:rPr>
      <w:rFonts w:asciiTheme="majorHAnsi" w:eastAsiaTheme="majorEastAsia" w:hAnsiTheme="majorHAnsi" w:cstheme="majorBidi"/>
      <w:b/>
      <w:bCs/>
      <w:color w:val="5F5F5F"/>
      <w:sz w:val="24"/>
    </w:rPr>
  </w:style>
  <w:style w:type="character" w:customStyle="1" w:styleId="Heading4Char">
    <w:name w:val="Heading 4 Char"/>
    <w:basedOn w:val="DefaultParagraphFont"/>
    <w:link w:val="Heading4"/>
    <w:uiPriority w:val="99"/>
    <w:semiHidden/>
    <w:rsid w:val="00EB129E"/>
    <w:rPr>
      <w:rFonts w:asciiTheme="majorHAnsi" w:eastAsiaTheme="majorEastAsia" w:hAnsiTheme="majorHAnsi" w:cstheme="majorBidi"/>
      <w:b/>
      <w:bCs/>
      <w:i/>
      <w:iCs/>
      <w:color w:val="777777"/>
      <w:sz w:val="24"/>
    </w:rPr>
  </w:style>
  <w:style w:type="character" w:customStyle="1" w:styleId="Heading5Char">
    <w:name w:val="Heading 5 Char"/>
    <w:basedOn w:val="DefaultParagraphFont"/>
    <w:link w:val="Heading5"/>
    <w:uiPriority w:val="99"/>
    <w:semiHidden/>
    <w:rsid w:val="00EB129E"/>
    <w:rPr>
      <w:rFonts w:asciiTheme="majorHAnsi" w:eastAsiaTheme="majorEastAsia" w:hAnsiTheme="majorHAnsi" w:cstheme="majorBidi"/>
      <w:b/>
      <w:bCs/>
      <w:color w:val="808080"/>
    </w:rPr>
  </w:style>
  <w:style w:type="character" w:styleId="SubtleEmphasis">
    <w:name w:val="Subtle Emphasis"/>
    <w:uiPriority w:val="99"/>
    <w:semiHidden/>
    <w:qFormat/>
    <w:rsid w:val="00EB129E"/>
    <w:rPr>
      <w:i/>
      <w:iCs/>
    </w:r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customStyle="1" w:styleId="ECHRTitle1">
    <w:name w:val="ECHR_Title_1"/>
    <w:aliases w:val="Ju_H_Head"/>
    <w:basedOn w:val="Normal"/>
    <w:next w:val="ECHRPara"/>
    <w:uiPriority w:val="18"/>
    <w:qFormat/>
    <w:rsid w:val="00EB129E"/>
    <w:pPr>
      <w:keepNext/>
      <w:keepLines/>
      <w:spacing w:before="720" w:after="240"/>
      <w:outlineLvl w:val="0"/>
    </w:pPr>
    <w:rPr>
      <w:rFonts w:asciiTheme="majorHAnsi" w:hAnsiTheme="majorHAnsi"/>
      <w:sz w:val="28"/>
    </w:rPr>
  </w:style>
  <w:style w:type="character" w:styleId="Emphasis">
    <w:name w:val="Emphasis"/>
    <w:uiPriority w:val="99"/>
    <w:semiHidden/>
    <w:qFormat/>
    <w:rsid w:val="00EB129E"/>
    <w:rPr>
      <w:b/>
      <w:bCs/>
      <w:i/>
      <w:iCs/>
      <w:spacing w:val="10"/>
      <w:bdr w:val="none" w:sz="0" w:space="0" w:color="auto"/>
      <w:shd w:val="clear" w:color="auto" w:fill="auto"/>
    </w:rPr>
  </w:style>
  <w:style w:type="paragraph" w:styleId="Footer">
    <w:name w:val="footer"/>
    <w:basedOn w:val="Normal"/>
    <w:link w:val="FooterChar"/>
    <w:uiPriority w:val="57"/>
    <w:semiHidden/>
    <w:rsid w:val="00EB129E"/>
    <w:pPr>
      <w:tabs>
        <w:tab w:val="center" w:pos="4536"/>
        <w:tab w:val="right" w:pos="9696"/>
      </w:tabs>
      <w:ind w:left="-680" w:right="-680"/>
    </w:pPr>
    <w:rPr>
      <w:rFonts w:eastAsiaTheme="minorHAnsi"/>
    </w:rPr>
  </w:style>
  <w:style w:type="character" w:customStyle="1" w:styleId="FooterChar">
    <w:name w:val="Footer Char"/>
    <w:basedOn w:val="DefaultParagraphFont"/>
    <w:link w:val="Footer"/>
    <w:uiPriority w:val="57"/>
    <w:semiHidden/>
    <w:rsid w:val="00EB129E"/>
    <w:rPr>
      <w:sz w:val="24"/>
    </w:rPr>
  </w:style>
  <w:style w:type="character" w:styleId="FootnoteReference">
    <w:name w:val="footnote reference"/>
    <w:basedOn w:val="DefaultParagraphFont"/>
    <w:uiPriority w:val="99"/>
    <w:semiHidden/>
    <w:rsid w:val="00EB129E"/>
    <w:rPr>
      <w:vertAlign w:val="superscript"/>
    </w:rPr>
  </w:style>
  <w:style w:type="paragraph" w:styleId="FootnoteText">
    <w:name w:val="footnote text"/>
    <w:basedOn w:val="Normal"/>
    <w:link w:val="FootnoteTextChar"/>
    <w:uiPriority w:val="99"/>
    <w:semiHidden/>
    <w:rsid w:val="00EB129E"/>
    <w:rPr>
      <w:sz w:val="20"/>
      <w:szCs w:val="20"/>
    </w:rPr>
  </w:style>
  <w:style w:type="character" w:customStyle="1" w:styleId="FootnoteTextChar">
    <w:name w:val="Footnote Text Char"/>
    <w:basedOn w:val="DefaultParagraphFont"/>
    <w:link w:val="FootnoteText"/>
    <w:uiPriority w:val="99"/>
    <w:semiHidden/>
    <w:rsid w:val="00EB129E"/>
    <w:rPr>
      <w:rFonts w:eastAsiaTheme="minorEastAsia"/>
      <w:sz w:val="20"/>
      <w:szCs w:val="20"/>
    </w:rPr>
  </w:style>
  <w:style w:type="character" w:customStyle="1" w:styleId="Heading6Char">
    <w:name w:val="Heading 6 Char"/>
    <w:basedOn w:val="DefaultParagraphFont"/>
    <w:link w:val="Heading6"/>
    <w:uiPriority w:val="99"/>
    <w:semiHidden/>
    <w:rsid w:val="00EB129E"/>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9"/>
    <w:semiHidden/>
    <w:rsid w:val="00EB129E"/>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9"/>
    <w:semiHidden/>
    <w:rsid w:val="00EB129E"/>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EB129E"/>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semiHidden/>
    <w:rsid w:val="00EB129E"/>
    <w:rPr>
      <w:color w:val="0072BC" w:themeColor="hyperlink"/>
      <w:u w:val="single"/>
    </w:rPr>
  </w:style>
  <w:style w:type="character" w:styleId="IntenseEmphasis">
    <w:name w:val="Intense Emphasis"/>
    <w:uiPriority w:val="99"/>
    <w:semiHidden/>
    <w:qFormat/>
    <w:rsid w:val="00EB129E"/>
    <w:rPr>
      <w:b/>
      <w:bCs/>
    </w:rPr>
  </w:style>
  <w:style w:type="paragraph" w:styleId="IntenseQuote">
    <w:name w:val="Intense Quote"/>
    <w:basedOn w:val="Normal"/>
    <w:next w:val="Normal"/>
    <w:link w:val="IntenseQuoteChar"/>
    <w:uiPriority w:val="99"/>
    <w:semiHidden/>
    <w:qFormat/>
    <w:rsid w:val="00EB129E"/>
    <w:pPr>
      <w:pBdr>
        <w:bottom w:val="single" w:sz="4" w:space="1" w:color="auto"/>
      </w:pBdr>
      <w:spacing w:before="200" w:after="280"/>
      <w:ind w:left="1008" w:right="1152"/>
    </w:pPr>
    <w:rPr>
      <w:b/>
      <w:bCs/>
      <w:i/>
      <w:iCs/>
      <w:sz w:val="22"/>
      <w:lang w:bidi="en-US"/>
    </w:rPr>
  </w:style>
  <w:style w:type="character" w:customStyle="1" w:styleId="IntenseQuoteChar">
    <w:name w:val="Intense Quote Char"/>
    <w:basedOn w:val="DefaultParagraphFont"/>
    <w:link w:val="IntenseQuote"/>
    <w:uiPriority w:val="99"/>
    <w:semiHidden/>
    <w:rsid w:val="00EB129E"/>
    <w:rPr>
      <w:rFonts w:eastAsiaTheme="minorEastAsia"/>
      <w:b/>
      <w:bCs/>
      <w:i/>
      <w:iCs/>
      <w:lang w:bidi="en-US"/>
    </w:rPr>
  </w:style>
  <w:style w:type="character" w:styleId="IntenseReference">
    <w:name w:val="Intense Reference"/>
    <w:uiPriority w:val="99"/>
    <w:semiHidden/>
    <w:qFormat/>
    <w:rsid w:val="00EB129E"/>
    <w:rPr>
      <w:smallCaps/>
      <w:spacing w:val="5"/>
      <w:u w:val="single"/>
    </w:rPr>
  </w:style>
  <w:style w:type="paragraph" w:styleId="ListParagraph">
    <w:name w:val="List Paragraph"/>
    <w:basedOn w:val="Normal"/>
    <w:uiPriority w:val="99"/>
    <w:semiHidden/>
    <w:qFormat/>
    <w:rsid w:val="00EB129E"/>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EB129E"/>
    <w:pPr>
      <w:spacing w:before="200"/>
      <w:ind w:left="360" w:right="360"/>
    </w:pPr>
    <w:rPr>
      <w:i/>
      <w:iCs/>
      <w:sz w:val="22"/>
      <w:lang w:bidi="en-US"/>
    </w:rPr>
  </w:style>
  <w:style w:type="character" w:customStyle="1" w:styleId="QuoteChar">
    <w:name w:val="Quote Char"/>
    <w:basedOn w:val="DefaultParagraphFont"/>
    <w:link w:val="Quote"/>
    <w:uiPriority w:val="99"/>
    <w:semiHidden/>
    <w:rsid w:val="00EB129E"/>
    <w:rPr>
      <w:rFonts w:eastAsiaTheme="minorEastAsia"/>
      <w:i/>
      <w:iCs/>
      <w:lang w:bidi="en-US"/>
    </w:rPr>
  </w:style>
  <w:style w:type="character" w:styleId="SubtleReference">
    <w:name w:val="Subtle Reference"/>
    <w:uiPriority w:val="99"/>
    <w:semiHidden/>
    <w:qFormat/>
    <w:rsid w:val="00EB129E"/>
    <w:rPr>
      <w:smallCaps/>
    </w:rPr>
  </w:style>
  <w:style w:type="table" w:styleId="TableGrid">
    <w:name w:val="Table Grid"/>
    <w:basedOn w:val="TableNormal"/>
    <w:uiPriority w:val="59"/>
    <w:semiHidden/>
    <w:rsid w:val="00EB129E"/>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EB129E"/>
    <w:pPr>
      <w:spacing w:before="120" w:after="60"/>
      <w:ind w:left="340" w:right="340" w:hanging="340"/>
    </w:pPr>
    <w:rPr>
      <w:color w:val="0D0D0D" w:themeColor="text1" w:themeTint="F2"/>
    </w:rPr>
  </w:style>
  <w:style w:type="paragraph" w:styleId="TOC2">
    <w:name w:val="toc 2"/>
    <w:basedOn w:val="Normal"/>
    <w:next w:val="Normal"/>
    <w:autoRedefine/>
    <w:uiPriority w:val="99"/>
    <w:semiHidden/>
    <w:rsid w:val="00EB129E"/>
    <w:pPr>
      <w:spacing w:after="60"/>
      <w:ind w:left="680" w:right="340" w:hanging="340"/>
    </w:pPr>
  </w:style>
  <w:style w:type="paragraph" w:styleId="TOC3">
    <w:name w:val="toc 3"/>
    <w:basedOn w:val="Normal"/>
    <w:next w:val="Normal"/>
    <w:autoRedefine/>
    <w:uiPriority w:val="99"/>
    <w:semiHidden/>
    <w:rsid w:val="00EB129E"/>
    <w:pPr>
      <w:spacing w:after="60"/>
      <w:ind w:left="1020" w:right="340" w:hanging="340"/>
    </w:pPr>
  </w:style>
  <w:style w:type="paragraph" w:styleId="TOC4">
    <w:name w:val="toc 4"/>
    <w:basedOn w:val="Normal"/>
    <w:next w:val="Normal"/>
    <w:autoRedefine/>
    <w:uiPriority w:val="99"/>
    <w:semiHidden/>
    <w:rsid w:val="00EB129E"/>
    <w:pPr>
      <w:tabs>
        <w:tab w:val="right" w:leader="dot" w:pos="9017"/>
      </w:tabs>
      <w:spacing w:after="60"/>
      <w:ind w:left="1361" w:right="340" w:hanging="340"/>
    </w:pPr>
  </w:style>
  <w:style w:type="paragraph" w:styleId="TOC5">
    <w:name w:val="toc 5"/>
    <w:basedOn w:val="Normal"/>
    <w:next w:val="Normal"/>
    <w:autoRedefine/>
    <w:uiPriority w:val="99"/>
    <w:semiHidden/>
    <w:rsid w:val="00EB129E"/>
    <w:pPr>
      <w:spacing w:after="60"/>
      <w:ind w:left="1701" w:right="340" w:hanging="340"/>
    </w:pPr>
  </w:style>
  <w:style w:type="paragraph" w:styleId="TOCHeading">
    <w:name w:val="TOC Heading"/>
    <w:basedOn w:val="Heading1"/>
    <w:next w:val="Normal"/>
    <w:uiPriority w:val="99"/>
    <w:semiHidden/>
    <w:qFormat/>
    <w:rsid w:val="00EB129E"/>
    <w:pPr>
      <w:outlineLvl w:val="9"/>
    </w:pPr>
    <w:rPr>
      <w:color w:val="474747" w:themeColor="accent3" w:themeShade="BF"/>
    </w:rPr>
  </w:style>
  <w:style w:type="table" w:customStyle="1" w:styleId="UGTable">
    <w:name w:val="UG_Table"/>
    <w:basedOn w:val="TableNormal"/>
    <w:uiPriority w:val="99"/>
    <w:rsid w:val="00801300"/>
    <w:rPr>
      <w:rFonts w:eastAsiaTheme="minorEastAsia"/>
      <w:sz w:val="20"/>
      <w:lang w:val="en-GB" w:eastAsia="en-GB"/>
    </w:rPr>
    <w:tblPr>
      <w:tblInd w:w="-1191" w:type="dxa"/>
      <w:tblCellMar>
        <w:top w:w="57" w:type="dxa"/>
        <w:left w:w="0" w:type="dxa"/>
        <w:right w:w="0"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801300"/>
    <w:rPr>
      <w:rFonts w:eastAsiaTheme="minorEastAsia"/>
      <w:lang w:val="en-GB" w:eastAsia="en-GB"/>
    </w:rPr>
    <w:tblPr>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EB129E"/>
    <w:pPr>
      <w:spacing w:before="120"/>
    </w:pPr>
    <w:rPr>
      <w:rFonts w:asciiTheme="majorHAnsi" w:eastAsiaTheme="majorEastAsia" w:hAnsiTheme="majorHAnsi" w:cstheme="majorBidi"/>
      <w:b/>
      <w:bCs/>
      <w:color w:val="474747" w:themeColor="accent3" w:themeShade="BF"/>
      <w:szCs w:val="24"/>
    </w:rPr>
  </w:style>
  <w:style w:type="paragraph" w:customStyle="1" w:styleId="ECHRParaQuote">
    <w:name w:val="ECHR_Para_Quote"/>
    <w:aliases w:val="Ju_Quot"/>
    <w:basedOn w:val="Normal"/>
    <w:link w:val="JuQuotChar"/>
    <w:uiPriority w:val="14"/>
    <w:qFormat/>
    <w:rsid w:val="00EB129E"/>
    <w:pPr>
      <w:spacing w:before="120" w:after="120"/>
      <w:ind w:left="425" w:firstLine="142"/>
    </w:pPr>
    <w:rPr>
      <w:sz w:val="20"/>
    </w:rPr>
  </w:style>
  <w:style w:type="paragraph" w:customStyle="1" w:styleId="ECHRPara">
    <w:name w:val="ECHR_Para"/>
    <w:aliases w:val="Ju_Para"/>
    <w:basedOn w:val="Normal"/>
    <w:link w:val="ECHRParaChar"/>
    <w:uiPriority w:val="12"/>
    <w:qFormat/>
    <w:rsid w:val="00EB129E"/>
    <w:pPr>
      <w:ind w:firstLine="284"/>
    </w:p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EB129E"/>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customStyle="1" w:styleId="ECHRDecisionBody">
    <w:name w:val="ECHR_Decision_Body"/>
    <w:aliases w:val="Ju_Judges"/>
    <w:basedOn w:val="Normal"/>
    <w:uiPriority w:val="11"/>
    <w:qFormat/>
    <w:rsid w:val="00EB129E"/>
    <w:pPr>
      <w:tabs>
        <w:tab w:val="left" w:pos="567"/>
        <w:tab w:val="left" w:pos="1134"/>
      </w:tabs>
      <w:jc w:val="left"/>
    </w:p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List">
    <w:name w:val="Ju_List"/>
    <w:basedOn w:val="Normal"/>
    <w:uiPriority w:val="28"/>
    <w:qFormat/>
    <w:rsid w:val="00EB129E"/>
    <w:pPr>
      <w:ind w:left="340" w:hanging="340"/>
    </w:pPr>
  </w:style>
  <w:style w:type="paragraph" w:customStyle="1" w:styleId="JuSigned">
    <w:name w:val="Ju_Signed"/>
    <w:basedOn w:val="Normal"/>
    <w:next w:val="JuParaLast"/>
    <w:uiPriority w:val="32"/>
    <w:qFormat/>
    <w:rsid w:val="00EB129E"/>
    <w:pPr>
      <w:tabs>
        <w:tab w:val="center" w:pos="851"/>
        <w:tab w:val="center" w:pos="6407"/>
      </w:tabs>
      <w:spacing w:before="720"/>
      <w:jc w:val="left"/>
    </w:pPr>
  </w:style>
  <w:style w:type="paragraph" w:customStyle="1" w:styleId="JuParaLast">
    <w:name w:val="Ju_Para_Last"/>
    <w:basedOn w:val="Normal"/>
    <w:next w:val="ECHRPara"/>
    <w:uiPriority w:val="30"/>
    <w:qFormat/>
    <w:rsid w:val="00EB129E"/>
    <w:pPr>
      <w:keepNext/>
      <w:keepLines/>
      <w:spacing w:before="240"/>
      <w:ind w:firstLine="284"/>
    </w:pPr>
  </w:style>
  <w:style w:type="character" w:customStyle="1" w:styleId="JuITMark">
    <w:name w:val="Ju_ITMark"/>
    <w:basedOn w:val="DefaultParagraphFont"/>
    <w:uiPriority w:val="38"/>
    <w:qFormat/>
    <w:rsid w:val="00EB129E"/>
    <w:rPr>
      <w:vanish w:val="0"/>
      <w:color w:val="auto"/>
      <w:sz w:val="14"/>
    </w:rPr>
  </w:style>
  <w:style w:type="character" w:styleId="PageNumber">
    <w:name w:val="page number"/>
    <w:uiPriority w:val="99"/>
    <w:semiHidden/>
    <w:rsid w:val="00014566"/>
    <w:rPr>
      <w:sz w:val="18"/>
    </w:rPr>
  </w:style>
  <w:style w:type="paragraph" w:customStyle="1" w:styleId="JuLista">
    <w:name w:val="Ju_List_a"/>
    <w:basedOn w:val="JuList"/>
    <w:uiPriority w:val="28"/>
    <w:qFormat/>
    <w:rsid w:val="00EB129E"/>
    <w:pPr>
      <w:ind w:left="346" w:firstLine="0"/>
    </w:pPr>
  </w:style>
  <w:style w:type="paragraph" w:customStyle="1" w:styleId="JuListi">
    <w:name w:val="Ju_List_i"/>
    <w:basedOn w:val="Normal"/>
    <w:next w:val="JuLista"/>
    <w:uiPriority w:val="28"/>
    <w:qFormat/>
    <w:rsid w:val="00EB129E"/>
    <w:pPr>
      <w:ind w:left="794"/>
    </w:pPr>
  </w:style>
  <w:style w:type="character" w:styleId="CommentReference">
    <w:name w:val="annotation reference"/>
    <w:uiPriority w:val="99"/>
    <w:semiHidden/>
    <w:rsid w:val="00014566"/>
    <w:rPr>
      <w:sz w:val="16"/>
    </w:rPr>
  </w:style>
  <w:style w:type="paragraph" w:styleId="CommentText">
    <w:name w:val="annotation text"/>
    <w:basedOn w:val="Normal"/>
    <w:link w:val="CommentTextChar"/>
    <w:uiPriority w:val="99"/>
    <w:semiHidden/>
    <w:rsid w:val="00014566"/>
    <w:rPr>
      <w:sz w:val="20"/>
    </w:rPr>
  </w:style>
  <w:style w:type="character" w:customStyle="1" w:styleId="CommentTextChar">
    <w:name w:val="Comment Text Char"/>
    <w:basedOn w:val="DefaultParagraphFont"/>
    <w:link w:val="CommentText"/>
    <w:uiPriority w:val="99"/>
    <w:semiHidden/>
    <w:rsid w:val="00014566"/>
    <w:rPr>
      <w:rFonts w:eastAsiaTheme="minorEastAsia"/>
      <w:sz w:val="20"/>
    </w:rPr>
  </w:style>
  <w:style w:type="paragraph" w:styleId="CommentSubject">
    <w:name w:val="annotation subject"/>
    <w:basedOn w:val="CommentText"/>
    <w:next w:val="CommentText"/>
    <w:link w:val="CommentSubjectChar"/>
    <w:uiPriority w:val="99"/>
    <w:semiHidden/>
    <w:rsid w:val="00014566"/>
    <w:rPr>
      <w:b/>
      <w:bCs/>
    </w:rPr>
  </w:style>
  <w:style w:type="character" w:customStyle="1" w:styleId="CommentSubjectChar">
    <w:name w:val="Comment Subject Char"/>
    <w:basedOn w:val="CommentTextChar"/>
    <w:link w:val="CommentSubject"/>
    <w:uiPriority w:val="99"/>
    <w:semiHidden/>
    <w:rsid w:val="00014566"/>
    <w:rPr>
      <w:rFonts w:eastAsiaTheme="minorEastAsia"/>
      <w:b/>
      <w:bCs/>
      <w:sz w:val="20"/>
    </w:rPr>
  </w:style>
  <w:style w:type="character" w:styleId="EndnoteReference">
    <w:name w:val="endnote reference"/>
    <w:uiPriority w:val="99"/>
    <w:semiHidden/>
    <w:rsid w:val="00014566"/>
    <w:rPr>
      <w:vertAlign w:val="superscript"/>
    </w:rPr>
  </w:style>
  <w:style w:type="paragraph" w:styleId="EndnoteText">
    <w:name w:val="endnote text"/>
    <w:basedOn w:val="Normal"/>
    <w:link w:val="EndnoteTextChar"/>
    <w:uiPriority w:val="99"/>
    <w:semiHidden/>
    <w:rsid w:val="00014566"/>
    <w:rPr>
      <w:sz w:val="20"/>
    </w:rPr>
  </w:style>
  <w:style w:type="character" w:customStyle="1" w:styleId="EndnoteTextChar">
    <w:name w:val="Endnote Text Char"/>
    <w:basedOn w:val="DefaultParagraphFont"/>
    <w:link w:val="EndnoteText"/>
    <w:uiPriority w:val="99"/>
    <w:semiHidden/>
    <w:rsid w:val="00014566"/>
    <w:rPr>
      <w:rFonts w:eastAsiaTheme="minorEastAsia"/>
      <w:sz w:val="20"/>
    </w:rPr>
  </w:style>
  <w:style w:type="character" w:styleId="FollowedHyperlink">
    <w:name w:val="FollowedHyperlink"/>
    <w:uiPriority w:val="99"/>
    <w:semiHidden/>
    <w:rsid w:val="00014566"/>
    <w:rPr>
      <w:color w:val="800080"/>
      <w:u w:val="single"/>
    </w:rPr>
  </w:style>
  <w:style w:type="paragraph" w:styleId="DocumentMap">
    <w:name w:val="Document Map"/>
    <w:basedOn w:val="Normal"/>
    <w:link w:val="DocumentMapChar"/>
    <w:uiPriority w:val="99"/>
    <w:semiHidden/>
    <w:rsid w:val="00014566"/>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rsid w:val="00014566"/>
    <w:rPr>
      <w:rFonts w:ascii="Tahoma" w:eastAsiaTheme="minorEastAsia" w:hAnsi="Tahoma" w:cs="Tahoma"/>
      <w:sz w:val="20"/>
      <w:shd w:val="clear" w:color="auto" w:fill="000080"/>
    </w:rPr>
  </w:style>
  <w:style w:type="paragraph" w:customStyle="1" w:styleId="OpiTranslation">
    <w:name w:val="Opi_Translation"/>
    <w:basedOn w:val="Normal"/>
    <w:next w:val="OpiPara"/>
    <w:uiPriority w:val="40"/>
    <w:qFormat/>
    <w:rsid w:val="00EB129E"/>
    <w:pPr>
      <w:jc w:val="center"/>
      <w:outlineLvl w:val="0"/>
    </w:pPr>
    <w:rPr>
      <w:i/>
    </w:rPr>
  </w:style>
  <w:style w:type="paragraph" w:styleId="ListBullet">
    <w:name w:val="List Bullet"/>
    <w:basedOn w:val="Normal"/>
    <w:uiPriority w:val="99"/>
    <w:semiHidden/>
    <w:rsid w:val="00014566"/>
    <w:pPr>
      <w:numPr>
        <w:numId w:val="1"/>
      </w:numPr>
    </w:pPr>
  </w:style>
  <w:style w:type="paragraph" w:customStyle="1" w:styleId="DecHTitle">
    <w:name w:val="Dec_H_Title"/>
    <w:basedOn w:val="ECHRTitleCentre1"/>
    <w:uiPriority w:val="7"/>
    <w:rsid w:val="00EB129E"/>
  </w:style>
  <w:style w:type="paragraph" w:styleId="Subtitle">
    <w:name w:val="Subtitle"/>
    <w:basedOn w:val="Normal"/>
    <w:next w:val="Normal"/>
    <w:link w:val="SubtitleChar"/>
    <w:uiPriority w:val="99"/>
    <w:semiHidden/>
    <w:qFormat/>
    <w:rsid w:val="00EB129E"/>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semiHidden/>
    <w:rsid w:val="00EB129E"/>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rsid w:val="00014566"/>
    <w:pPr>
      <w:numPr>
        <w:numId w:val="2"/>
      </w:numPr>
    </w:pPr>
  </w:style>
  <w:style w:type="numbering" w:styleId="1ai">
    <w:name w:val="Outline List 1"/>
    <w:basedOn w:val="NoList"/>
    <w:uiPriority w:val="99"/>
    <w:semiHidden/>
    <w:rsid w:val="00014566"/>
    <w:pPr>
      <w:numPr>
        <w:numId w:val="3"/>
      </w:numPr>
    </w:pPr>
  </w:style>
  <w:style w:type="numbering" w:styleId="ArticleSection">
    <w:name w:val="Outline List 3"/>
    <w:basedOn w:val="NoList"/>
    <w:uiPriority w:val="99"/>
    <w:semiHidden/>
    <w:rsid w:val="00014566"/>
    <w:pPr>
      <w:numPr>
        <w:numId w:val="4"/>
      </w:numPr>
    </w:pPr>
  </w:style>
  <w:style w:type="paragraph" w:styleId="Bibliography">
    <w:name w:val="Bibliography"/>
    <w:basedOn w:val="Normal"/>
    <w:next w:val="Normal"/>
    <w:uiPriority w:val="99"/>
    <w:semiHidden/>
    <w:unhideWhenUsed/>
    <w:rsid w:val="00014566"/>
  </w:style>
  <w:style w:type="paragraph" w:styleId="BlockText">
    <w:name w:val="Block Text"/>
    <w:basedOn w:val="Normal"/>
    <w:uiPriority w:val="99"/>
    <w:semiHidden/>
    <w:rsid w:val="00014566"/>
    <w:pPr>
      <w:pBdr>
        <w:top w:val="single" w:sz="2" w:space="10" w:color="0072BC" w:themeColor="accent1" w:shadow="1" w:frame="1"/>
        <w:left w:val="single" w:sz="2" w:space="10" w:color="0072BC" w:themeColor="accent1" w:shadow="1" w:frame="1"/>
        <w:bottom w:val="single" w:sz="2" w:space="10" w:color="0072BC" w:themeColor="accent1" w:shadow="1" w:frame="1"/>
        <w:right w:val="single" w:sz="2" w:space="10" w:color="0072BC" w:themeColor="accent1" w:shadow="1" w:frame="1"/>
      </w:pBdr>
      <w:ind w:left="1152" w:right="1152"/>
    </w:pPr>
    <w:rPr>
      <w:i/>
      <w:iCs/>
      <w:color w:val="0072BC" w:themeColor="accent1"/>
    </w:rPr>
  </w:style>
  <w:style w:type="paragraph" w:styleId="BodyText">
    <w:name w:val="Body Text"/>
    <w:basedOn w:val="Normal"/>
    <w:link w:val="BodyTextChar"/>
    <w:uiPriority w:val="99"/>
    <w:semiHidden/>
    <w:rsid w:val="00014566"/>
    <w:pPr>
      <w:spacing w:after="120"/>
    </w:pPr>
  </w:style>
  <w:style w:type="character" w:customStyle="1" w:styleId="BodyTextChar">
    <w:name w:val="Body Text Char"/>
    <w:basedOn w:val="DefaultParagraphFont"/>
    <w:link w:val="BodyText"/>
    <w:uiPriority w:val="99"/>
    <w:semiHidden/>
    <w:rsid w:val="00014566"/>
    <w:rPr>
      <w:rFonts w:eastAsiaTheme="minorEastAsia"/>
      <w:sz w:val="24"/>
    </w:rPr>
  </w:style>
  <w:style w:type="paragraph" w:styleId="BodyText2">
    <w:name w:val="Body Text 2"/>
    <w:basedOn w:val="Normal"/>
    <w:link w:val="BodyText2Char"/>
    <w:uiPriority w:val="99"/>
    <w:semiHidden/>
    <w:rsid w:val="00014566"/>
    <w:pPr>
      <w:spacing w:after="120" w:line="480" w:lineRule="auto"/>
    </w:pPr>
  </w:style>
  <w:style w:type="character" w:customStyle="1" w:styleId="BodyText2Char">
    <w:name w:val="Body Text 2 Char"/>
    <w:basedOn w:val="DefaultParagraphFont"/>
    <w:link w:val="BodyText2"/>
    <w:uiPriority w:val="99"/>
    <w:semiHidden/>
    <w:rsid w:val="00014566"/>
    <w:rPr>
      <w:rFonts w:eastAsiaTheme="minorEastAsia"/>
      <w:sz w:val="24"/>
    </w:rPr>
  </w:style>
  <w:style w:type="paragraph" w:styleId="BodyText3">
    <w:name w:val="Body Text 3"/>
    <w:basedOn w:val="Normal"/>
    <w:link w:val="BodyText3Char"/>
    <w:uiPriority w:val="99"/>
    <w:semiHidden/>
    <w:rsid w:val="00014566"/>
    <w:pPr>
      <w:spacing w:after="120"/>
    </w:pPr>
    <w:rPr>
      <w:sz w:val="16"/>
      <w:szCs w:val="16"/>
    </w:rPr>
  </w:style>
  <w:style w:type="character" w:customStyle="1" w:styleId="BodyText3Char">
    <w:name w:val="Body Text 3 Char"/>
    <w:basedOn w:val="DefaultParagraphFont"/>
    <w:link w:val="BodyText3"/>
    <w:uiPriority w:val="99"/>
    <w:semiHidden/>
    <w:rsid w:val="00014566"/>
    <w:rPr>
      <w:rFonts w:eastAsiaTheme="minorEastAsia"/>
      <w:sz w:val="16"/>
      <w:szCs w:val="16"/>
    </w:rPr>
  </w:style>
  <w:style w:type="paragraph" w:styleId="BodyTextFirstIndent">
    <w:name w:val="Body Text First Indent"/>
    <w:basedOn w:val="BodyText"/>
    <w:link w:val="BodyTextFirstIndentChar"/>
    <w:uiPriority w:val="99"/>
    <w:semiHidden/>
    <w:rsid w:val="00014566"/>
    <w:pPr>
      <w:spacing w:after="0"/>
      <w:ind w:firstLine="360"/>
    </w:pPr>
  </w:style>
  <w:style w:type="character" w:customStyle="1" w:styleId="BodyTextFirstIndentChar">
    <w:name w:val="Body Text First Indent Char"/>
    <w:basedOn w:val="BodyTextChar"/>
    <w:link w:val="BodyTextFirstIndent"/>
    <w:uiPriority w:val="99"/>
    <w:semiHidden/>
    <w:rsid w:val="00014566"/>
    <w:rPr>
      <w:rFonts w:eastAsiaTheme="minorEastAsia"/>
      <w:sz w:val="24"/>
    </w:rPr>
  </w:style>
  <w:style w:type="paragraph" w:styleId="BodyTextIndent">
    <w:name w:val="Body Text Indent"/>
    <w:basedOn w:val="Normal"/>
    <w:link w:val="BodyTextIndentChar"/>
    <w:uiPriority w:val="99"/>
    <w:semiHidden/>
    <w:rsid w:val="00014566"/>
    <w:pPr>
      <w:spacing w:after="120"/>
      <w:ind w:left="283"/>
    </w:pPr>
  </w:style>
  <w:style w:type="character" w:customStyle="1" w:styleId="BodyTextIndentChar">
    <w:name w:val="Body Text Indent Char"/>
    <w:basedOn w:val="DefaultParagraphFont"/>
    <w:link w:val="BodyTextIndent"/>
    <w:uiPriority w:val="99"/>
    <w:semiHidden/>
    <w:rsid w:val="00014566"/>
    <w:rPr>
      <w:rFonts w:eastAsiaTheme="minorEastAsia"/>
      <w:sz w:val="24"/>
    </w:rPr>
  </w:style>
  <w:style w:type="paragraph" w:styleId="BodyTextFirstIndent2">
    <w:name w:val="Body Text First Indent 2"/>
    <w:basedOn w:val="BodyTextIndent"/>
    <w:link w:val="BodyTextFirstIndent2Char"/>
    <w:uiPriority w:val="99"/>
    <w:semiHidden/>
    <w:rsid w:val="00014566"/>
    <w:pPr>
      <w:spacing w:after="0"/>
      <w:ind w:left="360" w:firstLine="360"/>
    </w:pPr>
  </w:style>
  <w:style w:type="character" w:customStyle="1" w:styleId="BodyTextFirstIndent2Char">
    <w:name w:val="Body Text First Indent 2 Char"/>
    <w:basedOn w:val="BodyTextIndentChar"/>
    <w:link w:val="BodyTextFirstIndent2"/>
    <w:uiPriority w:val="99"/>
    <w:semiHidden/>
    <w:rsid w:val="00014566"/>
    <w:rPr>
      <w:rFonts w:eastAsiaTheme="minorEastAsia"/>
      <w:sz w:val="24"/>
    </w:rPr>
  </w:style>
  <w:style w:type="paragraph" w:styleId="BodyTextIndent2">
    <w:name w:val="Body Text Indent 2"/>
    <w:basedOn w:val="Normal"/>
    <w:link w:val="BodyTextIndent2Char"/>
    <w:uiPriority w:val="99"/>
    <w:semiHidden/>
    <w:rsid w:val="00014566"/>
    <w:pPr>
      <w:spacing w:after="120" w:line="480" w:lineRule="auto"/>
      <w:ind w:left="283"/>
    </w:pPr>
  </w:style>
  <w:style w:type="character" w:customStyle="1" w:styleId="BodyTextIndent2Char">
    <w:name w:val="Body Text Indent 2 Char"/>
    <w:basedOn w:val="DefaultParagraphFont"/>
    <w:link w:val="BodyTextIndent2"/>
    <w:uiPriority w:val="99"/>
    <w:semiHidden/>
    <w:rsid w:val="00014566"/>
    <w:rPr>
      <w:rFonts w:eastAsiaTheme="minorEastAsia"/>
      <w:sz w:val="24"/>
    </w:rPr>
  </w:style>
  <w:style w:type="paragraph" w:styleId="BodyTextIndent3">
    <w:name w:val="Body Text Indent 3"/>
    <w:basedOn w:val="Normal"/>
    <w:link w:val="BodyTextIndent3Char"/>
    <w:uiPriority w:val="99"/>
    <w:semiHidden/>
    <w:rsid w:val="0001456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14566"/>
    <w:rPr>
      <w:rFonts w:eastAsiaTheme="minorEastAsia"/>
      <w:sz w:val="16"/>
      <w:szCs w:val="16"/>
    </w:rPr>
  </w:style>
  <w:style w:type="paragraph" w:styleId="Caption">
    <w:name w:val="caption"/>
    <w:basedOn w:val="Normal"/>
    <w:next w:val="Normal"/>
    <w:uiPriority w:val="99"/>
    <w:semiHidden/>
    <w:qFormat/>
    <w:rsid w:val="00014566"/>
    <w:pPr>
      <w:spacing w:after="200"/>
    </w:pPr>
    <w:rPr>
      <w:b/>
      <w:bCs/>
      <w:color w:val="0072BC" w:themeColor="accent1"/>
      <w:sz w:val="18"/>
      <w:szCs w:val="18"/>
    </w:rPr>
  </w:style>
  <w:style w:type="paragraph" w:styleId="Closing">
    <w:name w:val="Closing"/>
    <w:basedOn w:val="Normal"/>
    <w:link w:val="ClosingChar"/>
    <w:uiPriority w:val="99"/>
    <w:semiHidden/>
    <w:rsid w:val="00014566"/>
    <w:pPr>
      <w:ind w:left="4252"/>
    </w:pPr>
  </w:style>
  <w:style w:type="character" w:customStyle="1" w:styleId="ClosingChar">
    <w:name w:val="Closing Char"/>
    <w:basedOn w:val="DefaultParagraphFont"/>
    <w:link w:val="Closing"/>
    <w:uiPriority w:val="99"/>
    <w:semiHidden/>
    <w:rsid w:val="00014566"/>
    <w:rPr>
      <w:rFonts w:eastAsiaTheme="minorEastAsia"/>
      <w:sz w:val="24"/>
    </w:rPr>
  </w:style>
  <w:style w:type="table" w:styleId="ColorfulGrid">
    <w:name w:val="Colorful Grid"/>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014566"/>
    <w:rPr>
      <w:color w:val="000000" w:themeColor="text1"/>
      <w:lang w:val="fr-FR" w:eastAsia="fr-FR"/>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014566"/>
    <w:rPr>
      <w:color w:val="000000" w:themeColor="text1"/>
      <w:lang w:val="fr-FR" w:eastAsia="fr-FR"/>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014566"/>
    <w:rPr>
      <w:color w:val="000000" w:themeColor="text1"/>
      <w:lang w:val="fr-FR" w:eastAsia="fr-FR"/>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014566"/>
    <w:rPr>
      <w:color w:val="000000" w:themeColor="text1"/>
      <w:lang w:val="fr-FR" w:eastAsia="fr-FR"/>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014566"/>
    <w:rPr>
      <w:color w:val="000000" w:themeColor="text1"/>
      <w:lang w:val="fr-FR" w:eastAsia="fr-FR"/>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014566"/>
    <w:rPr>
      <w:color w:val="000000" w:themeColor="text1"/>
      <w:lang w:val="fr-FR" w:eastAsia="fr-FR"/>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014566"/>
    <w:rPr>
      <w:color w:val="000000" w:themeColor="text1"/>
      <w:lang w:val="fr-FR" w:eastAsia="fr-FR"/>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014566"/>
    <w:rPr>
      <w:color w:val="000000" w:themeColor="text1"/>
      <w:lang w:val="fr-FR" w:eastAsia="fr-FR"/>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014566"/>
    <w:rPr>
      <w:color w:val="000000" w:themeColor="text1"/>
      <w:lang w:val="fr-FR" w:eastAsia="fr-FR"/>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99"/>
    <w:semiHidden/>
    <w:rsid w:val="00014566"/>
    <w:rPr>
      <w:color w:val="0072BC" w:themeColor="background1"/>
      <w:lang w:val="fr-FR" w:eastAsia="fr-FR"/>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014566"/>
    <w:rPr>
      <w:color w:val="0072BC" w:themeColor="background1"/>
      <w:lang w:val="fr-FR" w:eastAsia="fr-FR"/>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014566"/>
    <w:rPr>
      <w:color w:val="0072BC" w:themeColor="background1"/>
      <w:lang w:val="fr-FR" w:eastAsia="fr-FR"/>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014566"/>
    <w:rPr>
      <w:color w:val="0072BC" w:themeColor="background1"/>
      <w:lang w:val="fr-FR" w:eastAsia="fr-FR"/>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014566"/>
    <w:rPr>
      <w:color w:val="0072BC" w:themeColor="background1"/>
      <w:lang w:val="fr-FR" w:eastAsia="fr-FR"/>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014566"/>
  </w:style>
  <w:style w:type="character" w:customStyle="1" w:styleId="DateChar">
    <w:name w:val="Date Char"/>
    <w:basedOn w:val="DefaultParagraphFont"/>
    <w:link w:val="Date"/>
    <w:uiPriority w:val="99"/>
    <w:semiHidden/>
    <w:rsid w:val="00014566"/>
    <w:rPr>
      <w:rFonts w:eastAsiaTheme="minorEastAsia"/>
      <w:sz w:val="24"/>
    </w:rPr>
  </w:style>
  <w:style w:type="paragraph" w:styleId="E-mailSignature">
    <w:name w:val="E-mail Signature"/>
    <w:basedOn w:val="Normal"/>
    <w:link w:val="E-mailSignatureChar"/>
    <w:uiPriority w:val="99"/>
    <w:semiHidden/>
    <w:rsid w:val="00014566"/>
  </w:style>
  <w:style w:type="character" w:customStyle="1" w:styleId="E-mailSignatureChar">
    <w:name w:val="E-mail Signature Char"/>
    <w:basedOn w:val="DefaultParagraphFont"/>
    <w:link w:val="E-mailSignature"/>
    <w:uiPriority w:val="99"/>
    <w:semiHidden/>
    <w:rsid w:val="00014566"/>
    <w:rPr>
      <w:rFonts w:eastAsiaTheme="minorEastAsia"/>
      <w:sz w:val="24"/>
    </w:rPr>
  </w:style>
  <w:style w:type="paragraph" w:styleId="EnvelopeAddress">
    <w:name w:val="envelope address"/>
    <w:basedOn w:val="Normal"/>
    <w:uiPriority w:val="99"/>
    <w:semiHidden/>
    <w:rsid w:val="00014566"/>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014566"/>
    <w:rPr>
      <w:rFonts w:asciiTheme="majorHAnsi" w:eastAsiaTheme="majorEastAsia" w:hAnsiTheme="majorHAnsi" w:cstheme="majorBidi"/>
      <w:sz w:val="20"/>
      <w:szCs w:val="20"/>
    </w:rPr>
  </w:style>
  <w:style w:type="character" w:styleId="HTMLAcronym">
    <w:name w:val="HTML Acronym"/>
    <w:basedOn w:val="DefaultParagraphFont"/>
    <w:uiPriority w:val="99"/>
    <w:semiHidden/>
    <w:rsid w:val="00014566"/>
  </w:style>
  <w:style w:type="paragraph" w:styleId="HTMLAddress">
    <w:name w:val="HTML Address"/>
    <w:basedOn w:val="Normal"/>
    <w:link w:val="HTMLAddressChar"/>
    <w:uiPriority w:val="99"/>
    <w:semiHidden/>
    <w:rsid w:val="00014566"/>
    <w:rPr>
      <w:i/>
      <w:iCs/>
    </w:rPr>
  </w:style>
  <w:style w:type="character" w:customStyle="1" w:styleId="HTMLAddressChar">
    <w:name w:val="HTML Address Char"/>
    <w:basedOn w:val="DefaultParagraphFont"/>
    <w:link w:val="HTMLAddress"/>
    <w:uiPriority w:val="99"/>
    <w:semiHidden/>
    <w:rsid w:val="00014566"/>
    <w:rPr>
      <w:rFonts w:eastAsiaTheme="minorEastAsia"/>
      <w:i/>
      <w:iCs/>
      <w:sz w:val="24"/>
    </w:rPr>
  </w:style>
  <w:style w:type="character" w:styleId="HTMLCite">
    <w:name w:val="HTML Cite"/>
    <w:basedOn w:val="DefaultParagraphFont"/>
    <w:uiPriority w:val="99"/>
    <w:semiHidden/>
    <w:rsid w:val="00014566"/>
    <w:rPr>
      <w:i/>
      <w:iCs/>
    </w:rPr>
  </w:style>
  <w:style w:type="character" w:styleId="HTMLCode">
    <w:name w:val="HTML Code"/>
    <w:basedOn w:val="DefaultParagraphFont"/>
    <w:uiPriority w:val="99"/>
    <w:semiHidden/>
    <w:rsid w:val="00014566"/>
    <w:rPr>
      <w:rFonts w:ascii="Consolas" w:hAnsi="Consolas" w:cs="Consolas"/>
      <w:sz w:val="20"/>
      <w:szCs w:val="20"/>
    </w:rPr>
  </w:style>
  <w:style w:type="character" w:styleId="HTMLDefinition">
    <w:name w:val="HTML Definition"/>
    <w:basedOn w:val="DefaultParagraphFont"/>
    <w:uiPriority w:val="99"/>
    <w:semiHidden/>
    <w:rsid w:val="00014566"/>
    <w:rPr>
      <w:i/>
      <w:iCs/>
    </w:rPr>
  </w:style>
  <w:style w:type="character" w:styleId="HTMLKeyboard">
    <w:name w:val="HTML Keyboard"/>
    <w:basedOn w:val="DefaultParagraphFont"/>
    <w:uiPriority w:val="99"/>
    <w:semiHidden/>
    <w:rsid w:val="00014566"/>
    <w:rPr>
      <w:rFonts w:ascii="Consolas" w:hAnsi="Consolas" w:cs="Consolas"/>
      <w:sz w:val="20"/>
      <w:szCs w:val="20"/>
    </w:rPr>
  </w:style>
  <w:style w:type="paragraph" w:styleId="HTMLPreformatted">
    <w:name w:val="HTML Preformatted"/>
    <w:basedOn w:val="Normal"/>
    <w:link w:val="HTMLPreformattedChar"/>
    <w:uiPriority w:val="99"/>
    <w:semiHidden/>
    <w:rsid w:val="00014566"/>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14566"/>
    <w:rPr>
      <w:rFonts w:ascii="Consolas" w:eastAsiaTheme="minorEastAsia" w:hAnsi="Consolas" w:cs="Consolas"/>
      <w:sz w:val="20"/>
      <w:szCs w:val="20"/>
    </w:rPr>
  </w:style>
  <w:style w:type="character" w:styleId="HTMLSample">
    <w:name w:val="HTML Sample"/>
    <w:basedOn w:val="DefaultParagraphFont"/>
    <w:uiPriority w:val="99"/>
    <w:semiHidden/>
    <w:rsid w:val="00014566"/>
    <w:rPr>
      <w:rFonts w:ascii="Consolas" w:hAnsi="Consolas" w:cs="Consolas"/>
      <w:sz w:val="24"/>
      <w:szCs w:val="24"/>
    </w:rPr>
  </w:style>
  <w:style w:type="character" w:styleId="HTMLTypewriter">
    <w:name w:val="HTML Typewriter"/>
    <w:basedOn w:val="DefaultParagraphFont"/>
    <w:uiPriority w:val="99"/>
    <w:semiHidden/>
    <w:rsid w:val="00014566"/>
    <w:rPr>
      <w:rFonts w:ascii="Consolas" w:hAnsi="Consolas" w:cs="Consolas"/>
      <w:sz w:val="20"/>
      <w:szCs w:val="20"/>
    </w:rPr>
  </w:style>
  <w:style w:type="character" w:styleId="HTMLVariable">
    <w:name w:val="HTML Variable"/>
    <w:basedOn w:val="DefaultParagraphFont"/>
    <w:uiPriority w:val="99"/>
    <w:semiHidden/>
    <w:rsid w:val="00014566"/>
    <w:rPr>
      <w:i/>
      <w:iCs/>
    </w:rPr>
  </w:style>
  <w:style w:type="paragraph" w:styleId="Index1">
    <w:name w:val="index 1"/>
    <w:basedOn w:val="Normal"/>
    <w:next w:val="Normal"/>
    <w:autoRedefine/>
    <w:uiPriority w:val="99"/>
    <w:semiHidden/>
    <w:rsid w:val="00014566"/>
    <w:pPr>
      <w:ind w:left="240" w:hanging="240"/>
    </w:pPr>
  </w:style>
  <w:style w:type="paragraph" w:styleId="Index2">
    <w:name w:val="index 2"/>
    <w:basedOn w:val="Normal"/>
    <w:next w:val="Normal"/>
    <w:autoRedefine/>
    <w:uiPriority w:val="99"/>
    <w:semiHidden/>
    <w:rsid w:val="00014566"/>
    <w:pPr>
      <w:ind w:left="480" w:hanging="240"/>
    </w:pPr>
  </w:style>
  <w:style w:type="paragraph" w:styleId="Index3">
    <w:name w:val="index 3"/>
    <w:basedOn w:val="Normal"/>
    <w:next w:val="Normal"/>
    <w:autoRedefine/>
    <w:uiPriority w:val="99"/>
    <w:semiHidden/>
    <w:rsid w:val="00014566"/>
    <w:pPr>
      <w:ind w:left="720" w:hanging="240"/>
    </w:pPr>
  </w:style>
  <w:style w:type="paragraph" w:styleId="Index4">
    <w:name w:val="index 4"/>
    <w:basedOn w:val="Normal"/>
    <w:next w:val="Normal"/>
    <w:autoRedefine/>
    <w:uiPriority w:val="99"/>
    <w:semiHidden/>
    <w:rsid w:val="00014566"/>
    <w:pPr>
      <w:ind w:left="960" w:hanging="240"/>
    </w:pPr>
  </w:style>
  <w:style w:type="paragraph" w:styleId="Index5">
    <w:name w:val="index 5"/>
    <w:basedOn w:val="Normal"/>
    <w:next w:val="Normal"/>
    <w:autoRedefine/>
    <w:uiPriority w:val="99"/>
    <w:semiHidden/>
    <w:rsid w:val="00014566"/>
    <w:pPr>
      <w:ind w:left="1200" w:hanging="240"/>
    </w:pPr>
  </w:style>
  <w:style w:type="paragraph" w:styleId="Index6">
    <w:name w:val="index 6"/>
    <w:basedOn w:val="Normal"/>
    <w:next w:val="Normal"/>
    <w:autoRedefine/>
    <w:uiPriority w:val="99"/>
    <w:semiHidden/>
    <w:rsid w:val="00014566"/>
    <w:pPr>
      <w:ind w:left="1440" w:hanging="240"/>
    </w:pPr>
  </w:style>
  <w:style w:type="paragraph" w:styleId="Index7">
    <w:name w:val="index 7"/>
    <w:basedOn w:val="Normal"/>
    <w:next w:val="Normal"/>
    <w:autoRedefine/>
    <w:uiPriority w:val="99"/>
    <w:semiHidden/>
    <w:rsid w:val="00014566"/>
    <w:pPr>
      <w:ind w:left="1680" w:hanging="240"/>
    </w:pPr>
  </w:style>
  <w:style w:type="paragraph" w:styleId="Index8">
    <w:name w:val="index 8"/>
    <w:basedOn w:val="Normal"/>
    <w:next w:val="Normal"/>
    <w:autoRedefine/>
    <w:uiPriority w:val="99"/>
    <w:semiHidden/>
    <w:rsid w:val="00014566"/>
    <w:pPr>
      <w:ind w:left="1920" w:hanging="240"/>
    </w:pPr>
  </w:style>
  <w:style w:type="paragraph" w:styleId="Index9">
    <w:name w:val="index 9"/>
    <w:basedOn w:val="Normal"/>
    <w:next w:val="Normal"/>
    <w:autoRedefine/>
    <w:uiPriority w:val="99"/>
    <w:semiHidden/>
    <w:rsid w:val="00014566"/>
    <w:pPr>
      <w:ind w:left="2160" w:hanging="240"/>
    </w:pPr>
  </w:style>
  <w:style w:type="paragraph" w:styleId="IndexHeading">
    <w:name w:val="index heading"/>
    <w:basedOn w:val="Normal"/>
    <w:next w:val="Index1"/>
    <w:uiPriority w:val="99"/>
    <w:semiHidden/>
    <w:rsid w:val="00014566"/>
    <w:rPr>
      <w:rFonts w:asciiTheme="majorHAnsi" w:eastAsiaTheme="majorEastAsia" w:hAnsiTheme="majorHAnsi" w:cstheme="majorBidi"/>
      <w:b/>
      <w:bCs/>
    </w:rPr>
  </w:style>
  <w:style w:type="table" w:styleId="LightGrid">
    <w:name w:val="Light Grid"/>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014566"/>
    <w:rPr>
      <w:color w:val="000000" w:themeColor="text1" w:themeShade="BF"/>
      <w:lang w:val="fr-FR" w:eastAsia="fr-F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014566"/>
    <w:rPr>
      <w:color w:val="00548C" w:themeColor="accent1" w:themeShade="BF"/>
      <w:lang w:val="fr-FR" w:eastAsia="fr-FR"/>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014566"/>
    <w:rPr>
      <w:color w:val="8F0000" w:themeColor="accent2" w:themeShade="BF"/>
      <w:lang w:val="fr-FR" w:eastAsia="fr-FR"/>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014566"/>
    <w:rPr>
      <w:color w:val="474747" w:themeColor="accent3" w:themeShade="BF"/>
      <w:lang w:val="fr-FR" w:eastAsia="fr-FR"/>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014566"/>
    <w:rPr>
      <w:color w:val="707070" w:themeColor="accent4" w:themeShade="BF"/>
      <w:lang w:val="fr-FR" w:eastAsia="fr-FR"/>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014566"/>
    <w:rPr>
      <w:color w:val="474747" w:themeColor="accent5" w:themeShade="BF"/>
      <w:lang w:val="fr-FR" w:eastAsia="fr-FR"/>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014566"/>
    <w:rPr>
      <w:color w:val="393939" w:themeColor="accent6" w:themeShade="BF"/>
      <w:lang w:val="fr-FR" w:eastAsia="fr-FR"/>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014566"/>
  </w:style>
  <w:style w:type="paragraph" w:styleId="List">
    <w:name w:val="List"/>
    <w:basedOn w:val="Normal"/>
    <w:uiPriority w:val="99"/>
    <w:semiHidden/>
    <w:rsid w:val="00014566"/>
    <w:pPr>
      <w:ind w:left="283" w:hanging="283"/>
      <w:contextualSpacing/>
    </w:pPr>
  </w:style>
  <w:style w:type="paragraph" w:styleId="List2">
    <w:name w:val="List 2"/>
    <w:basedOn w:val="Normal"/>
    <w:uiPriority w:val="99"/>
    <w:semiHidden/>
    <w:rsid w:val="00014566"/>
    <w:pPr>
      <w:ind w:left="566" w:hanging="283"/>
      <w:contextualSpacing/>
    </w:pPr>
  </w:style>
  <w:style w:type="paragraph" w:styleId="List3">
    <w:name w:val="List 3"/>
    <w:basedOn w:val="Normal"/>
    <w:uiPriority w:val="99"/>
    <w:semiHidden/>
    <w:rsid w:val="00014566"/>
    <w:pPr>
      <w:ind w:left="849" w:hanging="283"/>
      <w:contextualSpacing/>
    </w:pPr>
  </w:style>
  <w:style w:type="paragraph" w:styleId="List4">
    <w:name w:val="List 4"/>
    <w:basedOn w:val="Normal"/>
    <w:uiPriority w:val="99"/>
    <w:semiHidden/>
    <w:rsid w:val="00014566"/>
    <w:pPr>
      <w:ind w:left="1132" w:hanging="283"/>
      <w:contextualSpacing/>
    </w:pPr>
  </w:style>
  <w:style w:type="paragraph" w:styleId="List5">
    <w:name w:val="List 5"/>
    <w:basedOn w:val="Normal"/>
    <w:uiPriority w:val="99"/>
    <w:semiHidden/>
    <w:rsid w:val="00014566"/>
    <w:pPr>
      <w:ind w:left="1415" w:hanging="283"/>
      <w:contextualSpacing/>
    </w:pPr>
  </w:style>
  <w:style w:type="paragraph" w:styleId="ListBullet2">
    <w:name w:val="List Bullet 2"/>
    <w:basedOn w:val="Normal"/>
    <w:uiPriority w:val="99"/>
    <w:semiHidden/>
    <w:rsid w:val="00014566"/>
    <w:pPr>
      <w:numPr>
        <w:numId w:val="5"/>
      </w:numPr>
      <w:contextualSpacing/>
    </w:pPr>
  </w:style>
  <w:style w:type="paragraph" w:styleId="ListBullet3">
    <w:name w:val="List Bullet 3"/>
    <w:basedOn w:val="Normal"/>
    <w:uiPriority w:val="99"/>
    <w:semiHidden/>
    <w:rsid w:val="00014566"/>
    <w:pPr>
      <w:numPr>
        <w:numId w:val="6"/>
      </w:numPr>
      <w:contextualSpacing/>
    </w:pPr>
  </w:style>
  <w:style w:type="paragraph" w:styleId="ListBullet4">
    <w:name w:val="List Bullet 4"/>
    <w:basedOn w:val="Normal"/>
    <w:uiPriority w:val="99"/>
    <w:semiHidden/>
    <w:rsid w:val="00014566"/>
    <w:pPr>
      <w:numPr>
        <w:numId w:val="7"/>
      </w:numPr>
      <w:contextualSpacing/>
    </w:pPr>
  </w:style>
  <w:style w:type="paragraph" w:styleId="ListBullet5">
    <w:name w:val="List Bullet 5"/>
    <w:basedOn w:val="Normal"/>
    <w:uiPriority w:val="99"/>
    <w:semiHidden/>
    <w:rsid w:val="00014566"/>
    <w:pPr>
      <w:numPr>
        <w:numId w:val="8"/>
      </w:numPr>
      <w:contextualSpacing/>
    </w:pPr>
  </w:style>
  <w:style w:type="paragraph" w:styleId="ListContinue">
    <w:name w:val="List Continue"/>
    <w:basedOn w:val="Normal"/>
    <w:uiPriority w:val="99"/>
    <w:semiHidden/>
    <w:rsid w:val="00014566"/>
    <w:pPr>
      <w:spacing w:after="120"/>
      <w:ind w:left="283"/>
      <w:contextualSpacing/>
    </w:pPr>
  </w:style>
  <w:style w:type="paragraph" w:styleId="ListContinue2">
    <w:name w:val="List Continue 2"/>
    <w:basedOn w:val="Normal"/>
    <w:uiPriority w:val="99"/>
    <w:semiHidden/>
    <w:rsid w:val="00014566"/>
    <w:pPr>
      <w:spacing w:after="120"/>
      <w:ind w:left="566"/>
      <w:contextualSpacing/>
    </w:pPr>
  </w:style>
  <w:style w:type="paragraph" w:styleId="ListContinue3">
    <w:name w:val="List Continue 3"/>
    <w:basedOn w:val="Normal"/>
    <w:uiPriority w:val="99"/>
    <w:semiHidden/>
    <w:rsid w:val="00014566"/>
    <w:pPr>
      <w:spacing w:after="120"/>
      <w:ind w:left="849"/>
      <w:contextualSpacing/>
    </w:pPr>
  </w:style>
  <w:style w:type="paragraph" w:styleId="ListContinue4">
    <w:name w:val="List Continue 4"/>
    <w:basedOn w:val="Normal"/>
    <w:uiPriority w:val="99"/>
    <w:semiHidden/>
    <w:rsid w:val="00014566"/>
    <w:pPr>
      <w:spacing w:after="120"/>
      <w:ind w:left="1132"/>
      <w:contextualSpacing/>
    </w:pPr>
  </w:style>
  <w:style w:type="paragraph" w:styleId="ListContinue5">
    <w:name w:val="List Continue 5"/>
    <w:basedOn w:val="Normal"/>
    <w:uiPriority w:val="99"/>
    <w:semiHidden/>
    <w:rsid w:val="00014566"/>
    <w:pPr>
      <w:spacing w:after="120"/>
      <w:ind w:left="1415"/>
      <w:contextualSpacing/>
    </w:pPr>
  </w:style>
  <w:style w:type="paragraph" w:styleId="ListNumber">
    <w:name w:val="List Number"/>
    <w:basedOn w:val="Normal"/>
    <w:uiPriority w:val="99"/>
    <w:semiHidden/>
    <w:rsid w:val="00014566"/>
    <w:pPr>
      <w:numPr>
        <w:numId w:val="9"/>
      </w:numPr>
      <w:contextualSpacing/>
    </w:pPr>
  </w:style>
  <w:style w:type="paragraph" w:styleId="ListNumber2">
    <w:name w:val="List Number 2"/>
    <w:basedOn w:val="Normal"/>
    <w:uiPriority w:val="99"/>
    <w:semiHidden/>
    <w:rsid w:val="00014566"/>
    <w:pPr>
      <w:numPr>
        <w:numId w:val="10"/>
      </w:numPr>
      <w:contextualSpacing/>
    </w:pPr>
  </w:style>
  <w:style w:type="paragraph" w:styleId="ListNumber3">
    <w:name w:val="List Number 3"/>
    <w:basedOn w:val="Normal"/>
    <w:uiPriority w:val="99"/>
    <w:semiHidden/>
    <w:rsid w:val="00014566"/>
    <w:pPr>
      <w:numPr>
        <w:numId w:val="11"/>
      </w:numPr>
      <w:contextualSpacing/>
    </w:pPr>
  </w:style>
  <w:style w:type="paragraph" w:styleId="ListNumber4">
    <w:name w:val="List Number 4"/>
    <w:basedOn w:val="Normal"/>
    <w:uiPriority w:val="99"/>
    <w:semiHidden/>
    <w:rsid w:val="00014566"/>
    <w:pPr>
      <w:numPr>
        <w:numId w:val="12"/>
      </w:numPr>
      <w:contextualSpacing/>
    </w:pPr>
  </w:style>
  <w:style w:type="paragraph" w:styleId="ListNumber5">
    <w:name w:val="List Number 5"/>
    <w:basedOn w:val="Normal"/>
    <w:uiPriority w:val="99"/>
    <w:semiHidden/>
    <w:rsid w:val="00014566"/>
    <w:pPr>
      <w:numPr>
        <w:numId w:val="13"/>
      </w:numPr>
      <w:contextualSpacing/>
    </w:pPr>
  </w:style>
  <w:style w:type="paragraph" w:styleId="MacroText">
    <w:name w:val="macro"/>
    <w:link w:val="MacroTextChar"/>
    <w:uiPriority w:val="99"/>
    <w:semiHidden/>
    <w:rsid w:val="00014566"/>
    <w:pPr>
      <w:tabs>
        <w:tab w:val="left" w:pos="480"/>
        <w:tab w:val="left" w:pos="960"/>
        <w:tab w:val="left" w:pos="1440"/>
        <w:tab w:val="left" w:pos="1920"/>
        <w:tab w:val="left" w:pos="2400"/>
        <w:tab w:val="left" w:pos="2880"/>
        <w:tab w:val="left" w:pos="3360"/>
        <w:tab w:val="left" w:pos="3840"/>
        <w:tab w:val="left" w:pos="4320"/>
      </w:tabs>
      <w:suppressAutoHyphens/>
    </w:pPr>
    <w:rPr>
      <w:rFonts w:ascii="Consolas" w:hAnsi="Consolas" w:cs="Consolas"/>
      <w:sz w:val="20"/>
      <w:szCs w:val="20"/>
      <w:lang w:val="en-GB" w:eastAsia="fr-FR"/>
    </w:rPr>
  </w:style>
  <w:style w:type="character" w:customStyle="1" w:styleId="MacroTextChar">
    <w:name w:val="Macro Text Char"/>
    <w:basedOn w:val="DefaultParagraphFont"/>
    <w:link w:val="MacroText"/>
    <w:uiPriority w:val="99"/>
    <w:semiHidden/>
    <w:rsid w:val="00014566"/>
    <w:rPr>
      <w:rFonts w:ascii="Consolas" w:hAnsi="Consolas" w:cs="Consolas"/>
      <w:sz w:val="20"/>
      <w:szCs w:val="20"/>
      <w:lang w:val="en-GB" w:eastAsia="fr-FR"/>
    </w:rPr>
  </w:style>
  <w:style w:type="table" w:styleId="MediumGrid1">
    <w:name w:val="Medium Grid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014566"/>
    <w:rPr>
      <w:color w:val="000000" w:themeColor="text1"/>
      <w:lang w:val="fr-FR" w:eastAsia="fr-FR"/>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014566"/>
    <w:rPr>
      <w:color w:val="000000" w:themeColor="text1"/>
      <w:lang w:val="fr-FR" w:eastAsia="fr-FR"/>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014566"/>
    <w:rPr>
      <w:color w:val="000000" w:themeColor="text1"/>
      <w:lang w:val="fr-FR" w:eastAsia="fr-FR"/>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014566"/>
    <w:rPr>
      <w:color w:val="000000" w:themeColor="text1"/>
      <w:lang w:val="fr-FR" w:eastAsia="fr-FR"/>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014566"/>
    <w:rPr>
      <w:color w:val="000000" w:themeColor="text1"/>
      <w:lang w:val="fr-FR" w:eastAsia="fr-FR"/>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01456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01456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014566"/>
    <w:rPr>
      <w:rFonts w:ascii="Times New Roman" w:hAnsi="Times New Roman" w:cs="Times New Roman"/>
      <w:szCs w:val="24"/>
    </w:rPr>
  </w:style>
  <w:style w:type="paragraph" w:styleId="NormalIndent">
    <w:name w:val="Normal Indent"/>
    <w:basedOn w:val="Normal"/>
    <w:uiPriority w:val="99"/>
    <w:semiHidden/>
    <w:rsid w:val="00014566"/>
    <w:pPr>
      <w:ind w:left="720"/>
    </w:pPr>
  </w:style>
  <w:style w:type="paragraph" w:styleId="NoteHeading">
    <w:name w:val="Note Heading"/>
    <w:basedOn w:val="Normal"/>
    <w:next w:val="Normal"/>
    <w:link w:val="NoteHeadingChar"/>
    <w:uiPriority w:val="99"/>
    <w:semiHidden/>
    <w:rsid w:val="00014566"/>
  </w:style>
  <w:style w:type="character" w:customStyle="1" w:styleId="NoteHeadingChar">
    <w:name w:val="Note Heading Char"/>
    <w:basedOn w:val="DefaultParagraphFont"/>
    <w:link w:val="NoteHeading"/>
    <w:uiPriority w:val="99"/>
    <w:semiHidden/>
    <w:rsid w:val="00014566"/>
    <w:rPr>
      <w:rFonts w:eastAsiaTheme="minorEastAsia"/>
      <w:sz w:val="24"/>
    </w:rPr>
  </w:style>
  <w:style w:type="character" w:styleId="PlaceholderText">
    <w:name w:val="Placeholder Text"/>
    <w:basedOn w:val="DefaultParagraphFont"/>
    <w:uiPriority w:val="99"/>
    <w:semiHidden/>
    <w:rsid w:val="00014566"/>
    <w:rPr>
      <w:color w:val="808080"/>
    </w:rPr>
  </w:style>
  <w:style w:type="paragraph" w:styleId="PlainText">
    <w:name w:val="Plain Text"/>
    <w:basedOn w:val="Normal"/>
    <w:link w:val="PlainTextChar"/>
    <w:uiPriority w:val="99"/>
    <w:semiHidden/>
    <w:rsid w:val="00014566"/>
    <w:rPr>
      <w:rFonts w:ascii="Consolas" w:hAnsi="Consolas" w:cs="Consolas"/>
      <w:sz w:val="21"/>
      <w:szCs w:val="21"/>
    </w:rPr>
  </w:style>
  <w:style w:type="character" w:customStyle="1" w:styleId="PlainTextChar">
    <w:name w:val="Plain Text Char"/>
    <w:basedOn w:val="DefaultParagraphFont"/>
    <w:link w:val="PlainText"/>
    <w:uiPriority w:val="99"/>
    <w:semiHidden/>
    <w:rsid w:val="00014566"/>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014566"/>
  </w:style>
  <w:style w:type="character" w:customStyle="1" w:styleId="SalutationChar">
    <w:name w:val="Salutation Char"/>
    <w:basedOn w:val="DefaultParagraphFont"/>
    <w:link w:val="Salutation"/>
    <w:uiPriority w:val="99"/>
    <w:semiHidden/>
    <w:rsid w:val="00014566"/>
    <w:rPr>
      <w:rFonts w:eastAsiaTheme="minorEastAsia"/>
      <w:sz w:val="24"/>
    </w:rPr>
  </w:style>
  <w:style w:type="paragraph" w:styleId="Signature">
    <w:name w:val="Signature"/>
    <w:basedOn w:val="Normal"/>
    <w:link w:val="SignatureChar"/>
    <w:uiPriority w:val="99"/>
    <w:semiHidden/>
    <w:rsid w:val="00014566"/>
    <w:pPr>
      <w:ind w:left="4252"/>
    </w:pPr>
  </w:style>
  <w:style w:type="character" w:customStyle="1" w:styleId="SignatureChar">
    <w:name w:val="Signature Char"/>
    <w:basedOn w:val="DefaultParagraphFont"/>
    <w:link w:val="Signature"/>
    <w:uiPriority w:val="99"/>
    <w:semiHidden/>
    <w:rsid w:val="00014566"/>
    <w:rPr>
      <w:rFonts w:eastAsiaTheme="minorEastAsia"/>
      <w:sz w:val="24"/>
    </w:rPr>
  </w:style>
  <w:style w:type="table" w:styleId="Table3Deffects1">
    <w:name w:val="Table 3D effects 1"/>
    <w:basedOn w:val="TableNormal"/>
    <w:uiPriority w:val="99"/>
    <w:semiHidden/>
    <w:rsid w:val="00014566"/>
    <w:pPr>
      <w:suppressAutoHyphens/>
    </w:pPr>
    <w:rPr>
      <w:lang w:val="fr-FR" w:eastAsia="fr-FR"/>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014566"/>
    <w:pPr>
      <w:suppressAutoHyphens/>
    </w:pPr>
    <w:rPr>
      <w:lang w:val="fr-FR" w:eastAsia="fr-FR"/>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014566"/>
    <w:pPr>
      <w:suppressAutoHyphens/>
    </w:pPr>
    <w:rPr>
      <w:lang w:val="fr-FR" w:eastAsia="fr-F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014566"/>
    <w:pPr>
      <w:suppressAutoHyphens/>
    </w:pPr>
    <w:rPr>
      <w:color w:val="000080"/>
      <w:lang w:val="fr-FR" w:eastAsia="fr-FR"/>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014566"/>
    <w:pPr>
      <w:suppressAutoHyphens/>
    </w:pPr>
    <w:rPr>
      <w:lang w:val="fr-FR" w:eastAsia="fr-FR"/>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014566"/>
    <w:pPr>
      <w:suppressAutoHyphens/>
    </w:pPr>
    <w:rPr>
      <w:color w:val="FFFFFF"/>
      <w:lang w:val="fr-FR" w:eastAsia="fr-FR"/>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014566"/>
    <w:pPr>
      <w:suppressAutoHyphens/>
    </w:pPr>
    <w:rPr>
      <w:lang w:val="fr-FR" w:eastAsia="fr-FR"/>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014566"/>
    <w:pPr>
      <w:suppressAutoHyphens/>
    </w:pPr>
    <w:rPr>
      <w:lang w:val="fr-FR" w:eastAsia="fr-FR"/>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014566"/>
    <w:pPr>
      <w:suppressAutoHyphens/>
    </w:pPr>
    <w:rPr>
      <w:b/>
      <w:bCs/>
      <w:lang w:val="fr-FR" w:eastAsia="fr-FR"/>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014566"/>
    <w:pPr>
      <w:suppressAutoHyphens/>
    </w:pPr>
    <w:rPr>
      <w:b/>
      <w:bCs/>
      <w:lang w:val="fr-FR" w:eastAsia="fr-FR"/>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014566"/>
    <w:pPr>
      <w:suppressAutoHyphens/>
    </w:pPr>
    <w:rPr>
      <w:b/>
      <w:bCs/>
      <w:lang w:val="fr-FR" w:eastAsia="fr-FR"/>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014566"/>
    <w:pPr>
      <w:suppressAutoHyphens/>
    </w:pPr>
    <w:rPr>
      <w:lang w:val="fr-FR" w:eastAsia="fr-FR"/>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014566"/>
    <w:pPr>
      <w:suppressAutoHyphens/>
    </w:pPr>
    <w:rPr>
      <w:lang w:val="fr-FR" w:eastAsia="fr-F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014566"/>
    <w:pPr>
      <w:suppressAutoHyphens/>
    </w:pPr>
    <w:rPr>
      <w:lang w:val="fr-FR" w:eastAsia="fr-F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014566"/>
    <w:pPr>
      <w:suppressAutoHyphens/>
    </w:pPr>
    <w:rPr>
      <w:lang w:val="fr-FR" w:eastAsia="fr-FR"/>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014566"/>
    <w:pPr>
      <w:suppressAutoHyphens/>
    </w:pPr>
    <w:rPr>
      <w:lang w:val="fr-FR" w:eastAsia="fr-F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014566"/>
    <w:pPr>
      <w:suppressAutoHyphens/>
    </w:pPr>
    <w:rPr>
      <w:lang w:val="fr-FR" w:eastAsia="fr-FR"/>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014566"/>
    <w:pPr>
      <w:suppressAutoHyphens/>
    </w:pPr>
    <w:rPr>
      <w:lang w:val="fr-FR" w:eastAsia="fr-FR"/>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014566"/>
    <w:pPr>
      <w:suppressAutoHyphens/>
    </w:pPr>
    <w:rPr>
      <w:b/>
      <w:bCs/>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014566"/>
    <w:pPr>
      <w:suppressAutoHyphens/>
    </w:pPr>
    <w:rPr>
      <w:lang w:val="fr-FR" w:eastAsia="fr-F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014566"/>
    <w:pPr>
      <w:suppressAutoHyphens/>
    </w:pPr>
    <w:rPr>
      <w:lang w:val="fr-FR" w:eastAsia="fr-FR"/>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014566"/>
    <w:pPr>
      <w:suppressAutoHyphens/>
    </w:pPr>
    <w:rPr>
      <w:lang w:val="fr-FR" w:eastAsia="fr-FR"/>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014566"/>
    <w:pPr>
      <w:suppressAutoHyphens/>
    </w:pPr>
    <w:rPr>
      <w:lang w:val="fr-FR" w:eastAsia="fr-FR"/>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014566"/>
    <w:pPr>
      <w:suppressAutoHyphens/>
    </w:pPr>
    <w:rPr>
      <w:lang w:val="fr-FR" w:eastAsia="fr-FR"/>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014566"/>
    <w:pPr>
      <w:ind w:left="240" w:hanging="240"/>
    </w:pPr>
  </w:style>
  <w:style w:type="paragraph" w:styleId="TableofFigures">
    <w:name w:val="table of figures"/>
    <w:basedOn w:val="Normal"/>
    <w:next w:val="Normal"/>
    <w:uiPriority w:val="99"/>
    <w:semiHidden/>
    <w:rsid w:val="00014566"/>
  </w:style>
  <w:style w:type="table" w:styleId="TableProfessional">
    <w:name w:val="Table Professional"/>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014566"/>
    <w:pPr>
      <w:suppressAutoHyphens/>
    </w:pPr>
    <w:rPr>
      <w:lang w:val="fr-FR" w:eastAsia="fr-F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014566"/>
    <w:pPr>
      <w:suppressAutoHyphens/>
    </w:pPr>
    <w:rPr>
      <w:lang w:val="fr-FR" w:eastAsia="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014566"/>
    <w:pPr>
      <w:suppressAutoHyphens/>
    </w:pPr>
    <w:rPr>
      <w:lang w:val="fr-FR" w:eastAsia="fr-F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014566"/>
    <w:pPr>
      <w:suppressAutoHyphens/>
    </w:pPr>
    <w:rPr>
      <w:lang w:val="fr-FR" w:eastAsia="fr-FR"/>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014566"/>
    <w:pPr>
      <w:suppressAutoHyphens/>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014566"/>
    <w:pPr>
      <w:suppressAutoHyphens/>
    </w:pPr>
    <w:rPr>
      <w:lang w:val="fr-FR" w:eastAsia="fr-F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014566"/>
    <w:pPr>
      <w:suppressAutoHyphens/>
    </w:pPr>
    <w:rPr>
      <w:lang w:val="fr-FR" w:eastAsia="fr-F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014566"/>
    <w:pPr>
      <w:suppressAutoHyphens/>
    </w:pPr>
    <w:rPr>
      <w:lang w:val="fr-FR" w:eastAsia="fr-FR"/>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014566"/>
    <w:pPr>
      <w:spacing w:after="100"/>
      <w:ind w:left="1200"/>
    </w:pPr>
  </w:style>
  <w:style w:type="paragraph" w:styleId="TOC7">
    <w:name w:val="toc 7"/>
    <w:basedOn w:val="Normal"/>
    <w:next w:val="Normal"/>
    <w:autoRedefine/>
    <w:uiPriority w:val="99"/>
    <w:semiHidden/>
    <w:rsid w:val="00014566"/>
    <w:pPr>
      <w:spacing w:after="100"/>
      <w:ind w:left="1440"/>
    </w:pPr>
  </w:style>
  <w:style w:type="paragraph" w:styleId="TOC8">
    <w:name w:val="toc 8"/>
    <w:basedOn w:val="Normal"/>
    <w:next w:val="Normal"/>
    <w:autoRedefine/>
    <w:uiPriority w:val="99"/>
    <w:semiHidden/>
    <w:rsid w:val="00014566"/>
    <w:pPr>
      <w:spacing w:after="100"/>
      <w:ind w:left="1680"/>
    </w:pPr>
  </w:style>
  <w:style w:type="paragraph" w:styleId="TOC9">
    <w:name w:val="toc 9"/>
    <w:basedOn w:val="Normal"/>
    <w:next w:val="Normal"/>
    <w:autoRedefine/>
    <w:uiPriority w:val="99"/>
    <w:semiHidden/>
    <w:rsid w:val="00014566"/>
    <w:pPr>
      <w:spacing w:after="100"/>
      <w:ind w:left="1920"/>
    </w:pPr>
  </w:style>
  <w:style w:type="character" w:customStyle="1" w:styleId="ECHRParaChar">
    <w:name w:val="ECHR_Para Char"/>
    <w:aliases w:val="Ju_Para Char"/>
    <w:basedOn w:val="DefaultParagraphFont"/>
    <w:link w:val="ECHRPara"/>
    <w:uiPriority w:val="12"/>
    <w:rsid w:val="00231B69"/>
    <w:rPr>
      <w:rFonts w:eastAsiaTheme="minorEastAsia"/>
      <w:sz w:val="24"/>
    </w:rPr>
  </w:style>
  <w:style w:type="character" w:customStyle="1" w:styleId="JuHArticleChar">
    <w:name w:val="Ju_H_Article Char"/>
    <w:basedOn w:val="DefaultParagraphFont"/>
    <w:link w:val="ECHRTitleCentre3"/>
    <w:uiPriority w:val="27"/>
    <w:rsid w:val="0077149D"/>
    <w:rPr>
      <w:rFonts w:asciiTheme="majorHAnsi" w:eastAsiaTheme="minorEastAsia" w:hAnsiTheme="majorHAnsi"/>
      <w:b/>
      <w:sz w:val="20"/>
      <w:lang w:bidi="en-US"/>
    </w:rPr>
  </w:style>
  <w:style w:type="character" w:customStyle="1" w:styleId="JuQuotChar">
    <w:name w:val="Ju_Quot Char"/>
    <w:basedOn w:val="DefaultParagraphFont"/>
    <w:link w:val="ECHRParaQuote"/>
    <w:uiPriority w:val="14"/>
    <w:rsid w:val="0077149D"/>
    <w:rPr>
      <w:rFonts w:eastAsiaTheme="minorEastAsia"/>
      <w:sz w:val="20"/>
    </w:rPr>
  </w:style>
  <w:style w:type="character" w:customStyle="1" w:styleId="JuHAChar">
    <w:name w:val="Ju_H_A Char"/>
    <w:basedOn w:val="DefaultParagraphFont"/>
    <w:link w:val="ECHRHeading2"/>
    <w:uiPriority w:val="20"/>
    <w:rsid w:val="00E03F4B"/>
    <w:rPr>
      <w:rFonts w:asciiTheme="majorHAnsi" w:eastAsiaTheme="majorEastAsia" w:hAnsiTheme="majorHAnsi" w:cstheme="majorBidi"/>
      <w:b/>
      <w:bCs/>
      <w:sz w:val="24"/>
      <w:szCs w:val="26"/>
    </w:rPr>
  </w:style>
  <w:style w:type="paragraph" w:customStyle="1" w:styleId="JuCourt">
    <w:name w:val="Ju_Court"/>
    <w:basedOn w:val="Normal"/>
    <w:next w:val="Normal"/>
    <w:uiPriority w:val="16"/>
    <w:qFormat/>
    <w:rsid w:val="00EB129E"/>
    <w:pPr>
      <w:tabs>
        <w:tab w:val="left" w:pos="907"/>
        <w:tab w:val="left" w:pos="1701"/>
        <w:tab w:val="right" w:pos="7371"/>
      </w:tabs>
      <w:spacing w:before="240"/>
      <w:ind w:left="397" w:hanging="397"/>
      <w:jc w:val="left"/>
    </w:pPr>
    <w:rPr>
      <w:lang w:bidi="en-US"/>
    </w:rPr>
  </w:style>
  <w:style w:type="paragraph" w:customStyle="1" w:styleId="DecList">
    <w:name w:val="Dec_List"/>
    <w:basedOn w:val="Normal"/>
    <w:uiPriority w:val="9"/>
    <w:rsid w:val="00EB129E"/>
    <w:pPr>
      <w:spacing w:before="240"/>
      <w:ind w:left="284"/>
    </w:pPr>
  </w:style>
  <w:style w:type="paragraph" w:customStyle="1" w:styleId="OpiH1">
    <w:name w:val="Opi_H_1"/>
    <w:basedOn w:val="ECHRHeading2"/>
    <w:uiPriority w:val="42"/>
    <w:qFormat/>
    <w:rsid w:val="00EB129E"/>
    <w:pPr>
      <w:ind w:left="635" w:hanging="357"/>
      <w:outlineLvl w:val="2"/>
    </w:pPr>
  </w:style>
  <w:style w:type="paragraph" w:customStyle="1" w:styleId="OpiHa0">
    <w:name w:val="Opi_H_a"/>
    <w:basedOn w:val="ECHRHeading3"/>
    <w:uiPriority w:val="43"/>
    <w:qFormat/>
    <w:rsid w:val="00EB129E"/>
    <w:pPr>
      <w:ind w:left="833" w:hanging="357"/>
      <w:outlineLvl w:val="3"/>
    </w:pPr>
    <w:rPr>
      <w:b/>
      <w:i w:val="0"/>
      <w:sz w:val="20"/>
    </w:rPr>
  </w:style>
  <w:style w:type="paragraph" w:customStyle="1" w:styleId="OpiHi">
    <w:name w:val="Opi_H_i"/>
    <w:basedOn w:val="ECHRHeading4"/>
    <w:uiPriority w:val="44"/>
    <w:qFormat/>
    <w:rsid w:val="00EB129E"/>
    <w:pPr>
      <w:ind w:left="1037" w:hanging="357"/>
      <w:outlineLvl w:val="4"/>
    </w:pPr>
    <w:rPr>
      <w:b w:val="0"/>
      <w:i/>
    </w:rPr>
  </w:style>
  <w:style w:type="paragraph" w:customStyle="1" w:styleId="DummyStyle">
    <w:name w:val="Dummy_Style"/>
    <w:basedOn w:val="Normal"/>
    <w:semiHidden/>
    <w:qFormat/>
    <w:rsid w:val="00EB129E"/>
    <w:rPr>
      <w:color w:val="00B050"/>
    </w:rPr>
  </w:style>
  <w:style w:type="paragraph" w:customStyle="1" w:styleId="jupara">
    <w:name w:val="jupara"/>
    <w:basedOn w:val="Normal"/>
    <w:rsid w:val="006440D1"/>
    <w:pPr>
      <w:ind w:firstLine="284"/>
    </w:pPr>
    <w:rPr>
      <w:rFonts w:ascii="Times New Roman" w:eastAsia="Times New Roman" w:hAnsi="Times New Roman" w:cs="Times New Roman"/>
      <w:szCs w:val="24"/>
      <w:lang w:val="en-GB" w:eastAsia="en-GB"/>
    </w:rPr>
  </w:style>
  <w:style w:type="paragraph" w:customStyle="1" w:styleId="jucase0">
    <w:name w:val="jucase"/>
    <w:basedOn w:val="Normal"/>
    <w:rsid w:val="006440D1"/>
    <w:pPr>
      <w:ind w:firstLine="284"/>
    </w:pPr>
    <w:rPr>
      <w:rFonts w:ascii="Times New Roman" w:eastAsia="Times New Roman" w:hAnsi="Times New Roman" w:cs="Times New Roman"/>
      <w:b/>
      <w:bCs/>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419153">
      <w:bodyDiv w:val="1"/>
      <w:marLeft w:val="0"/>
      <w:marRight w:val="0"/>
      <w:marTop w:val="0"/>
      <w:marBottom w:val="0"/>
      <w:divBdr>
        <w:top w:val="none" w:sz="0" w:space="0" w:color="auto"/>
        <w:left w:val="none" w:sz="0" w:space="0" w:color="auto"/>
        <w:bottom w:val="none" w:sz="0" w:space="0" w:color="auto"/>
        <w:right w:val="none" w:sz="0" w:space="0" w:color="auto"/>
      </w:divBdr>
      <w:divsChild>
        <w:div w:id="1778208864">
          <w:marLeft w:val="0"/>
          <w:marRight w:val="0"/>
          <w:marTop w:val="0"/>
          <w:marBottom w:val="0"/>
          <w:divBdr>
            <w:top w:val="none" w:sz="0" w:space="0" w:color="auto"/>
            <w:left w:val="none" w:sz="0" w:space="0" w:color="auto"/>
            <w:bottom w:val="none" w:sz="0" w:space="0" w:color="auto"/>
            <w:right w:val="none" w:sz="0" w:space="0" w:color="auto"/>
          </w:divBdr>
          <w:divsChild>
            <w:div w:id="64377985">
              <w:marLeft w:val="0"/>
              <w:marRight w:val="0"/>
              <w:marTop w:val="0"/>
              <w:marBottom w:val="0"/>
              <w:divBdr>
                <w:top w:val="none" w:sz="0" w:space="0" w:color="auto"/>
                <w:left w:val="none" w:sz="0" w:space="0" w:color="auto"/>
                <w:bottom w:val="none" w:sz="0" w:space="0" w:color="auto"/>
                <w:right w:val="none" w:sz="0" w:space="0" w:color="auto"/>
              </w:divBdr>
              <w:divsChild>
                <w:div w:id="988706464">
                  <w:marLeft w:val="0"/>
                  <w:marRight w:val="0"/>
                  <w:marTop w:val="0"/>
                  <w:marBottom w:val="0"/>
                  <w:divBdr>
                    <w:top w:val="none" w:sz="0" w:space="0" w:color="auto"/>
                    <w:left w:val="none" w:sz="0" w:space="0" w:color="auto"/>
                    <w:bottom w:val="none" w:sz="0" w:space="0" w:color="auto"/>
                    <w:right w:val="none" w:sz="0" w:space="0" w:color="auto"/>
                  </w:divBdr>
                  <w:divsChild>
                    <w:div w:id="1336299223">
                      <w:marLeft w:val="0"/>
                      <w:marRight w:val="0"/>
                      <w:marTop w:val="0"/>
                      <w:marBottom w:val="0"/>
                      <w:divBdr>
                        <w:top w:val="none" w:sz="0" w:space="0" w:color="auto"/>
                        <w:left w:val="none" w:sz="0" w:space="0" w:color="auto"/>
                        <w:bottom w:val="none" w:sz="0" w:space="0" w:color="auto"/>
                        <w:right w:val="none" w:sz="0" w:space="0" w:color="auto"/>
                      </w:divBdr>
                      <w:divsChild>
                        <w:div w:id="1631739299">
                          <w:marLeft w:val="0"/>
                          <w:marRight w:val="0"/>
                          <w:marTop w:val="0"/>
                          <w:marBottom w:val="0"/>
                          <w:divBdr>
                            <w:top w:val="none" w:sz="0" w:space="0" w:color="auto"/>
                            <w:left w:val="none" w:sz="0" w:space="0" w:color="auto"/>
                            <w:bottom w:val="none" w:sz="0" w:space="0" w:color="auto"/>
                            <w:right w:val="none" w:sz="0" w:space="0" w:color="auto"/>
                          </w:divBdr>
                          <w:divsChild>
                            <w:div w:id="181633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497582">
      <w:bodyDiv w:val="1"/>
      <w:marLeft w:val="0"/>
      <w:marRight w:val="0"/>
      <w:marTop w:val="0"/>
      <w:marBottom w:val="0"/>
      <w:divBdr>
        <w:top w:val="none" w:sz="0" w:space="0" w:color="auto"/>
        <w:left w:val="none" w:sz="0" w:space="0" w:color="auto"/>
        <w:bottom w:val="none" w:sz="0" w:space="0" w:color="auto"/>
        <w:right w:val="none" w:sz="0" w:space="0" w:color="auto"/>
      </w:divBdr>
    </w:div>
    <w:div w:id="1147011757">
      <w:bodyDiv w:val="1"/>
      <w:marLeft w:val="0"/>
      <w:marRight w:val="0"/>
      <w:marTop w:val="0"/>
      <w:marBottom w:val="0"/>
      <w:divBdr>
        <w:top w:val="none" w:sz="0" w:space="0" w:color="auto"/>
        <w:left w:val="none" w:sz="0" w:space="0" w:color="auto"/>
        <w:bottom w:val="none" w:sz="0" w:space="0" w:color="auto"/>
        <w:right w:val="none" w:sz="0" w:space="0" w:color="auto"/>
      </w:divBdr>
    </w:div>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 w:id="1732388127">
      <w:bodyDiv w:val="1"/>
      <w:marLeft w:val="0"/>
      <w:marRight w:val="0"/>
      <w:marTop w:val="0"/>
      <w:marBottom w:val="0"/>
      <w:divBdr>
        <w:top w:val="none" w:sz="0" w:space="0" w:color="auto"/>
        <w:left w:val="none" w:sz="0" w:space="0" w:color="auto"/>
        <w:bottom w:val="none" w:sz="0" w:space="0" w:color="auto"/>
        <w:right w:val="none" w:sz="0" w:space="0" w:color="auto"/>
      </w:divBdr>
      <w:divsChild>
        <w:div w:id="2104644670">
          <w:marLeft w:val="0"/>
          <w:marRight w:val="0"/>
          <w:marTop w:val="0"/>
          <w:marBottom w:val="0"/>
          <w:divBdr>
            <w:top w:val="none" w:sz="0" w:space="0" w:color="auto"/>
            <w:left w:val="none" w:sz="0" w:space="0" w:color="auto"/>
            <w:bottom w:val="none" w:sz="0" w:space="0" w:color="auto"/>
            <w:right w:val="none" w:sz="0" w:space="0" w:color="auto"/>
          </w:divBdr>
          <w:divsChild>
            <w:div w:id="1947035034">
              <w:marLeft w:val="0"/>
              <w:marRight w:val="0"/>
              <w:marTop w:val="0"/>
              <w:marBottom w:val="0"/>
              <w:divBdr>
                <w:top w:val="none" w:sz="0" w:space="0" w:color="auto"/>
                <w:left w:val="none" w:sz="0" w:space="0" w:color="auto"/>
                <w:bottom w:val="none" w:sz="0" w:space="0" w:color="auto"/>
                <w:right w:val="none" w:sz="0" w:space="0" w:color="auto"/>
              </w:divBdr>
              <w:divsChild>
                <w:div w:id="790781244">
                  <w:marLeft w:val="0"/>
                  <w:marRight w:val="0"/>
                  <w:marTop w:val="0"/>
                  <w:marBottom w:val="0"/>
                  <w:divBdr>
                    <w:top w:val="none" w:sz="0" w:space="0" w:color="auto"/>
                    <w:left w:val="none" w:sz="0" w:space="0" w:color="auto"/>
                    <w:bottom w:val="none" w:sz="0" w:space="0" w:color="auto"/>
                    <w:right w:val="none" w:sz="0" w:space="0" w:color="auto"/>
                  </w:divBdr>
                  <w:divsChild>
                    <w:div w:id="407076834">
                      <w:marLeft w:val="0"/>
                      <w:marRight w:val="0"/>
                      <w:marTop w:val="0"/>
                      <w:marBottom w:val="0"/>
                      <w:divBdr>
                        <w:top w:val="none" w:sz="0" w:space="0" w:color="auto"/>
                        <w:left w:val="none" w:sz="0" w:space="0" w:color="auto"/>
                        <w:bottom w:val="none" w:sz="0" w:space="0" w:color="auto"/>
                        <w:right w:val="none" w:sz="0" w:space="0" w:color="auto"/>
                      </w:divBdr>
                      <w:divsChild>
                        <w:div w:id="1095714371">
                          <w:marLeft w:val="0"/>
                          <w:marRight w:val="0"/>
                          <w:marTop w:val="0"/>
                          <w:marBottom w:val="0"/>
                          <w:divBdr>
                            <w:top w:val="none" w:sz="0" w:space="0" w:color="auto"/>
                            <w:left w:val="none" w:sz="0" w:space="0" w:color="auto"/>
                            <w:bottom w:val="none" w:sz="0" w:space="0" w:color="auto"/>
                            <w:right w:val="none" w:sz="0" w:space="0" w:color="auto"/>
                          </w:divBdr>
                          <w:divsChild>
                            <w:div w:id="204540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2BCC58-7FAD-481D-A62F-A3024ABB8545}"/>
</file>

<file path=customXml/itemProps2.xml><?xml version="1.0" encoding="utf-8"?>
<ds:datastoreItem xmlns:ds="http://schemas.openxmlformats.org/officeDocument/2006/customXml" ds:itemID="{C1A57175-5582-4249-993B-DF1A7441C391}"/>
</file>

<file path=customXml/itemProps3.xml><?xml version="1.0" encoding="utf-8"?>
<ds:datastoreItem xmlns:ds="http://schemas.openxmlformats.org/officeDocument/2006/customXml" ds:itemID="{0C745832-6908-49FA-AE00-475EF25F7052}"/>
</file>

<file path=customXml/itemProps4.xml><?xml version="1.0" encoding="utf-8"?>
<ds:datastoreItem xmlns:ds="http://schemas.openxmlformats.org/officeDocument/2006/customXml" ds:itemID="{6DB69BAE-B0F4-4B8B-A01C-121ACF624897}"/>
</file>

<file path=docProps/app.xml><?xml version="1.0" encoding="utf-8"?>
<Properties xmlns="http://schemas.openxmlformats.org/officeDocument/2006/extended-properties" xmlns:vt="http://schemas.openxmlformats.org/officeDocument/2006/docPropsVTypes">
  <Template>Normal.dotm</Template>
  <TotalTime>0</TotalTime>
  <Pages>1</Pages>
  <Words>4442</Words>
  <Characters>25325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29708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DJ</dc:subject>
  <dc:creator/>
  <cp:lastModifiedBy/>
  <cp:revision>1</cp:revision>
  <cp:lastPrinted>2014-08-28T20:28:00Z</cp:lastPrinted>
  <dcterms:created xsi:type="dcterms:W3CDTF">2019-04-02T14:27:00Z</dcterms:created>
  <dcterms:modified xsi:type="dcterms:W3CDTF">2019-04-02T14:27:00Z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