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60"/>
      </w:pPr>
      <w:r>
        <w:rPr>
          <w:rFonts w:ascii="Malgun Gothic" w:cs="Malgun Gothic" w:eastAsia="Malgun Gothic" w:hAnsi="Malgun Gothic"/>
          <w:b/>
          <w:bCs/>
          <w:color w:val="FFFFFF"/>
          <w:sz w:val="18"/>
          <w:szCs w:val="18"/>
        </w:rPr>
        <w:t xml:space="preserve"> INTERNAL ONLY · 대외비 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C0392B"/>
          <w:sz w:val="20"/>
          <w:szCs w:val="20"/>
        </w:rPr>
        <w:t xml:space="preserve">SILICON2 · TREND REPORT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아누아 브랜드 · 글로벌 시장 분석 보고서</w:t>
      </w:r>
    </w:p>
    <w:p>
      <w:pPr>
        <w:shd w:fill="F4F4F4" w:val="clear"/>
        <w:spacing w:after="16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대상 권역: </w:t>
      </w:r>
      <w:r>
        <w:rPr>
          <w:rFonts w:ascii="Malgun Gothic" w:cs="Malgun Gothic" w:eastAsia="Malgun Gothic" w:hAnsi="Malgun Gothic"/>
          <w:sz w:val="17"/>
          <w:szCs w:val="17"/>
        </w:rPr>
        <w:t xml:space="preserve">미국 · 유럽 · 중동    </w:t>
      </w: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조사 기간: </w:t>
      </w:r>
      <w:r>
        <w:rPr>
          <w:rFonts w:ascii="Malgun Gothic" w:cs="Malgun Gothic" w:eastAsia="Malgun Gothic" w:hAnsi="Malgun Gothic"/>
          <w:sz w:val="17"/>
          <w:szCs w:val="17"/>
        </w:rPr>
        <w:t xml:space="preserve">2025.01 – 2025.12    </w:t>
      </w: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생성일: </w:t>
      </w:r>
      <w:r>
        <w:rPr>
          <w:rFonts w:ascii="Malgun Gothic" w:cs="Malgun Gothic" w:eastAsia="Malgun Gothic" w:hAnsi="Malgun Gothic"/>
          <w:sz w:val="17"/>
          <w:szCs w:val="17"/>
        </w:rPr>
        <w:t xml:space="preserve">2026-06-24</w:t>
      </w:r>
    </w:p>
    <w:p>
      <w:pPr>
        <w:pBdr>
          <w:bottom w:val="single" w:color="C0392B" w:sz="24" w:space="4"/>
        </w:pBdr>
        <w:spacing w:after="160"/>
      </w:pPr>
      <w:r>
        <w:t xml:space="preserve"/>
      </w:r>
    </w:p>
    <w:p>
      <w:pPr>
        <w:pBdr>
          <w:left w:val="single" w:color="C0392B" w:sz="24" w:space="8"/>
        </w:pBdr>
        <w:shd w:fill="FDECEA" w:val="clear"/>
        <w:spacing w:after="20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⚠️ 취급 주의 및 보안 안내: </w:t>
      </w:r>
      <w:r>
        <w:rPr>
          <w:rFonts w:ascii="Malgun Gothic" w:cs="Malgun Gothic" w:eastAsia="Malgun Gothic" w:hAnsi="Malgun Gothic"/>
          <w:sz w:val="17"/>
          <w:szCs w:val="17"/>
        </w:rPr>
        <w:t xml:space="preserve">본 문서는 실리콘투 내부 전용 보고서입니다. 자사의 원가, 마진 구조 및 주요 경쟁사의 실명 매출 데이터가 포함되어 있으므로, 어떠한 경우에도 외부(거래처 및 파트너사 포함)로의 무단 전재, 공유 및 유출을 엄격히 금합니다.</w:t>
      </w:r>
    </w:p>
    <w:p>
      <w:pPr>
        <w:shd w:fill="F4F4F4" w:val="clear"/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목차 (CONTENTS)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18"/>
          <w:szCs w:val="18"/>
        </w:rPr>
        <w:t xml:space="preserve">국가 — 국가별 판매 순위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18"/>
          <w:szCs w:val="18"/>
        </w:rPr>
        <w:t xml:space="preserve">브랜드 — 브랜드 경쟁 순위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18"/>
          <w:szCs w:val="18"/>
        </w:rPr>
        <w:t xml:space="preserve">SKU — 아누아 핵심 SKU 성장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원가 — 자사 원가 · 마진 구조</w:t>
      </w:r>
    </w:p>
    <w:p>
      <w:pPr>
        <w:pBdr>
          <w:left w:val="single" w:color="C0392B" w:sz="24" w:space="8"/>
        </w:pBdr>
        <w:spacing w:after="160" w:before="3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 국가 — 국가별 판매 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60"/>
        <w:gridCol w:w="1700"/>
        <w:gridCol w:w="1500"/>
        <w:gridCol w:w="1700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국가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매출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점유율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성장률(YoY)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미국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₩27.6억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31%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+18.4%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프랑스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₩12.5억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14%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+9.2%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UAE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₩9.8억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11%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+24.0%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영국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₩8.0억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9%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+6.1%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독일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₩6.2억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7%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64FE"/>
                <w:sz w:val="19"/>
                <w:szCs w:val="19"/>
              </w:rPr>
              <w:t xml:space="preserve">-3.0%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C0392B" w:sz="24" w:space="8"/>
        </w:pBdr>
        <w:spacing w:after="160" w:before="3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 브랜드 — 브랜드 경쟁 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60"/>
        <w:gridCol w:w="1500"/>
        <w:gridCol w:w="1500"/>
        <w:gridCol w:w="1300"/>
        <w:gridCol w:w="15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브랜드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매출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원가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마진율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성장률(YoY)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토리든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₩31.9억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₩16.9억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47%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+14.2%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아누아 (자사)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₩27.6억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₩14.1억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49%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+22.8%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롬앤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₩24.9억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₩13.4억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46%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+8.4%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조선미녀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₩21.6억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₩12.1억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44%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+17.1%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코스알엑스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₩18.9억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₩10.8억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43%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+5.2%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C0392B" w:sz="24" w:space="8"/>
        </w:pBdr>
        <w:spacing w:after="160" w:before="3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 SKU — 아누아 핵심 SKU 성장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800"/>
        <w:gridCol w:w="2200"/>
        <w:gridCol w:w="2000"/>
      </w:tblGrid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SKU (제품명)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매출 비중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매출 순위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판매수량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어성초 77 수딩 토너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31%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1위 / 24 SKU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약 142,000개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어성초 클렌징 오일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18%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2위 / 24 SKU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약 58,000개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피치 70 나이아 세럼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12%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3위 / 24 SKU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약 33,000개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어성초 토너 패드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9%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4위 / 24 SKU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약 47,000개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C0392B" w:sz="24" w:space="8"/>
        </w:pBdr>
        <w:spacing w:after="160" w:before="3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 원가 — 자사 원가 · 마진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제품 라인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평균 원가율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마진율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기여이익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어성초 라인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51%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49%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₩13.5억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피치 라인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54%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46%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₩4.1억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도화 라인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57%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43%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₩2.9억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부록 (Appendix)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17"/>
          <w:szCs w:val="17"/>
        </w:rPr>
        <w:t xml:space="preserve">데이터 기준일: 2025-12-31 단위 및 통화 기준은 KRW 환산 기준을 따릅니다.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17"/>
          <w:szCs w:val="17"/>
        </w:rPr>
        <w:t xml:space="preserve">데이터 출처: SILICON2 내부 판매 및 발주 전산 데이터 기반 집계.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17"/>
          <w:szCs w:val="17"/>
        </w:rPr>
        <w:t xml:space="preserve">배포 및 활용 권한: 본 문서는 원가 구조 및 경쟁사 실명을 투명하게 포함하고 있으므로 외부(바이어, 파트너사, 대외 처방용) 공유 시에는 반드시 거래처 등급 권한에 맞추어 경쟁사명 익명화(마스킹) 및 원가·마진 데이터를 제외한 버전으로 필터링하여 재배포하시기 바랍니다.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Malgun Gothic" w:cs="Malgun Gothic" w:eastAsia="Malgun Gothic" w:hAnsi="Malgun Gothic"/>
          <w:sz w:val="17"/>
          <w:szCs w:val="17"/>
        </w:rPr>
        <w:t xml:space="preserve">판매수량은 SKU별 매출 비중과 라인별 평균 판매단가를 기반으로 한 추정치입니다.</w:t>
      </w:r>
    </w:p>
    <w:p>
      <w:r>
        <w:rPr>
          <w:rFonts w:ascii="Malgun Gothic" w:cs="Malgun Gothic" w:eastAsia="Malgun Gothic" w:hAnsi="Malgun Gothic"/>
          <w:b/>
          <w:bCs/>
          <w:color w:val="C0392B"/>
          <w:sz w:val="15"/>
          <w:szCs w:val="15"/>
        </w:rPr>
        <w:t xml:space="preserve">SILICON2 · TREND REPORT</w:t>
      </w:r>
    </w:p>
    <w:sectPr>
      <w:pgSz w:w="11906" w:h="16838" w:orient="portrait"/>
      <w:pgMar w:top="1080" w:right="960" w:bottom="108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2026-06-26T04:59:32.632Z</dcterms:created>
  <dcterms:modified xsi:type="dcterms:W3CDTF">2026-06-26T04:59:32.633Z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