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Lines="100" w:line="360" w:lineRule="auto"/>
        <w:ind w:firstLine="723" w:firstLineChars="200"/>
        <w:jc w:val="center"/>
        <w:rPr>
          <w:rFonts w:ascii="黑体" w:hAnsi="黑体" w:eastAsia="黑体"/>
          <w:b/>
          <w:sz w:val="30"/>
          <w:szCs w:val="30"/>
        </w:rPr>
      </w:pPr>
      <w:r>
        <w:rPr>
          <w:rFonts w:hint="eastAsia" w:ascii="黑体" w:hAnsi="黑体" w:eastAsia="黑体"/>
          <w:b/>
          <w:sz w:val="30"/>
          <w:szCs w:val="30"/>
        </w:rPr>
        <w:t>超级电容器研究与发展综述</w:t>
      </w:r>
    </w:p>
    <w:p>
      <w:pPr>
        <w:snapToGrid w:val="0"/>
        <w:spacing w:beforeLines="100" w:line="360" w:lineRule="auto"/>
        <w:ind w:firstLine="361" w:firstLineChars="200"/>
        <w:rPr>
          <w:rFonts w:ascii="楷体_GB2312" w:eastAsia="楷体_GB2312"/>
          <w:b/>
          <w:sz w:val="21"/>
          <w:szCs w:val="21"/>
        </w:rPr>
      </w:pPr>
      <w:r>
        <w:rPr>
          <w:rFonts w:hint="eastAsia" w:ascii="黑体" w:eastAsia="黑体"/>
          <w:b/>
          <w:sz w:val="21"/>
          <w:szCs w:val="21"/>
        </w:rPr>
        <w:t>【摘要】</w:t>
      </w:r>
      <w:r>
        <w:rPr>
          <w:rFonts w:hint="eastAsia" w:ascii="楷体_GB2312" w:eastAsia="楷体_GB2312"/>
          <w:b/>
          <w:sz w:val="21"/>
          <w:szCs w:val="21"/>
        </w:rPr>
        <w:t>超级电容器是一种介于常规电容器与化学电池二者之间的一种新型储能元件, 它具有高能量密度、高功率密度、长循环寿</w:t>
      </w:r>
      <w:bookmarkStart w:id="1" w:name="_GoBack"/>
      <w:bookmarkEnd w:id="1"/>
      <w:r>
        <w:rPr>
          <w:rFonts w:hint="eastAsia" w:ascii="楷体_GB2312" w:eastAsia="楷体_GB2312"/>
          <w:b/>
          <w:sz w:val="21"/>
          <w:szCs w:val="21"/>
        </w:rPr>
        <w:t>命、使用寿命长、充放电时间短、温度特性好、免维护、节约能源和绿色环保等优点。根据储能机理不同，可将超级电容器分为双电层超级电容器和赝电容超级电容器。本文介绍了超级电容器的结构、原理、特点及发展状况，归纳了超级电容器应用研究状况, 在最后对未来超级电容器的应用进行了展望。</w:t>
      </w:r>
    </w:p>
    <w:p>
      <w:pPr>
        <w:spacing w:beforeLines="100" w:line="360" w:lineRule="auto"/>
        <w:ind w:firstLine="361" w:firstLineChars="200"/>
        <w:rPr>
          <w:rFonts w:ascii="楷体_GB2312" w:eastAsia="楷体_GB2312"/>
          <w:b/>
          <w:sz w:val="21"/>
          <w:szCs w:val="21"/>
        </w:rPr>
      </w:pPr>
      <w:r>
        <w:rPr>
          <w:rFonts w:hint="eastAsia" w:ascii="黑体" w:eastAsia="黑体"/>
          <w:b/>
          <w:sz w:val="21"/>
          <w:szCs w:val="21"/>
        </w:rPr>
        <w:t>【关键词】</w:t>
      </w:r>
      <w:r>
        <w:rPr>
          <w:rFonts w:hint="eastAsia" w:ascii="楷体_GB2312" w:eastAsia="楷体_GB2312"/>
          <w:b/>
          <w:sz w:val="21"/>
          <w:szCs w:val="21"/>
        </w:rPr>
        <w:t>超级电容器；结构和原理；特点；发展状况；应用研究状况；展望；综述。</w:t>
      </w:r>
    </w:p>
    <w:p>
      <w:pPr>
        <w:pStyle w:val="2"/>
        <w:spacing w:beforeLines="100" w:line="360" w:lineRule="auto"/>
        <w:ind w:firstLine="480"/>
        <w:rPr>
          <w:rFonts w:asciiTheme="minorEastAsia" w:hAnsiTheme="minorEastAsia"/>
          <w:color w:val="333333"/>
          <w:spacing w:val="14"/>
          <w:sz w:val="24"/>
          <w:szCs w:val="24"/>
        </w:rPr>
      </w:pPr>
      <w:bookmarkStart w:id="0" w:name="_Toc287779718"/>
      <w:r>
        <w:rPr>
          <w:rFonts w:hint="eastAsia"/>
          <w:sz w:val="24"/>
          <w:szCs w:val="24"/>
        </w:rPr>
        <w:t>（一）</w:t>
      </w:r>
      <w:bookmarkEnd w:id="0"/>
      <w:r>
        <w:rPr>
          <w:rFonts w:hint="eastAsia" w:ascii="黑体" w:hAnsi="黑体"/>
          <w:b/>
          <w:sz w:val="24"/>
          <w:szCs w:val="24"/>
        </w:rPr>
        <w:t xml:space="preserve">超级电容器的结构和原理 </w:t>
      </w:r>
      <w:r>
        <w:rPr>
          <w:rFonts w:hint="eastAsia" w:asciiTheme="minorEastAsia" w:hAnsiTheme="minorEastAsia"/>
          <w:color w:val="333333"/>
          <w:spacing w:val="14"/>
          <w:sz w:val="24"/>
          <w:szCs w:val="24"/>
        </w:rPr>
        <w:t xml:space="preserve">   </w:t>
      </w:r>
    </w:p>
    <w:p>
      <w:pPr>
        <w:spacing w:beforeLines="100" w:line="360" w:lineRule="auto"/>
        <w:ind w:firstLine="476"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t>根据储能机理的不同，超级电容器可分为：(1)基于高比表面积电极材料与溶液问界面双电层原理的双电层电容器；(2)基于电化学欠电位沉积或氧化还原法拉第过程的赝电容器。赝电容与双电层电容的形成机理不同，但并不相互排斥。大比表面积准电容电极的充放电过程会形成双电层电容，双电层电容电极(如多孔炭)的充放电过程往往伴随有赝电容氧化还原过程发生，实际的电化学电容通常是两者共存的宏观体现，区别只在于何者占主要部分。实践过程中，人们为了达到提高电容器的性能、降低成本的目的，经常将赝电容电极材料和双电层电容电极材料混合使用，制成所谓的混合电化学电容器。混合电化学电容器可分为两类，一类是电容器的一个电极采用赝电容电极材料，另一个电极采用双电层电容电极材料，制成不对称电容器，这样可以拓宽电容器的使用电压范围，提高能量密度；另一类是赝电容电极材料和双电层电容电极材料混合组成复合电极，制备对称电容器。</w:t>
      </w:r>
    </w:p>
    <w:p>
      <w:pPr>
        <w:spacing w:beforeLines="100" w:line="360" w:lineRule="auto"/>
        <w:ind w:firstLine="476"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t>超级电容器的主要组成部分包括集流体、工作电极、电解液和隔膜。如图1所示。集流体的作用是传递和收集电荷，其涉及的材料主要有碳材料、泡沫镍、不锈钢网、铝箔等。电解液主要可分为三类：水系、有机系和凝胶。在这之中，水系包含：酸性（硫酸）、碱性（KOH）、中性（硫酸钠）；有机系包含：季铵盐、锂盐、有机溶剂等；凝胶包含：PVA/H2SO4、PVA/H3PO4等。隔膜设计的材料有多孔PE、PP等[1]。超级电容器工作电极所采用的电极材料是进行能量储存的关键，是超级电容器性能的核心影响因素。目前电极材料可以分为三类: 第一类是碳材料; 第二类是过渡金属氧化物; 第三类是导电聚合物材料。实际上, 后两种物质作电极的性能要优于碳材料, 但昂贵的贵金属材料以及性能不稳定的导电聚合物掺杂, 使得后两类超级电容器的研究多限于实验室, 短期内不太可能进行商业化。此外, 还有使用不同正负电极材料的非对称型超级电容器(也称混合超级电容器或杂化超级电容器), 其储能能力大大增加[3] 。</w:t>
      </w:r>
    </w:p>
    <w:p>
      <w:pPr>
        <w:spacing w:beforeLines="100" w:line="360" w:lineRule="auto"/>
        <w:ind w:firstLine="420" w:firstLineChars="200"/>
        <w:jc w:val="center"/>
        <w:rPr>
          <w:rFonts w:asciiTheme="minorEastAsia" w:hAnsiTheme="minorEastAsia"/>
          <w:color w:val="333333"/>
          <w:spacing w:val="14"/>
          <w:sz w:val="24"/>
          <w:szCs w:val="24"/>
        </w:rPr>
      </w:pPr>
      <w:r>
        <w:rPr>
          <w:rFonts w:hint="eastAsia"/>
          <w:sz w:val="24"/>
          <w:szCs w:val="24"/>
        </w:rPr>
        <w:drawing>
          <wp:inline distT="0" distB="0" distL="0" distR="0">
            <wp:extent cx="3161665" cy="2208530"/>
            <wp:effectExtent l="19050" t="0" r="635" b="0"/>
            <wp:docPr id="3" name="图片 10" descr="C:\Users\Administrator\Desktop\43a7d933c895d143af0a358476f082025aaf07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descr="C:\Users\Administrator\Desktop\43a7d933c895d143af0a358476f082025aaf071c.jpg"/>
                    <pic:cNvPicPr>
                      <a:picLocks noChangeAspect="1" noChangeArrowheads="1"/>
                    </pic:cNvPicPr>
                  </pic:nvPicPr>
                  <pic:blipFill>
                    <a:blip r:embed="rId5" cstate="print"/>
                    <a:srcRect/>
                    <a:stretch>
                      <a:fillRect/>
                    </a:stretch>
                  </pic:blipFill>
                  <pic:spPr>
                    <a:xfrm>
                      <a:off x="0" y="0"/>
                      <a:ext cx="3161665" cy="2208530"/>
                    </a:xfrm>
                    <a:prstGeom prst="rect">
                      <a:avLst/>
                    </a:prstGeom>
                    <a:noFill/>
                    <a:ln w="9525">
                      <a:noFill/>
                      <a:miter lim="800000"/>
                      <a:headEnd/>
                      <a:tailEnd/>
                    </a:ln>
                  </pic:spPr>
                </pic:pic>
              </a:graphicData>
            </a:graphic>
          </wp:inline>
        </w:drawing>
      </w:r>
    </w:p>
    <w:p>
      <w:pPr>
        <w:jc w:val="center"/>
        <w:rPr>
          <w:sz w:val="24"/>
          <w:szCs w:val="24"/>
        </w:rPr>
      </w:pPr>
    </w:p>
    <w:p>
      <w:pPr>
        <w:jc w:val="center"/>
        <w:rPr>
          <w:sz w:val="24"/>
          <w:szCs w:val="24"/>
        </w:rPr>
      </w:pPr>
      <w:r>
        <w:rPr>
          <w:rFonts w:hint="eastAsia"/>
          <w:sz w:val="24"/>
          <w:szCs w:val="24"/>
        </w:rPr>
        <w:drawing>
          <wp:anchor distT="0" distB="0" distL="114300" distR="114300" simplePos="0" relativeHeight="251660288" behindDoc="1" locked="0" layoutInCell="1" allowOverlap="1">
            <wp:simplePos x="0" y="0"/>
            <wp:positionH relativeFrom="column">
              <wp:posOffset>-228600</wp:posOffset>
            </wp:positionH>
            <wp:positionV relativeFrom="paragraph">
              <wp:posOffset>641985</wp:posOffset>
            </wp:positionV>
            <wp:extent cx="6089650" cy="3429000"/>
            <wp:effectExtent l="19050" t="0" r="6350" b="0"/>
            <wp:wrapTight wrapText="bothSides">
              <wp:wrapPolygon>
                <wp:start x="-68" y="0"/>
                <wp:lineTo x="-68" y="21480"/>
                <wp:lineTo x="21623" y="21480"/>
                <wp:lineTo x="21623" y="0"/>
                <wp:lineTo x="-68" y="0"/>
              </wp:wrapPolygon>
            </wp:wrapTight>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noChangeArrowheads="1"/>
                    </pic:cNvPicPr>
                  </pic:nvPicPr>
                  <pic:blipFill>
                    <a:blip r:embed="rId6" cstate="print"/>
                    <a:srcRect/>
                    <a:stretch>
                      <a:fillRect/>
                    </a:stretch>
                  </pic:blipFill>
                  <pic:spPr>
                    <a:xfrm>
                      <a:off x="0" y="0"/>
                      <a:ext cx="6089650" cy="3429000"/>
                    </a:xfrm>
                    <a:prstGeom prst="rect">
                      <a:avLst/>
                    </a:prstGeom>
                    <a:noFill/>
                    <a:ln w="9525">
                      <a:noFill/>
                      <a:miter lim="800000"/>
                      <a:headEnd/>
                      <a:tailEnd/>
                    </a:ln>
                  </pic:spPr>
                </pic:pic>
              </a:graphicData>
            </a:graphic>
          </wp:anchor>
        </w:drawing>
      </w:r>
      <w:r>
        <w:rPr>
          <w:rFonts w:hint="eastAsia"/>
          <w:sz w:val="24"/>
          <w:szCs w:val="24"/>
        </w:rPr>
        <w:t>图1：超级电容器的主要组成部分</w:t>
      </w:r>
    </w:p>
    <w:p>
      <w:pPr>
        <w:rPr>
          <w:sz w:val="24"/>
          <w:szCs w:val="24"/>
        </w:rPr>
      </w:pPr>
      <w:r>
        <w:rPr>
          <w:rFonts w:hint="eastAsia"/>
          <w:sz w:val="24"/>
          <w:szCs w:val="24"/>
        </w:rPr>
        <w:drawing>
          <wp:anchor distT="0" distB="0" distL="114300" distR="114300" simplePos="0" relativeHeight="251658240" behindDoc="1" locked="0" layoutInCell="1" allowOverlap="1">
            <wp:simplePos x="0" y="0"/>
            <wp:positionH relativeFrom="column">
              <wp:posOffset>-345440</wp:posOffset>
            </wp:positionH>
            <wp:positionV relativeFrom="paragraph">
              <wp:posOffset>-628650</wp:posOffset>
            </wp:positionV>
            <wp:extent cx="6301740" cy="2390775"/>
            <wp:effectExtent l="19050" t="0" r="3810" b="0"/>
            <wp:wrapTight wrapText="bothSides">
              <wp:wrapPolygon>
                <wp:start x="-65" y="0"/>
                <wp:lineTo x="-65" y="21514"/>
                <wp:lineTo x="21613" y="21514"/>
                <wp:lineTo x="21613" y="0"/>
                <wp:lineTo x="-65" y="0"/>
              </wp:wrapPolygon>
            </wp:wrapTight>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noChangeArrowheads="1"/>
                    </pic:cNvPicPr>
                  </pic:nvPicPr>
                  <pic:blipFill>
                    <a:blip r:embed="rId7" cstate="print"/>
                    <a:srcRect/>
                    <a:stretch>
                      <a:fillRect/>
                    </a:stretch>
                  </pic:blipFill>
                  <pic:spPr>
                    <a:xfrm>
                      <a:off x="0" y="0"/>
                      <a:ext cx="6301740" cy="2390775"/>
                    </a:xfrm>
                    <a:prstGeom prst="rect">
                      <a:avLst/>
                    </a:prstGeom>
                    <a:noFill/>
                    <a:ln w="9525">
                      <a:noFill/>
                      <a:miter lim="800000"/>
                      <a:headEnd/>
                      <a:tailEnd/>
                    </a:ln>
                  </pic:spPr>
                </pic:pic>
              </a:graphicData>
            </a:graphic>
          </wp:anchor>
        </w:drawing>
      </w:r>
    </w:p>
    <w:p>
      <w:pPr>
        <w:ind w:firstLine="2625" w:firstLineChars="1250"/>
        <w:rPr>
          <w:sz w:val="24"/>
          <w:szCs w:val="24"/>
        </w:rPr>
      </w:pPr>
    </w:p>
    <w:p>
      <w:pPr>
        <w:ind w:firstLine="2625" w:firstLineChars="1250"/>
        <w:rPr>
          <w:sz w:val="24"/>
          <w:szCs w:val="24"/>
        </w:rPr>
      </w:pPr>
      <w:r>
        <w:rPr>
          <w:rFonts w:hint="eastAsia"/>
          <w:sz w:val="24"/>
          <w:szCs w:val="24"/>
        </w:rPr>
        <w:t>图2：国外超级电容器技术概览[6]</w:t>
      </w:r>
    </w:p>
    <w:p>
      <w:pPr>
        <w:spacing w:beforeLines="100" w:line="360" w:lineRule="auto"/>
        <w:ind w:firstLine="643" w:firstLineChars="200"/>
        <w:rPr>
          <w:sz w:val="24"/>
          <w:szCs w:val="24"/>
        </w:rPr>
      </w:pPr>
      <w:r>
        <w:rPr>
          <w:rFonts w:hint="eastAsia"/>
          <w:b/>
          <w:sz w:val="24"/>
          <w:szCs w:val="24"/>
        </w:rPr>
        <w:t xml:space="preserve">  </w:t>
      </w:r>
      <w:r>
        <w:rPr>
          <w:rFonts w:hint="eastAsia" w:ascii="黑体" w:hAnsi="黑体"/>
          <w:b/>
          <w:sz w:val="24"/>
          <w:szCs w:val="24"/>
        </w:rPr>
        <w:t>1.1.双电层电容器</w:t>
      </w:r>
      <w:r>
        <w:rPr>
          <w:rFonts w:hint="eastAsia" w:asciiTheme="minorEastAsia" w:hAnsiTheme="minorEastAsia"/>
          <w:color w:val="333333"/>
          <w:spacing w:val="14"/>
          <w:sz w:val="24"/>
          <w:szCs w:val="24"/>
        </w:rPr>
        <w:t>[4]</w:t>
      </w:r>
    </w:p>
    <w:p>
      <w:pPr>
        <w:spacing w:beforeLines="100" w:line="360" w:lineRule="auto"/>
        <w:ind w:firstLine="476"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t xml:space="preserve">一对浸在电解质溶液中的固体电极在外加电场的作用下，在电极表面与电解质接触的界面电荷会重新分布、排列。作为补偿，带正电的正电极吸引电解液中的负离子，负极吸引电解液中的正离子，从而在电极表面形成紧密的双电层，由此产尘的电容称为双电层电容。双电层是由相距为原子尺寸的微小距离的两个相反电荷层构成，这两个相对的电荷层就像平板电容器的两个平板一样。德国物理学家亥姆霍茨(Helmholtz)于1879年首次提出此模型。如图3所示。能量是以电荷的形式存储在电极材料的界面。充电时，电子通过外加电源从正极流向负极，同时，正负离子从溶液体相中分离并分别移动到电极表面，形成双电层；充电结束后，电极上的正负电荷与溶液中的相反电荷离子相吸引而使双电层稳定，在正负极间产生相对稳定的电位差。在放电时，电子通过负载从负极流到正极，在外电路中产生电流，正负离子从电极表面被释放进入溶液体相呈电中性。   </w:t>
      </w:r>
    </w:p>
    <w:p>
      <w:pPr>
        <w:pStyle w:val="2"/>
        <w:spacing w:beforeLines="100" w:line="360" w:lineRule="auto"/>
        <w:ind w:firstLine="480"/>
        <w:jc w:val="center"/>
        <w:rPr>
          <w:sz w:val="24"/>
          <w:szCs w:val="24"/>
        </w:rPr>
      </w:pPr>
      <w:r>
        <w:rPr>
          <w:rFonts w:hint="eastAsia"/>
          <w:sz w:val="24"/>
          <w:szCs w:val="24"/>
        </w:rPr>
        <w:drawing>
          <wp:inline distT="0" distB="0" distL="0" distR="0">
            <wp:extent cx="3904615" cy="1952625"/>
            <wp:effectExtent l="19050" t="0" r="469" b="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noChangeArrowheads="1"/>
                    </pic:cNvPicPr>
                  </pic:nvPicPr>
                  <pic:blipFill>
                    <a:blip r:embed="rId8" cstate="print"/>
                    <a:srcRect/>
                    <a:stretch>
                      <a:fillRect/>
                    </a:stretch>
                  </pic:blipFill>
                  <pic:spPr>
                    <a:xfrm>
                      <a:off x="0" y="0"/>
                      <a:ext cx="3904781" cy="1952625"/>
                    </a:xfrm>
                    <a:prstGeom prst="rect">
                      <a:avLst/>
                    </a:prstGeom>
                    <a:noFill/>
                    <a:ln w="9525">
                      <a:noFill/>
                      <a:miter lim="800000"/>
                      <a:headEnd/>
                      <a:tailEnd/>
                    </a:ln>
                  </pic:spPr>
                </pic:pic>
              </a:graphicData>
            </a:graphic>
          </wp:inline>
        </w:drawing>
      </w:r>
    </w:p>
    <w:p>
      <w:pPr>
        <w:jc w:val="center"/>
        <w:rPr>
          <w:sz w:val="24"/>
          <w:szCs w:val="24"/>
        </w:rPr>
      </w:pPr>
      <w:r>
        <w:rPr>
          <w:rFonts w:hint="eastAsia"/>
          <w:sz w:val="24"/>
          <w:szCs w:val="24"/>
        </w:rPr>
        <w:t xml:space="preserve">           图3：双电层电容器工作原理</w:t>
      </w:r>
    </w:p>
    <w:p>
      <w:pPr>
        <w:spacing w:beforeLines="100" w:line="360" w:lineRule="auto"/>
        <w:ind w:firstLine="422" w:firstLineChars="200"/>
        <w:rPr>
          <w:rFonts w:ascii="黑体" w:hAnsi="黑体"/>
          <w:b/>
          <w:sz w:val="24"/>
          <w:szCs w:val="24"/>
        </w:rPr>
      </w:pPr>
      <w:r>
        <w:rPr>
          <w:rFonts w:hint="eastAsia" w:ascii="黑体" w:hAnsi="黑体"/>
          <w:b/>
          <w:sz w:val="24"/>
          <w:szCs w:val="24"/>
        </w:rPr>
        <w:t>1.2.</w:t>
      </w:r>
      <w:r>
        <w:rPr>
          <w:rFonts w:hint="eastAsia"/>
          <w:sz w:val="24"/>
          <w:szCs w:val="24"/>
        </w:rPr>
        <w:t xml:space="preserve"> </w:t>
      </w:r>
      <w:r>
        <w:rPr>
          <w:rFonts w:hint="eastAsia" w:ascii="黑体" w:hAnsi="黑体"/>
          <w:b/>
          <w:sz w:val="24"/>
          <w:szCs w:val="24"/>
        </w:rPr>
        <w:t>法拉第赝电容器</w:t>
      </w:r>
      <w:r>
        <w:rPr>
          <w:rFonts w:hint="eastAsia" w:asciiTheme="minorEastAsia" w:hAnsiTheme="minorEastAsia"/>
          <w:color w:val="333333"/>
          <w:spacing w:val="14"/>
          <w:sz w:val="24"/>
          <w:szCs w:val="24"/>
        </w:rPr>
        <w:t>[4]</w:t>
      </w:r>
    </w:p>
    <w:p>
      <w:pPr>
        <w:spacing w:beforeLines="100" w:line="360" w:lineRule="auto"/>
        <w:ind w:firstLine="476" w:firstLineChars="200"/>
        <w:rPr>
          <w:rFonts w:asciiTheme="minorEastAsia" w:hAnsiTheme="minorEastAsia"/>
          <w:color w:val="333333"/>
          <w:spacing w:val="14"/>
          <w:sz w:val="24"/>
          <w:szCs w:val="24"/>
        </w:rPr>
      </w:pPr>
      <w:r>
        <w:rPr>
          <w:rFonts w:hint="eastAsia" w:asciiTheme="minorEastAsia" w:hAnsiTheme="minorEastAsia"/>
          <w:color w:val="333333"/>
          <w:spacing w:val="14"/>
          <w:sz w:val="24"/>
          <w:szCs w:val="24"/>
        </w:rPr>
        <w:t>法拉第赝电容器也叫法拉第准电容，是在电极表面活体相中的二维或三维空间上，电活性物质进行欠电位沉积，发生高度可逆的化学吸附或氧化还原反应，产生与电极充电电位有关的电容。这种电极系统的电压随电荷转移的量呈线性变化，表现出电容特征，故称为“准电容”，是作为双电层型电容器的一种补充形式。法拉第准电容的充放电机理为：电解液中的离子( 一般为H+或OH-)在外加电场的作用下向溶液中扩散到电极/溶液界面，而后通过界面的电化学反应进入到电极表面活性氧化物的体相中；若电极材料是具有较大比表面积的氧化物，就会有相当多的这样的电化学反应发生，大量的电荷就被存储在电极中。放电时这些进入氧化物中的离子又会重新回到电解液中，同时所存储的电荷通过外电路释放出来。在电极的比表面积相同的情况下，由于法拉第赝电容器的电容在电极中是由无数微等效电容电路的网络形式形成的，其电容量直接与电极中的法拉第电量有关，所以法拉第赝电容器的比电容是双电层电容器的10—100倍，目前对法拉第赝电容的研究工作成为一个重点开展的方向。</w:t>
      </w:r>
    </w:p>
    <w:p>
      <w:pPr>
        <w:spacing w:beforeLines="100" w:line="360" w:lineRule="auto"/>
        <w:ind w:firstLine="420" w:firstLineChars="200"/>
        <w:rPr>
          <w:rFonts w:asciiTheme="minorEastAsia" w:hAnsiTheme="minorEastAsia"/>
          <w:color w:val="333333"/>
          <w:spacing w:val="14"/>
          <w:sz w:val="24"/>
          <w:szCs w:val="24"/>
        </w:rPr>
      </w:pPr>
      <w:r>
        <w:rPr>
          <w:rFonts w:hint="eastAsia" w:asciiTheme="minorEastAsia" w:hAnsiTheme="minorEastAsia"/>
          <w:color w:val="333333"/>
          <w:spacing w:val="14"/>
          <w:sz w:val="24"/>
          <w:szCs w:val="24"/>
        </w:rPr>
        <w:drawing>
          <wp:inline distT="0" distB="0" distL="0" distR="0">
            <wp:extent cx="5273675" cy="3646805"/>
            <wp:effectExtent l="19050" t="0" r="317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noChangeArrowheads="1"/>
                    </pic:cNvPicPr>
                  </pic:nvPicPr>
                  <pic:blipFill>
                    <a:blip r:embed="rId9" cstate="print"/>
                    <a:srcRect/>
                    <a:stretch>
                      <a:fillRect/>
                    </a:stretch>
                  </pic:blipFill>
                  <pic:spPr>
                    <a:xfrm>
                      <a:off x="0" y="0"/>
                      <a:ext cx="5273675" cy="3646805"/>
                    </a:xfrm>
                    <a:prstGeom prst="rect">
                      <a:avLst/>
                    </a:prstGeom>
                    <a:noFill/>
                    <a:ln w="9525">
                      <a:noFill/>
                      <a:miter lim="800000"/>
                      <a:headEnd/>
                      <a:tailEnd/>
                    </a:ln>
                  </pic:spPr>
                </pic:pic>
              </a:graphicData>
            </a:graphic>
          </wp:inline>
        </w:drawing>
      </w:r>
    </w:p>
    <w:p>
      <w:pPr>
        <w:jc w:val="center"/>
        <w:rPr>
          <w:sz w:val="24"/>
          <w:szCs w:val="24"/>
        </w:rPr>
      </w:pPr>
      <w:r>
        <w:rPr>
          <w:rFonts w:hint="eastAsia"/>
          <w:sz w:val="24"/>
          <w:szCs w:val="24"/>
        </w:rPr>
        <w:t>图4：赝电容器工作原理</w:t>
      </w:r>
    </w:p>
    <w:p>
      <w:pPr>
        <w:spacing w:beforeLines="100" w:line="360" w:lineRule="auto"/>
        <w:ind w:firstLine="476" w:firstLineChars="200"/>
        <w:jc w:val="center"/>
        <w:rPr>
          <w:rFonts w:asciiTheme="minorEastAsia" w:hAnsiTheme="minorEastAsia"/>
          <w:color w:val="333333"/>
          <w:spacing w:val="14"/>
          <w:sz w:val="24"/>
          <w:szCs w:val="24"/>
        </w:rPr>
      </w:pPr>
    </w:p>
    <w:p>
      <w:pPr>
        <w:pStyle w:val="2"/>
        <w:spacing w:beforeLines="100" w:line="360" w:lineRule="auto"/>
        <w:ind w:firstLine="480"/>
        <w:rPr>
          <w:sz w:val="24"/>
          <w:szCs w:val="24"/>
        </w:rPr>
      </w:pPr>
      <w:r>
        <w:rPr>
          <w:rFonts w:hint="eastAsia"/>
          <w:sz w:val="24"/>
          <w:szCs w:val="24"/>
        </w:rPr>
        <w:t>（二）</w:t>
      </w:r>
      <w:r>
        <w:rPr>
          <w:rFonts w:hint="eastAsia" w:ascii="黑体" w:hAnsi="黑体"/>
          <w:b/>
          <w:sz w:val="24"/>
          <w:szCs w:val="24"/>
        </w:rPr>
        <w:t>超级电容器的性能特点</w:t>
      </w:r>
    </w:p>
    <w:p>
      <w:pPr>
        <w:spacing w:beforeLines="100" w:line="360" w:lineRule="auto"/>
        <w:ind w:firstLine="476" w:firstLineChars="200"/>
        <w:rPr>
          <w:rFonts w:asciiTheme="minorEastAsia" w:hAnsiTheme="minorEastAsia"/>
          <w:color w:val="333333"/>
          <w:spacing w:val="14"/>
          <w:sz w:val="24"/>
          <w:szCs w:val="24"/>
        </w:rPr>
      </w:pPr>
      <w:r>
        <w:rPr>
          <w:rFonts w:hint="eastAsia" w:asciiTheme="minorEastAsia" w:hAnsiTheme="minorEastAsia"/>
          <w:color w:val="333333"/>
          <w:spacing w:val="14"/>
          <w:sz w:val="24"/>
          <w:szCs w:val="24"/>
        </w:rPr>
        <w:t>超级电容器是一种介于普通电容器和化学电池之间、兼具两者的优点的储能器件。它的性能特点主要有：</w:t>
      </w:r>
    </w:p>
    <w:p>
      <w:pPr>
        <w:rPr>
          <w:rFonts w:asciiTheme="minorEastAsia" w:hAnsiTheme="minorEastAsia"/>
          <w:sz w:val="24"/>
          <w:szCs w:val="24"/>
        </w:rPr>
      </w:pPr>
      <w:r>
        <w:rPr>
          <w:rFonts w:hint="eastAsia" w:asciiTheme="minorEastAsia" w:hAnsiTheme="minorEastAsia"/>
          <w:sz w:val="24"/>
          <w:szCs w:val="24"/>
        </w:rPr>
        <w:t xml:space="preserve">（1）充电速度快，充电10秒～10分钟可达到其额定容量的95％以上；     </w:t>
      </w:r>
    </w:p>
    <w:p>
      <w:pPr>
        <w:rPr>
          <w:rFonts w:asciiTheme="minorEastAsia" w:hAnsiTheme="minorEastAsia"/>
          <w:sz w:val="24"/>
          <w:szCs w:val="24"/>
        </w:rPr>
      </w:pPr>
      <w:r>
        <w:rPr>
          <w:rFonts w:hint="eastAsia" w:asciiTheme="minorEastAsia" w:hAnsiTheme="minorEastAsia"/>
          <w:sz w:val="24"/>
          <w:szCs w:val="24"/>
        </w:rPr>
        <w:t xml:space="preserve">（2）循环使用寿命长，深度充放电循环使用次数可达1~50万次，没有“记忆效应”；    </w:t>
      </w:r>
    </w:p>
    <w:p>
      <w:pPr>
        <w:rPr>
          <w:rFonts w:asciiTheme="minorEastAsia" w:hAnsiTheme="minorEastAsia"/>
          <w:sz w:val="24"/>
          <w:szCs w:val="24"/>
        </w:rPr>
      </w:pPr>
      <w:r>
        <w:rPr>
          <w:rFonts w:hint="eastAsia" w:asciiTheme="minorEastAsia" w:hAnsiTheme="minorEastAsia"/>
          <w:sz w:val="24"/>
          <w:szCs w:val="24"/>
        </w:rPr>
        <w:t xml:space="preserve">（3）大电流放电能力超强，能量转换效率高，过程损失小，大电流能量循环效率≥90%；    </w:t>
      </w:r>
    </w:p>
    <w:p>
      <w:pPr>
        <w:rPr>
          <w:rFonts w:asciiTheme="minorEastAsia" w:hAnsiTheme="minorEastAsia"/>
          <w:sz w:val="24"/>
          <w:szCs w:val="24"/>
        </w:rPr>
      </w:pPr>
      <w:r>
        <w:rPr>
          <w:rFonts w:hint="eastAsia" w:asciiTheme="minorEastAsia" w:hAnsiTheme="minorEastAsia"/>
          <w:sz w:val="24"/>
          <w:szCs w:val="24"/>
        </w:rPr>
        <w:t xml:space="preserve">（4）功率密度高，可达300W/KG~5000W/KG，相当于电池的5~10倍；     </w:t>
      </w:r>
    </w:p>
    <w:p>
      <w:pPr>
        <w:rPr>
          <w:rFonts w:asciiTheme="minorEastAsia" w:hAnsiTheme="minorEastAsia"/>
          <w:sz w:val="24"/>
          <w:szCs w:val="24"/>
        </w:rPr>
      </w:pPr>
      <w:r>
        <w:rPr>
          <w:rFonts w:hint="eastAsia" w:asciiTheme="minorEastAsia" w:hAnsiTheme="minorEastAsia"/>
          <w:sz w:val="24"/>
          <w:szCs w:val="24"/>
        </w:rPr>
        <w:t xml:space="preserve">（5）原材料构成、生产、使用、储存以及拆解过程均没有污染，是理想的绿色环保电源；    </w:t>
      </w:r>
    </w:p>
    <w:p>
      <w:pPr>
        <w:rPr>
          <w:rFonts w:asciiTheme="minorEastAsia" w:hAnsiTheme="minorEastAsia"/>
          <w:sz w:val="24"/>
          <w:szCs w:val="24"/>
        </w:rPr>
      </w:pPr>
      <w:r>
        <w:rPr>
          <w:rFonts w:hint="eastAsia" w:asciiTheme="minorEastAsia" w:hAnsiTheme="minorEastAsia"/>
          <w:sz w:val="24"/>
          <w:szCs w:val="24"/>
        </w:rPr>
        <w:t xml:space="preserve">（6）充放电线路简单，无需充电电池那样的充电电路，安全系数高，长期使用免维护；    </w:t>
      </w:r>
    </w:p>
    <w:p>
      <w:pPr>
        <w:rPr>
          <w:rFonts w:asciiTheme="minorEastAsia" w:hAnsiTheme="minorEastAsia"/>
          <w:sz w:val="24"/>
          <w:szCs w:val="24"/>
        </w:rPr>
      </w:pPr>
      <w:r>
        <w:rPr>
          <w:rFonts w:hint="eastAsia" w:asciiTheme="minorEastAsia" w:hAnsiTheme="minorEastAsia"/>
          <w:sz w:val="24"/>
          <w:szCs w:val="24"/>
        </w:rPr>
        <w:t xml:space="preserve">（7）超低温特性好，温度范围宽：-40℃～+70℃,而一般电池是-20℃～+60℃，且免维护，环境友善；  </w:t>
      </w:r>
    </w:p>
    <w:p>
      <w:pPr>
        <w:rPr>
          <w:rFonts w:asciiTheme="minorEastAsia" w:hAnsiTheme="minorEastAsia"/>
          <w:sz w:val="24"/>
          <w:szCs w:val="24"/>
        </w:rPr>
      </w:pPr>
      <w:r>
        <w:rPr>
          <w:rFonts w:hint="eastAsia" w:asciiTheme="minorEastAsia" w:hAnsiTheme="minorEastAsia"/>
          <w:sz w:val="24"/>
          <w:szCs w:val="24"/>
        </w:rPr>
        <w:t xml:space="preserve">（8）检测方便，剩余电量可直接读出；    </w:t>
      </w:r>
    </w:p>
    <w:p>
      <w:pPr>
        <w:rPr>
          <w:rFonts w:asciiTheme="minorEastAsia" w:hAnsiTheme="minorEastAsia"/>
          <w:sz w:val="24"/>
          <w:szCs w:val="24"/>
        </w:rPr>
      </w:pPr>
      <w:r>
        <w:rPr>
          <w:rFonts w:hint="eastAsia" w:asciiTheme="minorEastAsia" w:hAnsiTheme="minorEastAsia"/>
          <w:sz w:val="24"/>
          <w:szCs w:val="24"/>
        </w:rPr>
        <w:t>（9）容量范围通常0.1F--1000F。</w:t>
      </w:r>
    </w:p>
    <w:p>
      <w:pPr>
        <w:spacing w:beforeLines="100" w:line="360" w:lineRule="auto"/>
        <w:ind w:firstLine="420" w:firstLineChars="200"/>
        <w:rPr>
          <w:rFonts w:asciiTheme="minorEastAsia" w:hAnsiTheme="minorEastAsia"/>
          <w:color w:val="333333"/>
          <w:spacing w:val="14"/>
          <w:sz w:val="24"/>
          <w:szCs w:val="24"/>
        </w:rPr>
      </w:pPr>
      <w:r>
        <w:rPr>
          <w:rFonts w:hint="eastAsia" w:asciiTheme="minorEastAsia" w:hAnsiTheme="minorEastAsia"/>
          <w:color w:val="333333"/>
          <w:spacing w:val="14"/>
          <w:sz w:val="24"/>
          <w:szCs w:val="24"/>
        </w:rPr>
        <w:drawing>
          <wp:inline distT="0" distB="0" distL="0" distR="0">
            <wp:extent cx="5267325" cy="39624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10" cstate="print"/>
                    <a:srcRect/>
                    <a:stretch>
                      <a:fillRect/>
                    </a:stretch>
                  </pic:blipFill>
                  <pic:spPr>
                    <a:xfrm>
                      <a:off x="0" y="0"/>
                      <a:ext cx="5267325" cy="3962400"/>
                    </a:xfrm>
                    <a:prstGeom prst="rect">
                      <a:avLst/>
                    </a:prstGeom>
                    <a:noFill/>
                    <a:ln w="9525">
                      <a:noFill/>
                      <a:miter lim="800000"/>
                      <a:headEnd/>
                      <a:tailEnd/>
                    </a:ln>
                  </pic:spPr>
                </pic:pic>
              </a:graphicData>
            </a:graphic>
          </wp:inline>
        </w:drawing>
      </w:r>
    </w:p>
    <w:p>
      <w:pPr>
        <w:spacing w:beforeLines="100" w:line="360" w:lineRule="auto"/>
        <w:ind w:firstLine="420" w:firstLineChars="200"/>
        <w:jc w:val="center"/>
        <w:rPr>
          <w:rFonts w:asciiTheme="minorEastAsia" w:hAnsiTheme="minorEastAsia"/>
          <w:color w:val="333333"/>
          <w:spacing w:val="14"/>
          <w:sz w:val="24"/>
          <w:szCs w:val="24"/>
        </w:rPr>
      </w:pPr>
      <w:r>
        <w:rPr>
          <w:rFonts w:hint="eastAsia"/>
          <w:sz w:val="24"/>
          <w:szCs w:val="24"/>
        </w:rPr>
        <w:t>图5：超级电容器与电池比较（来源：香港城市大学支春义教授）</w:t>
      </w:r>
    </w:p>
    <w:p>
      <w:pPr>
        <w:spacing w:beforeLines="100" w:line="360" w:lineRule="auto"/>
        <w:ind w:firstLine="643" w:firstLineChars="200"/>
        <w:rPr>
          <w:sz w:val="24"/>
          <w:szCs w:val="24"/>
        </w:rPr>
      </w:pPr>
      <w:r>
        <w:rPr>
          <w:rFonts w:hint="eastAsia"/>
          <w:b/>
          <w:sz w:val="24"/>
          <w:szCs w:val="24"/>
        </w:rPr>
        <w:t xml:space="preserve">  </w:t>
      </w:r>
    </w:p>
    <w:p>
      <w:pPr>
        <w:pStyle w:val="2"/>
        <w:spacing w:beforeLines="100" w:line="360" w:lineRule="auto"/>
        <w:ind w:firstLine="480"/>
        <w:rPr>
          <w:rFonts w:ascii="黑体" w:hAnsi="黑体"/>
          <w:b/>
          <w:sz w:val="24"/>
          <w:szCs w:val="24"/>
        </w:rPr>
      </w:pPr>
      <w:r>
        <w:rPr>
          <w:rFonts w:hint="eastAsia"/>
          <w:sz w:val="24"/>
          <w:szCs w:val="24"/>
        </w:rPr>
        <w:t>（三）</w:t>
      </w:r>
      <w:r>
        <w:rPr>
          <w:rFonts w:hint="eastAsia" w:ascii="黑体" w:hAnsi="黑体"/>
          <w:b/>
          <w:sz w:val="24"/>
          <w:szCs w:val="24"/>
        </w:rPr>
        <w:t>超级电容器的发展状况</w:t>
      </w:r>
    </w:p>
    <w:p>
      <w:pPr>
        <w:spacing w:beforeLines="100" w:line="360" w:lineRule="auto"/>
        <w:ind w:firstLine="476"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t>电化学电容器（也叫超级电容器）的研究，始于1879年德国物理学家Helmholz 发现电化学双电层界面的电容性质。随着人们生活水平的提高，传统的电容器在某些应用方面己经凸现出其局限性，发展更大容量、更小体积、更轻的电容器势在必行。因此，双电层结构用于能量的储存便引起了学术界的广泛关注，电化学电容器的研究应运而生。1957 年，美国通用电气公司Becker 申请了最早的关于电化学电容器的专利，首先提出了可以将较小的电化学电容器用作储能元件，这种器件具有接近电池的能量密度，开创了电子科技时代能源科技的又一新高。1978 年日本 Matsushiat 公司率先将电化学电容器推向市场之后，90年代开始，人们着手考虑将电化学电容器和蓄电池联合使用，组成复合电源，以满足 电动车辆和高性能脉冲系统的要求，这为电化学电容器的发展提出了更高的要求[6]。电容器的发展历程如图7所示[6]。</w:t>
      </w:r>
    </w:p>
    <w:p>
      <w:pPr>
        <w:spacing w:beforeLines="100" w:line="360" w:lineRule="auto"/>
        <w:ind w:firstLine="476" w:firstLineChars="200"/>
        <w:rPr>
          <w:rFonts w:asciiTheme="minorEastAsia" w:hAnsiTheme="minorEastAsia"/>
          <w:color w:val="333333"/>
          <w:spacing w:val="14"/>
          <w:sz w:val="24"/>
          <w:szCs w:val="24"/>
        </w:rPr>
      </w:pPr>
      <w:r>
        <w:rPr>
          <w:rFonts w:hint="eastAsia" w:asciiTheme="minorEastAsia" w:hAnsiTheme="minorEastAsia"/>
          <w:color w:val="333333"/>
          <w:spacing w:val="14"/>
          <w:sz w:val="24"/>
          <w:szCs w:val="24"/>
        </w:rPr>
        <w:t>值得一提的是，近日，来自美国亚利桑那州立大学 (Arizona State University) 的姜汉卿教授研究团队研发了一种完全由食物构成的可食用超级电容器[7]。该超级电容器不仅赋予了食品一个崭新的定义和用途，还有望应用在人体中消灭有害细菌或为体内电子设备供电。该成果《</w:t>
      </w:r>
      <w:r>
        <w:rPr>
          <w:rFonts w:asciiTheme="minorEastAsia" w:hAnsiTheme="minorEastAsia"/>
          <w:color w:val="333333"/>
          <w:spacing w:val="14"/>
          <w:sz w:val="24"/>
          <w:szCs w:val="24"/>
        </w:rPr>
        <w:t>Food-Materials-Based Edible Supercapacitors</w:t>
      </w:r>
      <w:r>
        <w:rPr>
          <w:rFonts w:hint="eastAsia" w:asciiTheme="minorEastAsia" w:hAnsiTheme="minorEastAsia"/>
          <w:color w:val="333333"/>
          <w:spacing w:val="14"/>
          <w:sz w:val="24"/>
          <w:szCs w:val="24"/>
        </w:rPr>
        <w:t>》已于5月17日发表在《Advanced Materials Technologies》。他们将活性炭 (药物级)、金箔 (食品级)、海苔、蛋清、奶酪、食用明胶和功能饮料这几种常见的食品饮料组合在一起，就得到了一个暂时储存电能的高容量循环性能好的超级电容器。在1A/g电流下，首次放电容量可达78.8F/g，循环1000次后容量保留率高达92.3%。</w:t>
      </w:r>
    </w:p>
    <w:p>
      <w:pPr>
        <w:spacing w:beforeLines="100" w:line="360" w:lineRule="auto"/>
        <w:ind w:firstLine="420"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drawing>
          <wp:inline distT="0" distB="0" distL="0" distR="0">
            <wp:extent cx="5267325" cy="1495425"/>
            <wp:effectExtent l="19050" t="0" r="952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noChangeArrowheads="1"/>
                    </pic:cNvPicPr>
                  </pic:nvPicPr>
                  <pic:blipFill>
                    <a:blip r:embed="rId11" cstate="print"/>
                    <a:srcRect/>
                    <a:stretch>
                      <a:fillRect/>
                    </a:stretch>
                  </pic:blipFill>
                  <pic:spPr>
                    <a:xfrm>
                      <a:off x="0" y="0"/>
                      <a:ext cx="5267325" cy="1495425"/>
                    </a:xfrm>
                    <a:prstGeom prst="rect">
                      <a:avLst/>
                    </a:prstGeom>
                    <a:noFill/>
                    <a:ln w="9525">
                      <a:noFill/>
                      <a:miter lim="800000"/>
                      <a:headEnd/>
                      <a:tailEnd/>
                    </a:ln>
                  </pic:spPr>
                </pic:pic>
              </a:graphicData>
            </a:graphic>
          </wp:inline>
        </w:drawing>
      </w:r>
    </w:p>
    <w:p>
      <w:pPr>
        <w:spacing w:beforeLines="100" w:line="360" w:lineRule="auto"/>
        <w:ind w:firstLine="420" w:firstLineChars="200"/>
        <w:jc w:val="center"/>
        <w:rPr>
          <w:rFonts w:asciiTheme="minorEastAsia" w:hAnsiTheme="minorEastAsia"/>
          <w:color w:val="333333"/>
          <w:spacing w:val="14"/>
          <w:sz w:val="24"/>
          <w:szCs w:val="24"/>
        </w:rPr>
      </w:pPr>
      <w:r>
        <w:rPr>
          <w:rFonts w:hint="eastAsia"/>
          <w:sz w:val="24"/>
          <w:szCs w:val="24"/>
        </w:rPr>
        <w:t>图6：可食用超级电容器结构图（来源：《</w:t>
      </w:r>
      <w:r>
        <w:rPr>
          <w:sz w:val="24"/>
          <w:szCs w:val="24"/>
        </w:rPr>
        <w:t>Food-Materials-Based Edible Supercapacitors</w:t>
      </w:r>
      <w:r>
        <w:rPr>
          <w:rFonts w:hint="eastAsia"/>
          <w:sz w:val="24"/>
          <w:szCs w:val="24"/>
        </w:rPr>
        <w:t>》）</w:t>
      </w:r>
    </w:p>
    <w:p>
      <w:pPr>
        <w:spacing w:beforeLines="100" w:line="360" w:lineRule="auto"/>
        <w:ind w:firstLine="476" w:firstLineChars="200"/>
        <w:jc w:val="left"/>
        <w:rPr>
          <w:rFonts w:asciiTheme="minorEastAsia" w:hAnsiTheme="minorEastAsia"/>
          <w:color w:val="333333"/>
          <w:spacing w:val="14"/>
          <w:sz w:val="24"/>
          <w:szCs w:val="24"/>
        </w:rPr>
      </w:pPr>
    </w:p>
    <w:p>
      <w:pPr>
        <w:spacing w:beforeLines="100" w:line="360" w:lineRule="auto"/>
        <w:ind w:firstLine="420" w:firstLineChars="200"/>
        <w:jc w:val="center"/>
        <w:rPr>
          <w:rFonts w:asciiTheme="minorEastAsia" w:hAnsiTheme="minorEastAsia"/>
          <w:color w:val="333333"/>
          <w:spacing w:val="14"/>
          <w:sz w:val="24"/>
          <w:szCs w:val="24"/>
        </w:rPr>
      </w:pPr>
      <w:r>
        <w:rPr>
          <w:rFonts w:asciiTheme="minorEastAsia" w:hAnsiTheme="minorEastAsia"/>
          <w:color w:val="333333"/>
          <w:spacing w:val="14"/>
          <w:sz w:val="24"/>
          <w:szCs w:val="24"/>
        </w:rPr>
        <w:drawing>
          <wp:inline distT="0" distB="0" distL="0" distR="0">
            <wp:extent cx="3333750" cy="6496050"/>
            <wp:effectExtent l="1905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noChangeArrowheads="1"/>
                    </pic:cNvPicPr>
                  </pic:nvPicPr>
                  <pic:blipFill>
                    <a:blip r:embed="rId12" cstate="print"/>
                    <a:srcRect/>
                    <a:stretch>
                      <a:fillRect/>
                    </a:stretch>
                  </pic:blipFill>
                  <pic:spPr>
                    <a:xfrm>
                      <a:off x="0" y="0"/>
                      <a:ext cx="3333750" cy="6496050"/>
                    </a:xfrm>
                    <a:prstGeom prst="rect">
                      <a:avLst/>
                    </a:prstGeom>
                    <a:noFill/>
                    <a:ln w="9525">
                      <a:noFill/>
                      <a:miter lim="800000"/>
                      <a:headEnd/>
                      <a:tailEnd/>
                    </a:ln>
                  </pic:spPr>
                </pic:pic>
              </a:graphicData>
            </a:graphic>
          </wp:inline>
        </w:drawing>
      </w:r>
    </w:p>
    <w:p>
      <w:pPr>
        <w:pStyle w:val="2"/>
        <w:spacing w:beforeLines="100" w:line="360" w:lineRule="auto"/>
        <w:ind w:firstLine="482"/>
        <w:rPr>
          <w:sz w:val="24"/>
          <w:szCs w:val="24"/>
        </w:rPr>
      </w:pPr>
      <w:r>
        <w:rPr>
          <w:rFonts w:hint="eastAsia" w:ascii="黑体" w:hAnsi="黑体"/>
          <w:b/>
          <w:sz w:val="24"/>
          <w:szCs w:val="24"/>
        </w:rPr>
        <w:t>（四）超级电容器的应用研究状况</w:t>
      </w:r>
    </w:p>
    <w:p>
      <w:pPr>
        <w:spacing w:beforeLines="100" w:line="360" w:lineRule="auto"/>
        <w:ind w:firstLine="422" w:firstLineChars="200"/>
        <w:rPr>
          <w:rFonts w:ascii="黑体" w:hAnsi="黑体"/>
          <w:b/>
          <w:sz w:val="24"/>
          <w:szCs w:val="24"/>
        </w:rPr>
      </w:pPr>
      <w:r>
        <w:rPr>
          <w:rFonts w:hint="eastAsia" w:ascii="黑体" w:hAnsi="黑体"/>
          <w:b/>
          <w:sz w:val="24"/>
          <w:szCs w:val="24"/>
        </w:rPr>
        <w:t xml:space="preserve">  4.1.</w:t>
      </w:r>
      <w:r>
        <w:rPr>
          <w:rFonts w:hint="eastAsia" w:asciiTheme="minorEastAsia" w:hAnsiTheme="minorEastAsia"/>
          <w:color w:val="333333"/>
          <w:spacing w:val="14"/>
          <w:sz w:val="24"/>
          <w:szCs w:val="24"/>
        </w:rPr>
        <w:t xml:space="preserve"> </w:t>
      </w:r>
      <w:r>
        <w:rPr>
          <w:rFonts w:hint="eastAsia" w:ascii="黑体" w:hAnsi="黑体"/>
          <w:b/>
          <w:sz w:val="24"/>
          <w:szCs w:val="24"/>
        </w:rPr>
        <w:t>超级电容器的主要应用领域</w:t>
      </w:r>
    </w:p>
    <w:p>
      <w:pPr>
        <w:spacing w:beforeLines="100" w:line="360" w:lineRule="auto"/>
        <w:ind w:firstLine="476" w:firstLineChars="200"/>
        <w:jc w:val="center"/>
        <w:rPr>
          <w:sz w:val="24"/>
          <w:szCs w:val="24"/>
        </w:rPr>
      </w:pPr>
      <w:r>
        <w:rPr>
          <w:rFonts w:hint="eastAsia" w:asciiTheme="minorEastAsia" w:hAnsiTheme="minorEastAsia"/>
          <w:color w:val="333333"/>
          <w:spacing w:val="14"/>
          <w:sz w:val="24"/>
          <w:szCs w:val="24"/>
        </w:rPr>
        <w:t>超级电容器的主要应用领域如图8所示：</w:t>
      </w:r>
      <w:r>
        <w:rPr>
          <w:rFonts w:hint="eastAsia" w:asciiTheme="minorEastAsia" w:hAnsiTheme="minorEastAsia"/>
          <w:color w:val="333333"/>
          <w:spacing w:val="14"/>
          <w:sz w:val="24"/>
          <w:szCs w:val="24"/>
        </w:rPr>
        <w:drawing>
          <wp:inline distT="0" distB="0" distL="0" distR="0">
            <wp:extent cx="5273675" cy="4199890"/>
            <wp:effectExtent l="19050" t="0" r="3175"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noChangeArrowheads="1"/>
                    </pic:cNvPicPr>
                  </pic:nvPicPr>
                  <pic:blipFill>
                    <a:blip r:embed="rId13" cstate="print"/>
                    <a:srcRect/>
                    <a:stretch>
                      <a:fillRect/>
                    </a:stretch>
                  </pic:blipFill>
                  <pic:spPr>
                    <a:xfrm>
                      <a:off x="0" y="0"/>
                      <a:ext cx="5273675" cy="4199890"/>
                    </a:xfrm>
                    <a:prstGeom prst="rect">
                      <a:avLst/>
                    </a:prstGeom>
                    <a:noFill/>
                    <a:ln w="9525">
                      <a:noFill/>
                      <a:miter lim="800000"/>
                      <a:headEnd/>
                      <a:tailEnd/>
                    </a:ln>
                  </pic:spPr>
                </pic:pic>
              </a:graphicData>
            </a:graphic>
          </wp:inline>
        </w:drawing>
      </w:r>
      <w:r>
        <w:rPr>
          <w:rFonts w:hint="eastAsia"/>
          <w:sz w:val="24"/>
          <w:szCs w:val="24"/>
        </w:rPr>
        <w:t>图8：超级电容器主要应用领域[6]</w:t>
      </w:r>
    </w:p>
    <w:p>
      <w:pPr>
        <w:spacing w:beforeLines="100" w:line="360" w:lineRule="auto"/>
        <w:ind w:firstLine="422" w:firstLineChars="200"/>
        <w:rPr>
          <w:rFonts w:ascii="黑体" w:hAnsi="黑体"/>
          <w:b/>
          <w:sz w:val="24"/>
          <w:szCs w:val="24"/>
        </w:rPr>
      </w:pPr>
      <w:r>
        <w:rPr>
          <w:rFonts w:hint="eastAsia" w:ascii="黑体" w:hAnsi="黑体"/>
          <w:b/>
          <w:sz w:val="24"/>
          <w:szCs w:val="24"/>
        </w:rPr>
        <w:t xml:space="preserve">  4.2.</w:t>
      </w:r>
      <w:r>
        <w:rPr>
          <w:rFonts w:hint="eastAsia" w:asciiTheme="minorEastAsia" w:hAnsiTheme="minorEastAsia"/>
          <w:color w:val="333333"/>
          <w:spacing w:val="14"/>
          <w:sz w:val="24"/>
          <w:szCs w:val="24"/>
        </w:rPr>
        <w:t xml:space="preserve"> </w:t>
      </w:r>
      <w:r>
        <w:rPr>
          <w:rFonts w:hint="eastAsia" w:ascii="黑体" w:hAnsi="黑体"/>
          <w:b/>
          <w:sz w:val="24"/>
          <w:szCs w:val="24"/>
        </w:rPr>
        <w:t>超级电容器行业市场简析</w:t>
      </w:r>
    </w:p>
    <w:p>
      <w:pPr>
        <w:spacing w:beforeLines="100" w:line="360" w:lineRule="auto"/>
        <w:ind w:firstLine="476"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t>目前美国、日本、俄罗斯的产品几乎占据了整个超级电容器市场，各个国家的超级电容量器产品在功率、容量、价格等方面都自己的特点和优势.与国外相比,我国超级电容器的研究起步晚,目前国内研制超级电容器企业有天津力神公司、上海奥威科技开发有限公司、北京集星联合电子科技有限公司等.国内研发和生产的超级电容器主要用于民用,如各种动交通工具的辅助电源、UPS系统、电磁开关.天津力神公司与美国Maxwell公司合作,产品性能达到国内领先;上海奥威科技开发有限公司以开发超级电容器电动汽车为研发目标, 并将上海11路公共汽车定为超级电容电动车的示范线,开始了商业化运营,北京集星联合电子产品主要以卷绕型活性炭纤维布作电极,生产高电压和高容量的有机超级电容器.这一产品不断地得到市场的认知,市场的拓展也在成几何倍数增长。</w:t>
      </w:r>
    </w:p>
    <w:p>
      <w:pPr>
        <w:spacing w:beforeLines="100" w:line="360" w:lineRule="auto"/>
        <w:ind w:firstLine="476" w:firstLineChars="200"/>
        <w:jc w:val="left"/>
        <w:rPr>
          <w:rFonts w:asciiTheme="minorEastAsia" w:hAnsiTheme="minorEastAsia"/>
          <w:color w:val="333333"/>
          <w:spacing w:val="14"/>
          <w:sz w:val="24"/>
          <w:szCs w:val="24"/>
        </w:rPr>
      </w:pPr>
    </w:p>
    <w:p>
      <w:pPr>
        <w:pStyle w:val="2"/>
        <w:spacing w:beforeLines="100" w:line="360" w:lineRule="auto"/>
        <w:ind w:firstLine="482"/>
        <w:rPr>
          <w:rFonts w:ascii="黑体" w:hAnsi="黑体"/>
          <w:b/>
          <w:sz w:val="24"/>
          <w:szCs w:val="24"/>
        </w:rPr>
      </w:pPr>
      <w:r>
        <w:rPr>
          <w:rFonts w:hint="eastAsia" w:ascii="黑体" w:hAnsi="黑体"/>
          <w:b/>
          <w:sz w:val="24"/>
          <w:szCs w:val="24"/>
        </w:rPr>
        <w:t>（五）展望</w:t>
      </w:r>
    </w:p>
    <w:p>
      <w:pPr>
        <w:spacing w:beforeLines="100" w:line="360" w:lineRule="auto"/>
        <w:ind w:firstLine="476" w:firstLineChars="200"/>
        <w:jc w:val="left"/>
        <w:rPr>
          <w:rFonts w:asciiTheme="minorEastAsia" w:hAnsiTheme="minorEastAsia"/>
          <w:color w:val="333333"/>
          <w:spacing w:val="14"/>
          <w:sz w:val="24"/>
          <w:szCs w:val="24"/>
        </w:rPr>
      </w:pPr>
      <w:r>
        <w:rPr>
          <w:rFonts w:hint="eastAsia" w:asciiTheme="minorEastAsia" w:hAnsiTheme="minorEastAsia"/>
          <w:color w:val="333333"/>
          <w:spacing w:val="14"/>
          <w:sz w:val="24"/>
          <w:szCs w:val="24"/>
        </w:rPr>
        <w:t>经过了半个世纪的研究与探索,超级电容器的研究与应用体系日益完善。作为一种高能量密度、高功率密度、长循环寿命、使用寿命长、充放电时间短、温度特性好、免维护、节约能源、绿色环保的储能系统,它有效的解决了能源系统中功率密度与能量密度的矛盾,有逐步取代目前更换频繁的蓄电池之势。超级电容器作为大功率物理二次电源, 在国民经济各领域用途十分广泛,目前正在越来越广泛的应用到人们日常生活的方方面面。各发达国家都把超级电容的研究列为国家重点战略研究项目[5]——例如1996年欧共体制定了超级电容器的发展计划, 日本 / 新阳光计划0中列出了超级电容器的研制, 美国能源部及国防部也制定了发展超级电容器的研究计划。我国从80年代开始研究超级电容器, 北京有色金属研究总院、锦州电力电容器有限责任公司、北京科技大学、北京化工大学、北京理工大学等也陆续开展超级电容器相关研究工作。2005年,中国科学院电工所完成了用于光伏发电系统的300 W h /1 kW 超级电容器储能系统的研究开发工作。2006年8月,世界首条超级电容公交商业示范线在上海率先启动。上海振华港机利用超级电容器作为轮胎式集装箱龙门起重机储能装置实现了绿色,取得良好效果。2008年8月,北京理工大学具有自主知识产权的纯电动动力系统应用到北京奥运用电动客车中。虽然针对超级电容器研究成果颇丰,但从整体来看,我国的研究与应用水平还是明显落后于世界先进水平，仍然需要加大相关领域的研发和应用研究工作。相信随着科技的进步，超级电容器能够越来越广泛地应用到人类社会当中，为越来越多的人提供便捷和福利。</w:t>
      </w:r>
    </w:p>
    <w:p>
      <w:pPr>
        <w:rPr>
          <w:sz w:val="24"/>
          <w:szCs w:val="24"/>
        </w:rPr>
      </w:pPr>
    </w:p>
    <w:p>
      <w:pPr>
        <w:spacing w:beforeLines="100" w:line="360" w:lineRule="auto"/>
        <w:ind w:firstLine="476" w:firstLineChars="200"/>
        <w:rPr>
          <w:rFonts w:ascii="微软雅黑" w:hAnsi="微软雅黑" w:eastAsia="微软雅黑"/>
          <w:color w:val="333333"/>
          <w:spacing w:val="14"/>
          <w:sz w:val="24"/>
          <w:szCs w:val="24"/>
        </w:rPr>
      </w:pPr>
    </w:p>
    <w:p>
      <w:pPr>
        <w:autoSpaceDE w:val="0"/>
        <w:autoSpaceDN w:val="0"/>
        <w:adjustRightInd w:val="0"/>
        <w:spacing w:beforeLines="100" w:line="360" w:lineRule="auto"/>
        <w:ind w:firstLine="420" w:firstLineChars="200"/>
        <w:jc w:val="left"/>
        <w:rPr>
          <w:rFonts w:ascii="黑体" w:hAnsi="黑体" w:eastAsia="黑体"/>
          <w:sz w:val="24"/>
          <w:szCs w:val="24"/>
        </w:rPr>
      </w:pPr>
      <w:r>
        <w:rPr>
          <w:rFonts w:hint="eastAsia" w:ascii="黑体" w:hAnsi="黑体" w:eastAsia="黑体"/>
          <w:sz w:val="24"/>
          <w:szCs w:val="24"/>
        </w:rPr>
        <w:t>参考文献</w:t>
      </w:r>
    </w:p>
    <w:p>
      <w:pPr>
        <w:spacing w:beforeLines="100" w:line="360" w:lineRule="auto"/>
        <w:ind w:firstLine="420" w:firstLineChars="200"/>
        <w:jc w:val="left"/>
        <w:rPr>
          <w:rFonts w:asciiTheme="minorEastAsia" w:hAnsiTheme="minorEastAsia"/>
          <w:color w:val="333333"/>
          <w:spacing w:val="14"/>
          <w:sz w:val="24"/>
          <w:szCs w:val="24"/>
        </w:rPr>
      </w:pPr>
      <w:r>
        <w:rPr>
          <w:rFonts w:hint="eastAsia" w:ascii="宋体" w:hAnsi="宋体" w:cs="AdobeHeitiStd-Regular"/>
          <w:kern w:val="0"/>
          <w:sz w:val="24"/>
          <w:szCs w:val="24"/>
        </w:rPr>
        <w:t>[1]</w:t>
      </w:r>
      <w:r>
        <w:rPr>
          <w:rFonts w:hint="eastAsia"/>
          <w:sz w:val="24"/>
          <w:szCs w:val="24"/>
        </w:rPr>
        <w:t xml:space="preserve"> 一张图看懂石墨烯基超级电容器.新材料在线，http://www.xincailiao.com/index.html</w:t>
      </w:r>
    </w:p>
    <w:p>
      <w:pPr>
        <w:spacing w:beforeLines="100" w:line="360" w:lineRule="auto"/>
        <w:ind w:firstLine="420" w:firstLineChars="200"/>
        <w:rPr>
          <w:rFonts w:ascii="宋体" w:hAnsi="宋体" w:cs="AdobeHeitiStd-Regular"/>
          <w:kern w:val="0"/>
          <w:sz w:val="24"/>
          <w:szCs w:val="24"/>
        </w:rPr>
      </w:pPr>
      <w:r>
        <w:rPr>
          <w:rFonts w:hint="eastAsia" w:ascii="宋体" w:hAnsi="宋体" w:cs="AdobeHeitiStd-Regular"/>
          <w:kern w:val="0"/>
          <w:sz w:val="24"/>
          <w:szCs w:val="24"/>
        </w:rPr>
        <w:t>[2]徐斌,张浩,曹丽萍,张文峰,杨欲生.超级电容器炭电极材料的研究[J].化学进展，23（2/3）,2011:605-607</w:t>
      </w:r>
    </w:p>
    <w:p>
      <w:pPr>
        <w:spacing w:beforeLines="100" w:line="360" w:lineRule="auto"/>
        <w:ind w:firstLine="420" w:firstLineChars="200"/>
        <w:rPr>
          <w:rFonts w:ascii="宋体" w:hAnsi="宋体" w:cs="AdobeHeitiStd-Regular"/>
          <w:kern w:val="0"/>
          <w:sz w:val="24"/>
          <w:szCs w:val="24"/>
        </w:rPr>
      </w:pPr>
      <w:r>
        <w:rPr>
          <w:rFonts w:hint="eastAsia" w:ascii="宋体" w:hAnsi="宋体" w:cs="AdobeHeitiStd-Regular"/>
          <w:kern w:val="0"/>
          <w:sz w:val="24"/>
          <w:szCs w:val="24"/>
        </w:rPr>
        <w:t>[3]张熙贵, 王涛, 夏保佳. 一种优秀的储能器件——超级电容器[J].世界产品与技术, 2003( 08):  40-42</w:t>
      </w:r>
    </w:p>
    <w:p>
      <w:pPr>
        <w:spacing w:beforeLines="100" w:line="360" w:lineRule="auto"/>
        <w:ind w:firstLine="420" w:firstLineChars="200"/>
        <w:rPr>
          <w:rFonts w:ascii="宋体" w:hAnsi="宋体" w:cs="AdobeHeitiStd-Regular"/>
          <w:kern w:val="0"/>
          <w:sz w:val="24"/>
          <w:szCs w:val="24"/>
        </w:rPr>
      </w:pPr>
      <w:r>
        <w:rPr>
          <w:rFonts w:hint="eastAsia" w:ascii="宋体" w:hAnsi="宋体" w:cs="AdobeHeitiStd-Regular"/>
          <w:kern w:val="0"/>
          <w:sz w:val="24"/>
          <w:szCs w:val="24"/>
        </w:rPr>
        <w:t>[4]张治安，邓梅根，胡永达等．电化学电容器的特点及应用[J]．电子元件与材料，2003，22(11)</w:t>
      </w:r>
      <w:r>
        <w:rPr>
          <w:rFonts w:hint="eastAsia" w:ascii="宋体" w:hAnsi="宋体" w:cs="AdobeHeitiStd-Regular"/>
          <w:kern w:val="0"/>
          <w:sz w:val="24"/>
          <w:szCs w:val="24"/>
        </w:rPr>
        <w:tab/>
      </w:r>
      <w:r>
        <w:rPr>
          <w:rFonts w:hint="eastAsia" w:ascii="宋体" w:hAnsi="宋体" w:cs="AdobeHeitiStd-Regular"/>
          <w:kern w:val="0"/>
          <w:sz w:val="24"/>
          <w:szCs w:val="24"/>
        </w:rPr>
        <w:tab/>
      </w:r>
    </w:p>
    <w:p>
      <w:pPr>
        <w:spacing w:beforeLines="100" w:line="360" w:lineRule="auto"/>
        <w:ind w:firstLine="420" w:firstLineChars="200"/>
        <w:rPr>
          <w:rFonts w:ascii="宋体" w:hAnsi="宋体" w:cs="AdobeHeitiStd-Regular"/>
          <w:kern w:val="0"/>
          <w:sz w:val="24"/>
          <w:szCs w:val="24"/>
        </w:rPr>
      </w:pPr>
      <w:r>
        <w:rPr>
          <w:rFonts w:hint="eastAsia" w:ascii="宋体" w:hAnsi="宋体" w:cs="AdobeHeitiStd-Regular"/>
          <w:kern w:val="0"/>
          <w:sz w:val="24"/>
          <w:szCs w:val="24"/>
        </w:rPr>
        <w:t>[5]杨盛毅, 文方.</w:t>
      </w:r>
      <w:r>
        <w:rPr>
          <w:rFonts w:hint="eastAsia"/>
          <w:sz w:val="24"/>
          <w:szCs w:val="24"/>
        </w:rPr>
        <w:t xml:space="preserve"> </w:t>
      </w:r>
      <w:r>
        <w:rPr>
          <w:rFonts w:hint="eastAsia" w:ascii="宋体" w:hAnsi="宋体" w:cs="AdobeHeitiStd-Regular"/>
          <w:kern w:val="0"/>
          <w:sz w:val="24"/>
          <w:szCs w:val="24"/>
        </w:rPr>
        <w:t>超级电容器综述[J]．现代机械，2009，</w:t>
      </w:r>
      <w:r>
        <w:rPr>
          <w:rFonts w:ascii="宋体" w:hAnsi="宋体" w:cs="AdobeHeitiStd-Regular"/>
          <w:kern w:val="0"/>
          <w:sz w:val="24"/>
          <w:szCs w:val="24"/>
        </w:rPr>
        <w:t>1002- 6886( 2009) 04- 0082- 03</w:t>
      </w:r>
    </w:p>
    <w:p>
      <w:pPr>
        <w:spacing w:beforeLines="100" w:line="360" w:lineRule="auto"/>
        <w:ind w:firstLine="420" w:firstLineChars="200"/>
        <w:rPr>
          <w:rFonts w:ascii="宋体" w:hAnsi="宋体" w:cs="AdobeHeitiStd-Regular"/>
          <w:kern w:val="0"/>
          <w:sz w:val="24"/>
          <w:szCs w:val="24"/>
        </w:rPr>
      </w:pPr>
      <w:r>
        <w:rPr>
          <w:rFonts w:hint="eastAsia" w:ascii="宋体" w:hAnsi="宋体" w:cs="AdobeHeitiStd-Regular"/>
          <w:kern w:val="0"/>
          <w:sz w:val="24"/>
          <w:szCs w:val="24"/>
        </w:rPr>
        <w:t>[6]吴旭冉，贾志军，马洪运，廖斯达，王保国.</w:t>
      </w:r>
      <w:r>
        <w:rPr>
          <w:rFonts w:hint="eastAsia"/>
          <w:sz w:val="24"/>
          <w:szCs w:val="24"/>
        </w:rPr>
        <w:t xml:space="preserve"> </w:t>
      </w:r>
      <w:r>
        <w:rPr>
          <w:rFonts w:hint="eastAsia" w:ascii="宋体" w:hAnsi="宋体" w:cs="AdobeHeitiStd-Regular"/>
          <w:kern w:val="0"/>
          <w:sz w:val="24"/>
          <w:szCs w:val="24"/>
        </w:rPr>
        <w:t>电化学应用（II）——电化学电容器的发展与应用。储 能 科 学 与 技 术，2095-4239（2013）06-636-06</w:t>
      </w:r>
    </w:p>
    <w:p>
      <w:pPr>
        <w:spacing w:beforeLines="100" w:line="360" w:lineRule="auto"/>
        <w:ind w:firstLine="420" w:firstLineChars="200"/>
        <w:rPr>
          <w:rFonts w:ascii="宋体" w:hAnsi="宋体" w:cs="AdobeHeitiStd-Regular"/>
          <w:kern w:val="0"/>
          <w:sz w:val="24"/>
          <w:szCs w:val="24"/>
        </w:rPr>
      </w:pPr>
      <w:r>
        <w:rPr>
          <w:rFonts w:hint="eastAsia" w:ascii="宋体" w:hAnsi="宋体" w:cs="AdobeHeitiStd-Regular"/>
          <w:kern w:val="0"/>
          <w:sz w:val="24"/>
          <w:szCs w:val="24"/>
        </w:rPr>
        <w:t>[7] Xu Wang1, Wenwen Xu1, Prithwish Chatterjee1, Cheng Lv1, John Popovich2, Zeming Song1, Lenore Dai1, M. Yashar S. Kalani3, Shelley E. Haydel2,4 andHanqing Jiang1,*（2016）.</w:t>
      </w:r>
      <w:r>
        <w:rPr>
          <w:sz w:val="24"/>
          <w:szCs w:val="24"/>
        </w:rPr>
        <w:t xml:space="preserve"> </w:t>
      </w:r>
      <w:r>
        <w:rPr>
          <w:rFonts w:ascii="宋体" w:hAnsi="宋体" w:cs="AdobeHeitiStd-Regular"/>
          <w:kern w:val="0"/>
          <w:sz w:val="24"/>
          <w:szCs w:val="24"/>
        </w:rPr>
        <w:t>DOI: 10.1002/admt.201600059</w:t>
      </w:r>
    </w:p>
    <w:p>
      <w:pPr>
        <w:spacing w:beforeLines="100" w:line="360" w:lineRule="auto"/>
        <w:ind w:firstLine="482" w:firstLineChars="200"/>
        <w:jc w:val="right"/>
        <w:rPr>
          <w:rFonts w:ascii="楷体_GB2312" w:eastAsia="楷体_GB2312"/>
          <w:b/>
          <w:sz w:val="24"/>
          <w:szCs w:val="24"/>
        </w:rPr>
      </w:pPr>
      <w:r>
        <w:rPr>
          <w:rFonts w:hint="eastAsia" w:ascii="楷体_GB2312" w:eastAsia="楷体_GB2312"/>
          <w:b/>
          <w:sz w:val="24"/>
          <w:szCs w:val="24"/>
        </w:rPr>
        <w:t>致诚书院1508班11510224 谢济宇</w:t>
      </w:r>
    </w:p>
    <w:p>
      <w:pPr>
        <w:spacing w:beforeLines="100" w:line="360" w:lineRule="auto"/>
        <w:ind w:firstLine="482" w:firstLineChars="200"/>
        <w:jc w:val="right"/>
        <w:rPr>
          <w:rFonts w:ascii="楷体_GB2312" w:eastAsia="楷体_GB2312"/>
          <w:b/>
          <w:sz w:val="24"/>
          <w:szCs w:val="24"/>
        </w:rPr>
      </w:pPr>
      <w:r>
        <w:rPr>
          <w:rFonts w:hint="eastAsia" w:ascii="楷体_GB2312" w:eastAsia="楷体_GB2312"/>
          <w:b/>
          <w:sz w:val="24"/>
          <w:szCs w:val="24"/>
        </w:rPr>
        <w:t>参考的老师：支春义（</w:t>
      </w:r>
      <w:r>
        <w:rPr>
          <w:rFonts w:ascii="楷体_GB2312" w:eastAsia="楷体_GB2312"/>
          <w:b/>
          <w:sz w:val="24"/>
          <w:szCs w:val="24"/>
        </w:rPr>
        <w:t>Functional Flexible &amp;Wearable Supercapacitor</w:t>
      </w:r>
      <w:r>
        <w:rPr>
          <w:rFonts w:hint="eastAsia" w:ascii="楷体_GB2312" w:eastAsia="楷体_GB2312"/>
          <w:b/>
          <w:sz w:val="24"/>
          <w:szCs w:val="24"/>
        </w:rPr>
        <w:t>）</w:t>
      </w:r>
    </w:p>
    <w:p>
      <w:pPr>
        <w:spacing w:beforeLines="100" w:line="360" w:lineRule="auto"/>
        <w:ind w:firstLine="476" w:firstLineChars="200"/>
        <w:rPr>
          <w:rFonts w:ascii="微软雅黑" w:hAnsi="微软雅黑" w:eastAsia="微软雅黑"/>
          <w:color w:val="333333"/>
          <w:spacing w:val="14"/>
          <w:sz w:val="24"/>
          <w:szCs w:val="24"/>
        </w:rPr>
      </w:pPr>
    </w:p>
    <w:p>
      <w:pPr>
        <w:spacing w:beforeLines="100" w:line="360" w:lineRule="auto"/>
        <w:ind w:firstLine="420" w:firstLineChars="200"/>
        <w:rPr>
          <w:rFonts w:ascii="宋体" w:hAnsi="宋体" w:cs="AdobeHeitiStd-Regular"/>
          <w:kern w:val="0"/>
          <w:sz w:val="24"/>
          <w:szCs w:val="24"/>
        </w:rPr>
      </w:pPr>
    </w:p>
    <w:p>
      <w:pPr>
        <w:spacing w:beforeLines="100" w:line="360" w:lineRule="auto"/>
        <w:rPr>
          <w:rFonts w:ascii="微软雅黑" w:hAnsi="微软雅黑" w:eastAsia="微软雅黑"/>
          <w:color w:val="333333"/>
          <w:spacing w:val="14"/>
          <w:sz w:val="24"/>
          <w:szCs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0F3C52" w:usb2="00000016" w:usb3="00000000" w:csb0="0004001F" w:csb1="00000000"/>
  </w:font>
  <w:font w:name="AdobeHeitiStd-Regular">
    <w:altName w:val="宋体"/>
    <w:panose1 w:val="020B0400000000000000"/>
    <w:charset w:val="86"/>
    <w:family w:val="auto"/>
    <w:pitch w:val="default"/>
    <w:sig w:usb0="00000000" w:usb1="00000000" w:usb2="00000010" w:usb3="00000000" w:csb0="00040000" w:csb1="00000000"/>
  </w:font>
  <w:font w:name="Calibri Light">
    <w:altName w:val="Calibri"/>
    <w:panose1 w:val="00000000000000000000"/>
    <w:charset w:val="00"/>
    <w:family w:val="swiss"/>
    <w:pitch w:val="default"/>
    <w:sig w:usb0="00000000" w:usb1="00000000" w:usb2="00000000" w:usb3="00000000" w:csb0="0000019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75279603"/>
    </w:sdtPr>
    <w:sdtContent>
      <w:p>
        <w:pPr>
          <w:pStyle w:val="4"/>
          <w:jc w:val="center"/>
        </w:pPr>
        <w:r>
          <w:fldChar w:fldCharType="begin"/>
        </w:r>
        <w:r>
          <w:instrText xml:space="preserve">PAGE   \* MERGEFORMAT</w:instrText>
        </w:r>
        <w:r>
          <w:fldChar w:fldCharType="separate"/>
        </w:r>
        <w:r>
          <w:rPr>
            <w:lang w:val="zh-CN"/>
          </w:rPr>
          <w:t>1</w:t>
        </w:r>
        <w:r>
          <w:fldChar w:fldCharType="end"/>
        </w:r>
      </w:p>
    </w:sdtContent>
  </w:sdt>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BC2C84"/>
    <w:rsid w:val="00031EEE"/>
    <w:rsid w:val="00032176"/>
    <w:rsid w:val="00075B58"/>
    <w:rsid w:val="000A41B8"/>
    <w:rsid w:val="000B7E5E"/>
    <w:rsid w:val="000C42B3"/>
    <w:rsid w:val="000E4B7D"/>
    <w:rsid w:val="000F367E"/>
    <w:rsid w:val="001176BF"/>
    <w:rsid w:val="0013093B"/>
    <w:rsid w:val="00162475"/>
    <w:rsid w:val="00171CC4"/>
    <w:rsid w:val="00185211"/>
    <w:rsid w:val="001A2E14"/>
    <w:rsid w:val="001C6552"/>
    <w:rsid w:val="001F091E"/>
    <w:rsid w:val="001F68A4"/>
    <w:rsid w:val="002176E7"/>
    <w:rsid w:val="00270EA1"/>
    <w:rsid w:val="002B7838"/>
    <w:rsid w:val="002C39A3"/>
    <w:rsid w:val="002D5E7A"/>
    <w:rsid w:val="002D652F"/>
    <w:rsid w:val="002E51BB"/>
    <w:rsid w:val="003510A5"/>
    <w:rsid w:val="00354294"/>
    <w:rsid w:val="00361987"/>
    <w:rsid w:val="003626D8"/>
    <w:rsid w:val="00366350"/>
    <w:rsid w:val="00366361"/>
    <w:rsid w:val="003663E1"/>
    <w:rsid w:val="0037336E"/>
    <w:rsid w:val="00391348"/>
    <w:rsid w:val="00396D0E"/>
    <w:rsid w:val="003B7B70"/>
    <w:rsid w:val="003F5420"/>
    <w:rsid w:val="003F60DE"/>
    <w:rsid w:val="00413EBF"/>
    <w:rsid w:val="00425F18"/>
    <w:rsid w:val="00427A16"/>
    <w:rsid w:val="004567D2"/>
    <w:rsid w:val="00462488"/>
    <w:rsid w:val="00471786"/>
    <w:rsid w:val="004719E5"/>
    <w:rsid w:val="00483F1C"/>
    <w:rsid w:val="00492283"/>
    <w:rsid w:val="004A291F"/>
    <w:rsid w:val="004B5A19"/>
    <w:rsid w:val="004D1DA7"/>
    <w:rsid w:val="004D2D2D"/>
    <w:rsid w:val="005013FF"/>
    <w:rsid w:val="00506D8F"/>
    <w:rsid w:val="005105D9"/>
    <w:rsid w:val="0051552E"/>
    <w:rsid w:val="005322A4"/>
    <w:rsid w:val="00533FB7"/>
    <w:rsid w:val="00542377"/>
    <w:rsid w:val="00556425"/>
    <w:rsid w:val="00556BD2"/>
    <w:rsid w:val="00586082"/>
    <w:rsid w:val="005911C3"/>
    <w:rsid w:val="005A3959"/>
    <w:rsid w:val="005C6419"/>
    <w:rsid w:val="005C6A6A"/>
    <w:rsid w:val="005D17FC"/>
    <w:rsid w:val="005E34CB"/>
    <w:rsid w:val="005F2397"/>
    <w:rsid w:val="005F747B"/>
    <w:rsid w:val="006020B5"/>
    <w:rsid w:val="00603C84"/>
    <w:rsid w:val="00604148"/>
    <w:rsid w:val="006237FD"/>
    <w:rsid w:val="0062403A"/>
    <w:rsid w:val="00646230"/>
    <w:rsid w:val="0064771D"/>
    <w:rsid w:val="006545B7"/>
    <w:rsid w:val="00656716"/>
    <w:rsid w:val="0065775F"/>
    <w:rsid w:val="00657FD2"/>
    <w:rsid w:val="00667B43"/>
    <w:rsid w:val="00676297"/>
    <w:rsid w:val="00693DA9"/>
    <w:rsid w:val="006C0542"/>
    <w:rsid w:val="006C173C"/>
    <w:rsid w:val="006C3124"/>
    <w:rsid w:val="006C7A9A"/>
    <w:rsid w:val="006D1804"/>
    <w:rsid w:val="006E7997"/>
    <w:rsid w:val="006F6741"/>
    <w:rsid w:val="0071141F"/>
    <w:rsid w:val="00733F14"/>
    <w:rsid w:val="00735EF7"/>
    <w:rsid w:val="007372B9"/>
    <w:rsid w:val="00755DDB"/>
    <w:rsid w:val="007A1A4E"/>
    <w:rsid w:val="007A75FC"/>
    <w:rsid w:val="007B026A"/>
    <w:rsid w:val="007B4065"/>
    <w:rsid w:val="007B46E7"/>
    <w:rsid w:val="007E7AAC"/>
    <w:rsid w:val="008004C1"/>
    <w:rsid w:val="008075D9"/>
    <w:rsid w:val="00817125"/>
    <w:rsid w:val="00817B97"/>
    <w:rsid w:val="0083541A"/>
    <w:rsid w:val="00874C95"/>
    <w:rsid w:val="008805C7"/>
    <w:rsid w:val="00893058"/>
    <w:rsid w:val="008B30FD"/>
    <w:rsid w:val="008B71E0"/>
    <w:rsid w:val="008B7CFA"/>
    <w:rsid w:val="008D7FA5"/>
    <w:rsid w:val="008F5E62"/>
    <w:rsid w:val="00911984"/>
    <w:rsid w:val="00931964"/>
    <w:rsid w:val="00942A7C"/>
    <w:rsid w:val="00950CFD"/>
    <w:rsid w:val="00951410"/>
    <w:rsid w:val="00973771"/>
    <w:rsid w:val="00976816"/>
    <w:rsid w:val="00994DC9"/>
    <w:rsid w:val="009965FA"/>
    <w:rsid w:val="00997DC0"/>
    <w:rsid w:val="009A1224"/>
    <w:rsid w:val="009C3169"/>
    <w:rsid w:val="009E5AB0"/>
    <w:rsid w:val="009F0E27"/>
    <w:rsid w:val="009F4233"/>
    <w:rsid w:val="009F5E46"/>
    <w:rsid w:val="009F6D65"/>
    <w:rsid w:val="00A00D5E"/>
    <w:rsid w:val="00A01911"/>
    <w:rsid w:val="00A058D9"/>
    <w:rsid w:val="00A14F6D"/>
    <w:rsid w:val="00A27C2E"/>
    <w:rsid w:val="00A544F0"/>
    <w:rsid w:val="00A56830"/>
    <w:rsid w:val="00A73EFE"/>
    <w:rsid w:val="00A84CDD"/>
    <w:rsid w:val="00AD17DE"/>
    <w:rsid w:val="00AE4395"/>
    <w:rsid w:val="00B11F26"/>
    <w:rsid w:val="00B34C91"/>
    <w:rsid w:val="00B402D9"/>
    <w:rsid w:val="00B4156E"/>
    <w:rsid w:val="00B62E2A"/>
    <w:rsid w:val="00B90C49"/>
    <w:rsid w:val="00B95A82"/>
    <w:rsid w:val="00BB42CB"/>
    <w:rsid w:val="00BC024E"/>
    <w:rsid w:val="00BC2C84"/>
    <w:rsid w:val="00BE00F5"/>
    <w:rsid w:val="00C02A32"/>
    <w:rsid w:val="00C04803"/>
    <w:rsid w:val="00C15BE2"/>
    <w:rsid w:val="00C1637D"/>
    <w:rsid w:val="00C32627"/>
    <w:rsid w:val="00C37ACC"/>
    <w:rsid w:val="00C52367"/>
    <w:rsid w:val="00C56B6D"/>
    <w:rsid w:val="00C6636B"/>
    <w:rsid w:val="00C75A98"/>
    <w:rsid w:val="00CA0675"/>
    <w:rsid w:val="00CA0A97"/>
    <w:rsid w:val="00CA12C1"/>
    <w:rsid w:val="00CD1FB2"/>
    <w:rsid w:val="00D10924"/>
    <w:rsid w:val="00D12055"/>
    <w:rsid w:val="00D169EC"/>
    <w:rsid w:val="00D31FC0"/>
    <w:rsid w:val="00D40D06"/>
    <w:rsid w:val="00D460E4"/>
    <w:rsid w:val="00D51BCF"/>
    <w:rsid w:val="00D5734F"/>
    <w:rsid w:val="00D609DA"/>
    <w:rsid w:val="00D93938"/>
    <w:rsid w:val="00DB3C2F"/>
    <w:rsid w:val="00DB5FBC"/>
    <w:rsid w:val="00DD75DC"/>
    <w:rsid w:val="00DE176D"/>
    <w:rsid w:val="00DE7036"/>
    <w:rsid w:val="00DF778C"/>
    <w:rsid w:val="00E01921"/>
    <w:rsid w:val="00E02726"/>
    <w:rsid w:val="00E20487"/>
    <w:rsid w:val="00E6435A"/>
    <w:rsid w:val="00E70658"/>
    <w:rsid w:val="00E81B4C"/>
    <w:rsid w:val="00E83503"/>
    <w:rsid w:val="00EA4562"/>
    <w:rsid w:val="00EA4609"/>
    <w:rsid w:val="00EC61B4"/>
    <w:rsid w:val="00EC7383"/>
    <w:rsid w:val="00EF1B6D"/>
    <w:rsid w:val="00EF2906"/>
    <w:rsid w:val="00EF2DB0"/>
    <w:rsid w:val="00EF6129"/>
    <w:rsid w:val="00F0033B"/>
    <w:rsid w:val="00F065FB"/>
    <w:rsid w:val="00F35654"/>
    <w:rsid w:val="00F732F8"/>
    <w:rsid w:val="00F83A24"/>
    <w:rsid w:val="00FA56BF"/>
    <w:rsid w:val="00FB4673"/>
    <w:rsid w:val="00FB4F69"/>
    <w:rsid w:val="00FB7107"/>
    <w:rsid w:val="00FC0E77"/>
    <w:rsid w:val="00FD43F0"/>
    <w:rsid w:val="03443486"/>
    <w:rsid w:val="05A003C0"/>
    <w:rsid w:val="0BE53D94"/>
    <w:rsid w:val="0C0E55D6"/>
    <w:rsid w:val="146F553E"/>
    <w:rsid w:val="17162407"/>
    <w:rsid w:val="19427449"/>
    <w:rsid w:val="194B19B5"/>
    <w:rsid w:val="1B604345"/>
    <w:rsid w:val="1DA07035"/>
    <w:rsid w:val="225812AF"/>
    <w:rsid w:val="2CDC46EC"/>
    <w:rsid w:val="335F7D6B"/>
    <w:rsid w:val="35196BF6"/>
    <w:rsid w:val="359D77CF"/>
    <w:rsid w:val="374950AD"/>
    <w:rsid w:val="38F11F40"/>
    <w:rsid w:val="39697161"/>
    <w:rsid w:val="3ACE1184"/>
    <w:rsid w:val="3F161494"/>
    <w:rsid w:val="40D17F49"/>
    <w:rsid w:val="41560C69"/>
    <w:rsid w:val="462F4F8A"/>
    <w:rsid w:val="4CA32048"/>
    <w:rsid w:val="50C24B28"/>
    <w:rsid w:val="513563A3"/>
    <w:rsid w:val="541D11B9"/>
    <w:rsid w:val="558D3BA6"/>
    <w:rsid w:val="56B27392"/>
    <w:rsid w:val="57EE2173"/>
    <w:rsid w:val="580425B8"/>
    <w:rsid w:val="584A04A7"/>
    <w:rsid w:val="5AB00FF4"/>
    <w:rsid w:val="5D626DC6"/>
    <w:rsid w:val="5D9654AF"/>
    <w:rsid w:val="5F5C191A"/>
    <w:rsid w:val="63A23F2B"/>
    <w:rsid w:val="67D21CE1"/>
    <w:rsid w:val="68F9300C"/>
    <w:rsid w:val="6C4A4D30"/>
    <w:rsid w:val="70F902E5"/>
    <w:rsid w:val="7251174E"/>
    <w:rsid w:val="72D6363F"/>
    <w:rsid w:val="737F2579"/>
    <w:rsid w:val="76374623"/>
    <w:rsid w:val="793B4771"/>
    <w:rsid w:val="7B860985"/>
    <w:rsid w:val="7DDC7A7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3"/>
    <w:qFormat/>
    <w:uiPriority w:val="0"/>
    <w:pPr>
      <w:keepNext/>
      <w:keepLines/>
      <w:spacing w:beforeLines="50"/>
      <w:ind w:firstLine="200" w:firstLineChars="200"/>
      <w:outlineLvl w:val="1"/>
    </w:pPr>
    <w:rPr>
      <w:rFonts w:ascii="Arial" w:hAnsi="Arial" w:eastAsia="黑体" w:cs="Times New Roman"/>
      <w:bCs/>
      <w:sz w:val="24"/>
      <w:szCs w:val="32"/>
    </w:rPr>
  </w:style>
  <w:style w:type="character" w:default="1" w:styleId="6">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4"/>
    <w:unhideWhenUsed/>
    <w:uiPriority w:val="99"/>
    <w:rPr>
      <w:sz w:val="18"/>
      <w:szCs w:val="18"/>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character" w:styleId="7">
    <w:name w:val="Emphasis"/>
    <w:basedOn w:val="6"/>
    <w:qFormat/>
    <w:uiPriority w:val="20"/>
    <w:rPr>
      <w:i/>
      <w:iCs/>
    </w:rPr>
  </w:style>
  <w:style w:type="character" w:styleId="8">
    <w:name w:val="Hyperlink"/>
    <w:basedOn w:val="6"/>
    <w:unhideWhenUsed/>
    <w:uiPriority w:val="99"/>
    <w:rPr>
      <w:color w:val="0000FF"/>
      <w:u w:val="single"/>
    </w:rPr>
  </w:style>
  <w:style w:type="character" w:customStyle="1" w:styleId="10">
    <w:name w:val="apple-converted-space"/>
    <w:basedOn w:val="6"/>
    <w:uiPriority w:val="0"/>
  </w:style>
  <w:style w:type="character" w:customStyle="1" w:styleId="11">
    <w:name w:val="页眉 Char"/>
    <w:basedOn w:val="6"/>
    <w:link w:val="5"/>
    <w:uiPriority w:val="99"/>
    <w:rPr>
      <w:sz w:val="18"/>
      <w:szCs w:val="18"/>
    </w:rPr>
  </w:style>
  <w:style w:type="character" w:customStyle="1" w:styleId="12">
    <w:name w:val="页脚 Char"/>
    <w:basedOn w:val="6"/>
    <w:link w:val="4"/>
    <w:uiPriority w:val="99"/>
    <w:rPr>
      <w:sz w:val="18"/>
      <w:szCs w:val="18"/>
    </w:rPr>
  </w:style>
  <w:style w:type="character" w:customStyle="1" w:styleId="13">
    <w:name w:val="标题 2 Char"/>
    <w:basedOn w:val="6"/>
    <w:link w:val="2"/>
    <w:uiPriority w:val="0"/>
    <w:rPr>
      <w:rFonts w:ascii="Arial" w:hAnsi="Arial" w:eastAsia="黑体" w:cs="Times New Roman"/>
      <w:bCs/>
      <w:sz w:val="24"/>
      <w:szCs w:val="32"/>
    </w:rPr>
  </w:style>
  <w:style w:type="character" w:customStyle="1" w:styleId="14">
    <w:name w:val="批注框文本 Char"/>
    <w:basedOn w:val="6"/>
    <w:link w:val="3"/>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69B510-AB89-4098-A724-A9F776513643}">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10</Pages>
  <Words>767</Words>
  <Characters>4378</Characters>
  <Lines>36</Lines>
  <Paragraphs>10</Paragraphs>
  <TotalTime>0</TotalTime>
  <ScaleCrop>false</ScaleCrop>
  <LinksUpToDate>false</LinksUpToDate>
  <CharactersWithSpaces>5135</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2016-06-13T04:22:00Z</dcterms:created>
  <dc:creator>Microsoft</dc:creator>
  <cp:lastModifiedBy>Administrator</cp:lastModifiedBy>
  <dcterms:modified xsi:type="dcterms:W3CDTF">2016-06-13T08:38:50Z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