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i w:val="0"/>
          <w:color w:val="1B3A5F"/>
          <w:sz w:val="28"/>
        </w:rPr>
        <w:t>Application Reader Summary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Question: reliability of RNA-only and multimodal CITE-seq representations under shift, degradation, stochasticity, and selective prediction.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Core claim (STATE 2): protein information is strongly valuable; architecture-specific superiority is context-dependent.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Internal: totalVI 0.779 vs scVI 0.722 vs concat 0.745; labels already RNA-only (agreement 1.0).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Transfer: Direction A near-null; Direction B +0.052 (19/20); inductive concat ~0.73 both ways.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Post-adaptation protein degradation: gradual (ΔF1 to −0.018/−0.033 at p=0.85).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Lawlor: donor-level ΔF1 +0.090 (10/10); protein PCA/concat even higher under protein-gated labels.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No further experiments required for this application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