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Final Scientific Audit (simulated reviews)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4"/>
        </w:rPr>
        <w:t>1. Single-cell computational biology reviewer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CRITICAL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None remaining after STATE-2 reframing and concat/Lawlor protein-baseline disclosure.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MAJOR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Transfer concat vs scArches comparison is informative but not adaptation-matched; manuscript must keep this caveat prominent (done).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PBMC-only + limited protein panels constrain generality (stated in Discussion).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MINOR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Consider future panel-harmonization sensitivity analyses (not required now).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4"/>
        </w:rPr>
        <w:t>2. Statistical-methods reviewer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CRITICAL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None: donor-level Lawlor unit clarified; 50 fold×seed not treated as biological n; variance residual interpreted as design residual.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MAJOR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Internal development CI is cell-level conditional bootstrap and must not be read as donor-level uncertainty (stated).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ECE alone insufficient; NLL/Brier/AURC/E-AURC reported (done).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MINOR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pAURC/E-AURC unavailable for some historical PBMC probability archives; Part C and Lawlor cover selective metrics.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4"/>
        </w:rPr>
        <w:t>3. Graduate admissions / faculty research reader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CRITICAL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None for application use: title, framing, and honesty about baselines are appropriate.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MAJOR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Application document should remain unpublished/in-preparation (done).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MINOR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Two-column journal typesetting not applied; single-column professional layout preferred for Word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