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8"/>
        </w:rPr>
        <w:t>Main Tables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2"/>
        </w:rPr>
        <w:t>Table 1. Internal development-cohort representation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Representation</w:t>
            </w:r>
          </w:p>
        </w:tc>
        <w:tc>
          <w:tcPr>
            <w:tcW w:type="dxa" w:w="2880"/>
          </w:tcPr>
          <w:p>
            <w:r>
              <w:t>Modalities</w:t>
            </w:r>
          </w:p>
        </w:tc>
        <w:tc>
          <w:tcPr>
            <w:tcW w:type="dxa" w:w="2880"/>
          </w:tcPr>
          <w:p>
            <w:r>
              <w:t>Macro-F1</w:t>
            </w:r>
          </w:p>
        </w:tc>
      </w:tr>
      <w:tr>
        <w:tc>
          <w:tcPr>
            <w:tcW w:type="dxa" w:w="2880"/>
          </w:tcPr>
          <w:p>
            <w:r>
              <w:t>RNA PCA</w:t>
            </w:r>
          </w:p>
        </w:tc>
        <w:tc>
          <w:tcPr>
            <w:tcW w:type="dxa" w:w="2880"/>
          </w:tcPr>
          <w:p>
            <w:r>
              <w:t>RNA</w:t>
            </w:r>
          </w:p>
        </w:tc>
        <w:tc>
          <w:tcPr>
            <w:tcW w:type="dxa" w:w="2880"/>
          </w:tcPr>
          <w:p>
            <w:r>
              <w:t>0.666</w:t>
            </w:r>
          </w:p>
        </w:tc>
      </w:tr>
      <w:tr>
        <w:tc>
          <w:tcPr>
            <w:tcW w:type="dxa" w:w="2880"/>
          </w:tcPr>
          <w:p>
            <w:r>
              <w:t>Protein PCA</w:t>
            </w:r>
          </w:p>
        </w:tc>
        <w:tc>
          <w:tcPr>
            <w:tcW w:type="dxa" w:w="2880"/>
          </w:tcPr>
          <w:p>
            <w:r>
              <w:t>Protein</w:t>
            </w:r>
          </w:p>
        </w:tc>
        <w:tc>
          <w:tcPr>
            <w:tcW w:type="dxa" w:w="2880"/>
          </w:tcPr>
          <w:p>
            <w:r>
              <w:t>0.512</w:t>
            </w:r>
          </w:p>
        </w:tc>
      </w:tr>
      <w:tr>
        <w:tc>
          <w:tcPr>
            <w:tcW w:type="dxa" w:w="2880"/>
          </w:tcPr>
          <w:p>
            <w:r>
              <w:t>Concatenated PCA</w:t>
            </w:r>
          </w:p>
        </w:tc>
        <w:tc>
          <w:tcPr>
            <w:tcW w:type="dxa" w:w="2880"/>
          </w:tcPr>
          <w:p>
            <w:r>
              <w:t>RNA + protein</w:t>
            </w:r>
          </w:p>
        </w:tc>
        <w:tc>
          <w:tcPr>
            <w:tcW w:type="dxa" w:w="2880"/>
          </w:tcPr>
          <w:p>
            <w:r>
              <w:t>0.745</w:t>
            </w:r>
          </w:p>
        </w:tc>
      </w:tr>
      <w:tr>
        <w:tc>
          <w:tcPr>
            <w:tcW w:type="dxa" w:w="2880"/>
          </w:tcPr>
          <w:p>
            <w:r>
              <w:t>MOFA+</w:t>
            </w:r>
          </w:p>
        </w:tc>
        <w:tc>
          <w:tcPr>
            <w:tcW w:type="dxa" w:w="2880"/>
          </w:tcPr>
          <w:p>
            <w:r>
              <w:t>RNA + protein</w:t>
            </w:r>
          </w:p>
        </w:tc>
        <w:tc>
          <w:tcPr>
            <w:tcW w:type="dxa" w:w="2880"/>
          </w:tcPr>
          <w:p>
            <w:r>
              <w:t>0.549</w:t>
            </w:r>
          </w:p>
        </w:tc>
      </w:tr>
      <w:tr>
        <w:tc>
          <w:tcPr>
            <w:tcW w:type="dxa" w:w="2880"/>
          </w:tcPr>
          <w:p>
            <w:r>
              <w:t>scVI</w:t>
            </w:r>
          </w:p>
        </w:tc>
        <w:tc>
          <w:tcPr>
            <w:tcW w:type="dxa" w:w="2880"/>
          </w:tcPr>
          <w:p>
            <w:r>
              <w:t>RNA</w:t>
            </w:r>
          </w:p>
        </w:tc>
        <w:tc>
          <w:tcPr>
            <w:tcW w:type="dxa" w:w="2880"/>
          </w:tcPr>
          <w:p>
            <w:r>
              <w:t>0.722</w:t>
            </w:r>
          </w:p>
        </w:tc>
      </w:tr>
      <w:tr>
        <w:tc>
          <w:tcPr>
            <w:tcW w:type="dxa" w:w="2880"/>
          </w:tcPr>
          <w:p>
            <w:r>
              <w:t>totalVI</w:t>
            </w:r>
          </w:p>
        </w:tc>
        <w:tc>
          <w:tcPr>
            <w:tcW w:type="dxa" w:w="2880"/>
          </w:tcPr>
          <w:p>
            <w:r>
              <w:t>RNA + protein</w:t>
            </w:r>
          </w:p>
        </w:tc>
        <w:tc>
          <w:tcPr>
            <w:tcW w:type="dxa" w:w="2880"/>
          </w:tcPr>
          <w:p>
            <w:r>
              <w:t>0.779</w:t>
            </w:r>
          </w:p>
        </w:tc>
      </w:tr>
    </w:tbl>
    <w:p/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2"/>
        </w:rPr>
        <w:t>Table 2. Bidirectional transfer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Direction</w:t>
            </w:r>
          </w:p>
        </w:tc>
        <w:tc>
          <w:tcPr>
            <w:tcW w:type="dxa" w:w="1440"/>
          </w:tcPr>
          <w:p>
            <w:r>
              <w:t>scVI macro-F1</w:t>
            </w:r>
          </w:p>
        </w:tc>
        <w:tc>
          <w:tcPr>
            <w:tcW w:type="dxa" w:w="1440"/>
          </w:tcPr>
          <w:p>
            <w:r>
              <w:t>totalVI macro-F1</w:t>
            </w:r>
          </w:p>
        </w:tc>
        <w:tc>
          <w:tcPr>
            <w:tcW w:type="dxa" w:w="1440"/>
          </w:tcPr>
          <w:p>
            <w:r>
              <w:t>Difference</w:t>
            </w:r>
          </w:p>
        </w:tc>
        <w:tc>
          <w:tcPr>
            <w:tcW w:type="dxa" w:w="1440"/>
          </w:tcPr>
          <w:p>
            <w:r>
              <w:t>Seed pattern</w:t>
            </w:r>
          </w:p>
        </w:tc>
        <w:tc>
          <w:tcPr>
            <w:tcW w:type="dxa" w:w="1440"/>
          </w:tcPr>
          <w:p>
            <w:r>
              <w:t>Inductive concat macro-F1</w:t>
            </w:r>
          </w:p>
        </w:tc>
      </w:tr>
      <w:tr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0.656±0.018</w:t>
            </w:r>
          </w:p>
        </w:tc>
        <w:tc>
          <w:tcPr>
            <w:tcW w:type="dxa" w:w="1440"/>
          </w:tcPr>
          <w:p>
            <w:r>
              <w:t>0.652±0.015</w:t>
            </w:r>
          </w:p>
        </w:tc>
        <w:tc>
          <w:tcPr>
            <w:tcW w:type="dxa" w:w="1440"/>
          </w:tcPr>
          <w:p>
            <w:r>
              <w:t>-0.004</w:t>
            </w:r>
          </w:p>
        </w:tc>
        <w:tc>
          <w:tcPr>
            <w:tcW w:type="dxa" w:w="1440"/>
          </w:tcPr>
          <w:p>
            <w:r>
              <w:t>near null</w:t>
            </w:r>
          </w:p>
        </w:tc>
        <w:tc>
          <w:tcPr>
            <w:tcW w:type="dxa" w:w="1440"/>
          </w:tcPr>
          <w:p>
            <w:r>
              <w:t>0.735</w:t>
            </w:r>
          </w:p>
        </w:tc>
      </w:tr>
      <w:tr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0.601±0.020</w:t>
            </w:r>
          </w:p>
        </w:tc>
        <w:tc>
          <w:tcPr>
            <w:tcW w:type="dxa" w:w="1440"/>
          </w:tcPr>
          <w:p>
            <w:r>
              <w:t>0.654±0.025</w:t>
            </w:r>
          </w:p>
        </w:tc>
        <w:tc>
          <w:tcPr>
            <w:tcW w:type="dxa" w:w="1440"/>
          </w:tcPr>
          <w:p>
            <w:r>
              <w:t>+0.052</w:t>
            </w:r>
          </w:p>
        </w:tc>
        <w:tc>
          <w:tcPr>
            <w:tcW w:type="dxa" w:w="1440"/>
          </w:tcPr>
          <w:p>
            <w:r>
              <w:t>19/20 favor totalVI</w:t>
            </w:r>
          </w:p>
        </w:tc>
        <w:tc>
          <w:tcPr>
            <w:tcW w:type="dxa" w:w="1440"/>
          </w:tcPr>
          <w:p>
            <w:r>
              <w:t>0.734</w:t>
            </w:r>
          </w:p>
        </w:tc>
      </w:tr>
    </w:tbl>
    <w:p/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2"/>
        </w:rPr>
        <w:t>Table 3. Post-adaptation protein degradation in totalVI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Corruption fraction</w:t>
            </w:r>
          </w:p>
        </w:tc>
        <w:tc>
          <w:tcPr>
            <w:tcW w:type="dxa" w:w="1728"/>
          </w:tcPr>
          <w:p>
            <w:r>
              <w:t>Direction A macro-F1</w:t>
            </w:r>
          </w:p>
        </w:tc>
        <w:tc>
          <w:tcPr>
            <w:tcW w:type="dxa" w:w="1728"/>
          </w:tcPr>
          <w:p>
            <w:r>
              <w:t>Direction A Δ from clean</w:t>
            </w:r>
          </w:p>
        </w:tc>
        <w:tc>
          <w:tcPr>
            <w:tcW w:type="dxa" w:w="1728"/>
          </w:tcPr>
          <w:p>
            <w:r>
              <w:t>Direction B macro-F1</w:t>
            </w:r>
          </w:p>
        </w:tc>
        <w:tc>
          <w:tcPr>
            <w:tcW w:type="dxa" w:w="1728"/>
          </w:tcPr>
          <w:p>
            <w:r>
              <w:t>Direction B Δ from clean</w:t>
            </w:r>
          </w:p>
        </w:tc>
      </w:tr>
      <w:tr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0.652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0.654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0.10</w:t>
            </w:r>
          </w:p>
        </w:tc>
        <w:tc>
          <w:tcPr>
            <w:tcW w:type="dxa" w:w="1728"/>
          </w:tcPr>
          <w:p>
            <w:r>
              <w:t>0.650</w:t>
            </w:r>
          </w:p>
        </w:tc>
        <w:tc>
          <w:tcPr>
            <w:tcW w:type="dxa" w:w="1728"/>
          </w:tcPr>
          <w:p>
            <w:r>
              <w:t>-0.0025</w:t>
            </w:r>
          </w:p>
        </w:tc>
        <w:tc>
          <w:tcPr>
            <w:tcW w:type="dxa" w:w="1728"/>
          </w:tcPr>
          <w:p>
            <w:r>
              <w:t>0.652</w:t>
            </w:r>
          </w:p>
        </w:tc>
        <w:tc>
          <w:tcPr>
            <w:tcW w:type="dxa" w:w="1728"/>
          </w:tcPr>
          <w:p>
            <w:r>
              <w:t>-0.0023</w:t>
            </w:r>
          </w:p>
        </w:tc>
      </w:tr>
      <w:tr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0.647</w:t>
            </w:r>
          </w:p>
        </w:tc>
        <w:tc>
          <w:tcPr>
            <w:tcW w:type="dxa" w:w="1728"/>
          </w:tcPr>
          <w:p>
            <w:r>
              <w:t>-0.0058</w:t>
            </w:r>
          </w:p>
        </w:tc>
        <w:tc>
          <w:tcPr>
            <w:tcW w:type="dxa" w:w="1728"/>
          </w:tcPr>
          <w:p>
            <w:r>
              <w:t>0.647</w:t>
            </w:r>
          </w:p>
        </w:tc>
        <w:tc>
          <w:tcPr>
            <w:tcW w:type="dxa" w:w="1728"/>
          </w:tcPr>
          <w:p>
            <w:r>
              <w:t>-0.0069</w:t>
            </w:r>
          </w:p>
        </w:tc>
      </w:tr>
      <w:tr>
        <w:tc>
          <w:tcPr>
            <w:tcW w:type="dxa" w:w="1728"/>
          </w:tcPr>
          <w:p>
            <w:r>
              <w:t>0.40</w:t>
            </w:r>
          </w:p>
        </w:tc>
        <w:tc>
          <w:tcPr>
            <w:tcW w:type="dxa" w:w="1728"/>
          </w:tcPr>
          <w:p>
            <w:r>
              <w:t>0.644</w:t>
            </w:r>
          </w:p>
        </w:tc>
        <w:tc>
          <w:tcPr>
            <w:tcW w:type="dxa" w:w="1728"/>
          </w:tcPr>
          <w:p>
            <w:r>
              <w:t>-0.0087</w:t>
            </w:r>
          </w:p>
        </w:tc>
        <w:tc>
          <w:tcPr>
            <w:tcW w:type="dxa" w:w="1728"/>
          </w:tcPr>
          <w:p>
            <w:r>
              <w:t>0.643</w:t>
            </w:r>
          </w:p>
        </w:tc>
        <w:tc>
          <w:tcPr>
            <w:tcW w:type="dxa" w:w="1728"/>
          </w:tcPr>
          <w:p>
            <w:r>
              <w:t>-0.0108</w:t>
            </w:r>
          </w:p>
        </w:tc>
      </w:tr>
      <w:tr>
        <w:tc>
          <w:tcPr>
            <w:tcW w:type="dxa" w:w="1728"/>
          </w:tcPr>
          <w:p>
            <w:r>
              <w:t>0.55</w:t>
            </w:r>
          </w:p>
        </w:tc>
        <w:tc>
          <w:tcPr>
            <w:tcW w:type="dxa" w:w="1728"/>
          </w:tcPr>
          <w:p>
            <w:r>
              <w:t>0.641</w:t>
            </w:r>
          </w:p>
        </w:tc>
        <w:tc>
          <w:tcPr>
            <w:tcW w:type="dxa" w:w="1728"/>
          </w:tcPr>
          <w:p>
            <w:r>
              <w:t>-0.0113</w:t>
            </w:r>
          </w:p>
        </w:tc>
        <w:tc>
          <w:tcPr>
            <w:tcW w:type="dxa" w:w="1728"/>
          </w:tcPr>
          <w:p>
            <w:r>
              <w:t>0.637</w:t>
            </w:r>
          </w:p>
        </w:tc>
        <w:tc>
          <w:tcPr>
            <w:tcW w:type="dxa" w:w="1728"/>
          </w:tcPr>
          <w:p>
            <w:r>
              <w:t>-0.0173</w:t>
            </w:r>
          </w:p>
        </w:tc>
      </w:tr>
      <w:tr>
        <w:tc>
          <w:tcPr>
            <w:tcW w:type="dxa" w:w="1728"/>
          </w:tcPr>
          <w:p>
            <w:r>
              <w:t>0.70</w:t>
            </w:r>
          </w:p>
        </w:tc>
        <w:tc>
          <w:tcPr>
            <w:tcW w:type="dxa" w:w="1728"/>
          </w:tcPr>
          <w:p>
            <w:r>
              <w:t>0.637</w:t>
            </w:r>
          </w:p>
        </w:tc>
        <w:tc>
          <w:tcPr>
            <w:tcW w:type="dxa" w:w="1728"/>
          </w:tcPr>
          <w:p>
            <w:r>
              <w:t>-0.0153</w:t>
            </w:r>
          </w:p>
        </w:tc>
        <w:tc>
          <w:tcPr>
            <w:tcW w:type="dxa" w:w="1728"/>
          </w:tcPr>
          <w:p>
            <w:r>
              <w:t>0.629</w:t>
            </w:r>
          </w:p>
        </w:tc>
        <w:tc>
          <w:tcPr>
            <w:tcW w:type="dxa" w:w="1728"/>
          </w:tcPr>
          <w:p>
            <w:r>
              <w:t>-0.0253</w:t>
            </w:r>
          </w:p>
        </w:tc>
      </w:tr>
      <w:tr>
        <w:tc>
          <w:tcPr>
            <w:tcW w:type="dxa" w:w="1728"/>
          </w:tcPr>
          <w:p>
            <w:r>
              <w:t>0.85</w:t>
            </w:r>
          </w:p>
        </w:tc>
        <w:tc>
          <w:tcPr>
            <w:tcW w:type="dxa" w:w="1728"/>
          </w:tcPr>
          <w:p>
            <w:r>
              <w:t>0.635</w:t>
            </w:r>
          </w:p>
        </w:tc>
        <w:tc>
          <w:tcPr>
            <w:tcW w:type="dxa" w:w="1728"/>
          </w:tcPr>
          <w:p>
            <w:r>
              <w:t>-0.0178</w:t>
            </w:r>
          </w:p>
        </w:tc>
        <w:tc>
          <w:tcPr>
            <w:tcW w:type="dxa" w:w="1728"/>
          </w:tcPr>
          <w:p>
            <w:r>
              <w:t>0.621</w:t>
            </w:r>
          </w:p>
        </w:tc>
        <w:tc>
          <w:tcPr>
            <w:tcW w:type="dxa" w:w="1728"/>
          </w:tcPr>
          <w:p>
            <w:r>
              <w:t>-0.0328</w:t>
            </w:r>
          </w:p>
        </w:tc>
      </w:tr>
    </w:tbl>
    <w:p/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2"/>
        </w:rPr>
        <w:t>Table 4. Training-time protein degradation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Corruption fraction</w:t>
            </w:r>
          </w:p>
        </w:tc>
        <w:tc>
          <w:tcPr>
            <w:tcW w:type="dxa" w:w="2880"/>
          </w:tcPr>
          <w:p>
            <w:r>
              <w:t>totalVI macro-F1</w:t>
            </w:r>
          </w:p>
        </w:tc>
        <w:tc>
          <w:tcPr>
            <w:tcW w:type="dxa" w:w="2880"/>
          </w:tcPr>
          <w:p>
            <w:r>
              <w:t>scVI reference (fixed)</w:t>
            </w:r>
          </w:p>
        </w:tc>
      </w:tr>
      <w:tr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0.779</w:t>
            </w:r>
          </w:p>
        </w:tc>
        <w:tc>
          <w:tcPr>
            <w:tcW w:type="dxa" w:w="2880"/>
          </w:tcPr>
          <w:p>
            <w:r>
              <w:t>0.722</w:t>
            </w:r>
          </w:p>
        </w:tc>
      </w:tr>
      <w:tr>
        <w:tc>
          <w:tcPr>
            <w:tcW w:type="dxa" w:w="2880"/>
          </w:tcPr>
          <w:p>
            <w:r>
              <w:t>0.10</w:t>
            </w:r>
          </w:p>
        </w:tc>
        <w:tc>
          <w:tcPr>
            <w:tcW w:type="dxa" w:w="2880"/>
          </w:tcPr>
          <w:p>
            <w:r>
              <w:t>0.771</w:t>
            </w:r>
          </w:p>
        </w:tc>
        <w:tc>
          <w:tcPr>
            <w:tcW w:type="dxa" w:w="2880"/>
          </w:tcPr>
          <w:p>
            <w:r>
              <w:t>0.722</w:t>
            </w:r>
          </w:p>
        </w:tc>
      </w:tr>
      <w:tr>
        <w:tc>
          <w:tcPr>
            <w:tcW w:type="dxa" w:w="2880"/>
          </w:tcPr>
          <w:p>
            <w:r>
              <w:t>0.25</w:t>
            </w:r>
          </w:p>
        </w:tc>
        <w:tc>
          <w:tcPr>
            <w:tcW w:type="dxa" w:w="2880"/>
          </w:tcPr>
          <w:p>
            <w:r>
              <w:t>0.758</w:t>
            </w:r>
          </w:p>
        </w:tc>
        <w:tc>
          <w:tcPr>
            <w:tcW w:type="dxa" w:w="2880"/>
          </w:tcPr>
          <w:p>
            <w:r>
              <w:t>0.722</w:t>
            </w:r>
          </w:p>
        </w:tc>
      </w:tr>
      <w:tr>
        <w:tc>
          <w:tcPr>
            <w:tcW w:type="dxa" w:w="2880"/>
          </w:tcPr>
          <w:p>
            <w:r>
              <w:t>0.40</w:t>
            </w:r>
          </w:p>
        </w:tc>
        <w:tc>
          <w:tcPr>
            <w:tcW w:type="dxa" w:w="2880"/>
          </w:tcPr>
          <w:p>
            <w:r>
              <w:t>0.760</w:t>
            </w:r>
          </w:p>
        </w:tc>
        <w:tc>
          <w:tcPr>
            <w:tcW w:type="dxa" w:w="2880"/>
          </w:tcPr>
          <w:p>
            <w:r>
              <w:t>0.722</w:t>
            </w:r>
          </w:p>
        </w:tc>
      </w:tr>
      <w:tr>
        <w:tc>
          <w:tcPr>
            <w:tcW w:type="dxa" w:w="2880"/>
          </w:tcPr>
          <w:p>
            <w:r>
              <w:t>0.55</w:t>
            </w:r>
          </w:p>
        </w:tc>
        <w:tc>
          <w:tcPr>
            <w:tcW w:type="dxa" w:w="2880"/>
          </w:tcPr>
          <w:p>
            <w:r>
              <w:t>0.750</w:t>
            </w:r>
          </w:p>
        </w:tc>
        <w:tc>
          <w:tcPr>
            <w:tcW w:type="dxa" w:w="2880"/>
          </w:tcPr>
          <w:p>
            <w:r>
              <w:t>0.722</w:t>
            </w:r>
          </w:p>
        </w:tc>
      </w:tr>
      <w:tr>
        <w:tc>
          <w:tcPr>
            <w:tcW w:type="dxa" w:w="2880"/>
          </w:tcPr>
          <w:p>
            <w:r>
              <w:t>0.70</w:t>
            </w:r>
          </w:p>
        </w:tc>
        <w:tc>
          <w:tcPr>
            <w:tcW w:type="dxa" w:w="2880"/>
          </w:tcPr>
          <w:p>
            <w:r>
              <w:t>0.736</w:t>
            </w:r>
          </w:p>
        </w:tc>
        <w:tc>
          <w:tcPr>
            <w:tcW w:type="dxa" w:w="2880"/>
          </w:tcPr>
          <w:p>
            <w:r>
              <w:t>0.722</w:t>
            </w:r>
          </w:p>
        </w:tc>
      </w:tr>
      <w:tr>
        <w:tc>
          <w:tcPr>
            <w:tcW w:type="dxa" w:w="2880"/>
          </w:tcPr>
          <w:p>
            <w:r>
              <w:t>0.85</w:t>
            </w:r>
          </w:p>
        </w:tc>
        <w:tc>
          <w:tcPr>
            <w:tcW w:type="dxa" w:w="2880"/>
          </w:tcPr>
          <w:p>
            <w:r>
              <w:t>0.755</w:t>
            </w:r>
          </w:p>
        </w:tc>
        <w:tc>
          <w:tcPr>
            <w:tcW w:type="dxa" w:w="2880"/>
          </w:tcPr>
          <w:p>
            <w:r>
              <w:t>0.722</w:t>
            </w:r>
          </w:p>
        </w:tc>
      </w:tr>
    </w:tbl>
    <w:p/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2"/>
        </w:rPr>
        <w:t>Table 5. Variance partitioning of macro-F1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Outcome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Seed</w:t>
            </w:r>
          </w:p>
        </w:tc>
        <w:tc>
          <w:tcPr>
            <w:tcW w:type="dxa" w:w="1728"/>
          </w:tcPr>
          <w:p>
            <w:r>
              <w:t>Interaction</w:t>
            </w:r>
          </w:p>
        </w:tc>
        <w:tc>
          <w:tcPr>
            <w:tcW w:type="dxa" w:w="1728"/>
          </w:tcPr>
          <w:p>
            <w:r>
              <w:t>Residual</w:t>
            </w:r>
          </w:p>
        </w:tc>
      </w:tr>
      <w:tr>
        <w:tc>
          <w:tcPr>
            <w:tcW w:type="dxa" w:w="1728"/>
          </w:tcPr>
          <w:p>
            <w:r>
              <w:t>scVI</w:t>
            </w:r>
          </w:p>
        </w:tc>
        <w:tc>
          <w:tcPr>
            <w:tcW w:type="dxa" w:w="1728"/>
          </w:tcPr>
          <w:p>
            <w:r>
              <w:t>2.31%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  <w:tc>
          <w:tcPr>
            <w:tcW w:type="dxa" w:w="1728"/>
          </w:tcPr>
          <w:p>
            <w:r>
              <w:t>35.45%</w:t>
            </w:r>
          </w:p>
        </w:tc>
        <w:tc>
          <w:tcPr>
            <w:tcW w:type="dxa" w:w="1728"/>
          </w:tcPr>
          <w:p>
            <w:r>
              <w:t>62.23%</w:t>
            </w:r>
          </w:p>
        </w:tc>
      </w:tr>
      <w:tr>
        <w:tc>
          <w:tcPr>
            <w:tcW w:type="dxa" w:w="1728"/>
          </w:tcPr>
          <w:p>
            <w:r>
              <w:t>totalVI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  <w:tc>
          <w:tcPr>
            <w:tcW w:type="dxa" w:w="1728"/>
          </w:tcPr>
          <w:p>
            <w:r>
              <w:t>5.62%</w:t>
            </w:r>
          </w:p>
        </w:tc>
        <w:tc>
          <w:tcPr>
            <w:tcW w:type="dxa" w:w="1728"/>
          </w:tcPr>
          <w:p>
            <w:r>
              <w:t>3.24%</w:t>
            </w:r>
          </w:p>
        </w:tc>
        <w:tc>
          <w:tcPr>
            <w:tcW w:type="dxa" w:w="1728"/>
          </w:tcPr>
          <w:p>
            <w:r>
              <w:t>91.13%</w:t>
            </w:r>
          </w:p>
        </w:tc>
      </w:tr>
      <w:tr>
        <w:tc>
          <w:tcPr>
            <w:tcW w:type="dxa" w:w="1728"/>
          </w:tcPr>
          <w:p>
            <w:r>
              <w:t>totalVI - scVI</w:t>
            </w:r>
          </w:p>
        </w:tc>
        <w:tc>
          <w:tcPr>
            <w:tcW w:type="dxa" w:w="1728"/>
          </w:tcPr>
          <w:p>
            <w:r>
              <w:t>5.09%</w:t>
            </w:r>
          </w:p>
        </w:tc>
        <w:tc>
          <w:tcPr>
            <w:tcW w:type="dxa" w:w="1728"/>
          </w:tcPr>
          <w:p>
            <w:r>
              <w:t>12.04%</w:t>
            </w:r>
          </w:p>
        </w:tc>
        <w:tc>
          <w:tcPr>
            <w:tcW w:type="dxa" w:w="1728"/>
          </w:tcPr>
          <w:p>
            <w:r>
              <w:t>14.11%</w:t>
            </w:r>
          </w:p>
        </w:tc>
        <w:tc>
          <w:tcPr>
            <w:tcW w:type="dxa" w:w="1728"/>
          </w:tcPr>
          <w:p>
            <w:r>
              <w:t>68.75%</w:t>
            </w:r>
          </w:p>
        </w:tc>
      </w:tr>
    </w:tbl>
    <w:p/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2"/>
        </w:rPr>
        <w:t>Table 6. Lawlor donor-level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scVI</w:t>
            </w:r>
          </w:p>
        </w:tc>
        <w:tc>
          <w:tcPr>
            <w:tcW w:type="dxa" w:w="2160"/>
          </w:tcPr>
          <w:p>
            <w:r>
              <w:t>totalVI</w:t>
            </w:r>
          </w:p>
        </w:tc>
        <w:tc>
          <w:tcPr>
            <w:tcW w:type="dxa" w:w="2160"/>
          </w:tcPr>
          <w:p>
            <w:r>
              <w:t>Interpretation</w:t>
            </w:r>
          </w:p>
        </w:tc>
      </w:tr>
      <w:tr>
        <w:tc>
          <w:tcPr>
            <w:tcW w:type="dxa" w:w="2160"/>
          </w:tcPr>
          <w:p>
            <w:r>
              <w:t>Deep average macro-F1</w:t>
            </w:r>
          </w:p>
        </w:tc>
        <w:tc>
          <w:tcPr>
            <w:tcW w:type="dxa" w:w="2160"/>
          </w:tcPr>
          <w:p>
            <w:r>
              <w:t>0.800</w:t>
            </w:r>
          </w:p>
        </w:tc>
        <w:tc>
          <w:tcPr>
            <w:tcW w:type="dxa" w:w="2160"/>
          </w:tcPr>
          <w:p>
            <w:r>
              <w:t>0.888</w:t>
            </w:r>
          </w:p>
        </w:tc>
        <w:tc>
          <w:tcPr>
            <w:tcW w:type="dxa" w:w="2160"/>
          </w:tcPr>
          <w:p>
            <w:r>
              <w:t>Multimodal improvement</w:t>
            </w:r>
          </w:p>
        </w:tc>
      </w:tr>
      <w:tr>
        <w:tc>
          <w:tcPr>
            <w:tcW w:type="dxa" w:w="2160"/>
          </w:tcPr>
          <w:p>
            <w:r>
              <w:t>Present-class donor mean delta</w:t>
            </w:r>
          </w:p>
        </w:tc>
        <w:tc>
          <w:tcPr>
            <w:tcW w:type="dxa" w:w="2160"/>
          </w:tcPr>
          <w:p>
            <w:r>
              <w:t>NA</w:t>
            </w:r>
          </w:p>
        </w:tc>
        <w:tc>
          <w:tcPr>
            <w:tcW w:type="dxa" w:w="2160"/>
          </w:tcPr>
          <w:p>
            <w:r>
              <w:t>+0.090</w:t>
            </w:r>
          </w:p>
        </w:tc>
        <w:tc>
          <w:tcPr>
            <w:tcW w:type="dxa" w:w="2160"/>
          </w:tcPr>
          <w:p>
            <w:r>
              <w:t>10/10 donors favor totalVI</w:t>
            </w:r>
          </w:p>
        </w:tc>
      </w:tr>
      <w:tr>
        <w:tc>
          <w:tcPr>
            <w:tcW w:type="dxa" w:w="2160"/>
          </w:tcPr>
          <w:p>
            <w:r>
              <w:t>Between-donor SD of delta</w:t>
            </w:r>
          </w:p>
        </w:tc>
        <w:tc>
          <w:tcPr>
            <w:tcW w:type="dxa" w:w="2160"/>
          </w:tcPr>
          <w:p>
            <w:r>
              <w:t>NA</w:t>
            </w:r>
          </w:p>
        </w:tc>
        <w:tc>
          <w:tcPr>
            <w:tcW w:type="dxa" w:w="2160"/>
          </w:tcPr>
          <w:p>
            <w:r>
              <w:t>~0.010</w:t>
            </w:r>
          </w:p>
        </w:tc>
        <w:tc>
          <w:tcPr>
            <w:tcW w:type="dxa" w:w="2160"/>
          </w:tcPr>
          <w:p>
            <w:r>
              <w:t>Donor-level consistency</w:t>
            </w:r>
          </w:p>
        </w:tc>
      </w:tr>
      <w:tr>
        <w:tc>
          <w:tcPr>
            <w:tcW w:type="dxa" w:w="2160"/>
          </w:tcPr>
          <w:p>
            <w:r>
              <w:t>Macro-F1 fold-seed wins</w:t>
            </w:r>
          </w:p>
        </w:tc>
        <w:tc>
          <w:tcPr>
            <w:tcW w:type="dxa" w:w="2160"/>
          </w:tcPr>
          <w:p>
            <w:r>
              <w:t>NA</w:t>
            </w:r>
          </w:p>
        </w:tc>
        <w:tc>
          <w:tcPr>
            <w:tcW w:type="dxa" w:w="2160"/>
          </w:tcPr>
          <w:p>
            <w:r>
              <w:t>50/50</w:t>
            </w:r>
          </w:p>
        </w:tc>
        <w:tc>
          <w:tcPr>
            <w:tcW w:type="dxa" w:w="2160"/>
          </w:tcPr>
          <w:p>
            <w:r>
              <w:t>Computational comparisons</w:t>
            </w:r>
          </w:p>
        </w:tc>
      </w:tr>
      <w:tr>
        <w:tc>
          <w:tcPr>
            <w:tcW w:type="dxa" w:w="2160"/>
          </w:tcPr>
          <w:p>
            <w:r>
              <w:t>Predictive AUROC</w:t>
            </w:r>
          </w:p>
        </w:tc>
        <w:tc>
          <w:tcPr>
            <w:tcW w:type="dxa" w:w="2160"/>
          </w:tcPr>
          <w:p>
            <w:r>
              <w:t>0.801</w:t>
            </w:r>
          </w:p>
        </w:tc>
        <w:tc>
          <w:tcPr>
            <w:tcW w:type="dxa" w:w="2160"/>
          </w:tcPr>
          <w:p>
            <w:r>
              <w:t>0.838</w:t>
            </w:r>
          </w:p>
        </w:tc>
        <w:tc>
          <w:tcPr>
            <w:tcW w:type="dxa" w:w="2160"/>
          </w:tcPr>
          <w:p>
            <w:r>
              <w:t>Better error ranking</w:t>
            </w:r>
          </w:p>
        </w:tc>
      </w:tr>
      <w:tr>
        <w:tc>
          <w:tcPr>
            <w:tcW w:type="dxa" w:w="2160"/>
          </w:tcPr>
          <w:p>
            <w:r>
              <w:t>Latent AUROC</w:t>
            </w:r>
          </w:p>
        </w:tc>
        <w:tc>
          <w:tcPr>
            <w:tcW w:type="dxa" w:w="2160"/>
          </w:tcPr>
          <w:p>
            <w:r>
              <w:t>0.605</w:t>
            </w:r>
          </w:p>
        </w:tc>
        <w:tc>
          <w:tcPr>
            <w:tcW w:type="dxa" w:w="2160"/>
          </w:tcPr>
          <w:p>
            <w:r>
              <w:t>0.650</w:t>
            </w:r>
          </w:p>
        </w:tc>
        <w:tc>
          <w:tcPr>
            <w:tcW w:type="dxa" w:w="2160"/>
          </w:tcPr>
          <w:p>
            <w:r>
              <w:t>Better latent uncertainty signal</w:t>
            </w:r>
          </w:p>
        </w:tc>
      </w:tr>
      <w:tr>
        <w:tc>
          <w:tcPr>
            <w:tcW w:type="dxa" w:w="2160"/>
          </w:tcPr>
          <w:p>
            <w:r>
              <w:t>Latent AUROC wins</w:t>
            </w:r>
          </w:p>
        </w:tc>
        <w:tc>
          <w:tcPr>
            <w:tcW w:type="dxa" w:w="2160"/>
          </w:tcPr>
          <w:p>
            <w:r>
              <w:t>NA</w:t>
            </w:r>
          </w:p>
        </w:tc>
        <w:tc>
          <w:tcPr>
            <w:tcW w:type="dxa" w:w="2160"/>
          </w:tcPr>
          <w:p>
            <w:r>
              <w:t>38/50</w:t>
            </w:r>
          </w:p>
        </w:tc>
        <w:tc>
          <w:tcPr>
            <w:tcW w:type="dxa" w:w="2160"/>
          </w:tcPr>
          <w:p>
            <w:r>
              <w:t>Computational comparisons</w:t>
            </w:r>
          </w:p>
        </w:tc>
      </w:tr>
      <w:tr>
        <w:tc>
          <w:tcPr>
            <w:tcW w:type="dxa" w:w="2160"/>
          </w:tcPr>
          <w:p>
            <w:r>
              <w:t>Full AURC</w:t>
            </w:r>
          </w:p>
        </w:tc>
        <w:tc>
          <w:tcPr>
            <w:tcW w:type="dxa" w:w="2160"/>
          </w:tcPr>
          <w:p>
            <w:r>
              <w:t>0.087</w:t>
            </w:r>
          </w:p>
        </w:tc>
        <w:tc>
          <w:tcPr>
            <w:tcW w:type="dxa" w:w="2160"/>
          </w:tcPr>
          <w:p>
            <w:r>
              <w:t>0.036</w:t>
            </w:r>
          </w:p>
        </w:tc>
        <w:tc>
          <w:tcPr>
            <w:tcW w:type="dxa" w:w="2160"/>
          </w:tcPr>
          <w:p>
            <w:r>
              <w:t>Lower is better</w:t>
            </w:r>
          </w:p>
        </w:tc>
      </w:tr>
      <w:tr>
        <w:tc>
          <w:tcPr>
            <w:tcW w:type="dxa" w:w="2160"/>
          </w:tcPr>
          <w:p>
            <w:r>
              <w:t>pAURC_[0.5,1]</w:t>
            </w:r>
          </w:p>
        </w:tc>
        <w:tc>
          <w:tcPr>
            <w:tcW w:type="dxa" w:w="2160"/>
          </w:tcPr>
          <w:p>
            <w:r>
              <w:t>0.157</w:t>
            </w:r>
          </w:p>
        </w:tc>
        <w:tc>
          <w:tcPr>
            <w:tcW w:type="dxa" w:w="2160"/>
          </w:tcPr>
          <w:p>
            <w:r>
              <w:t>0.067</w:t>
            </w:r>
          </w:p>
        </w:tc>
        <w:tc>
          <w:tcPr>
            <w:tcW w:type="dxa" w:w="2160"/>
          </w:tcPr>
          <w:p>
            <w:r>
              <w:t>Lower is better</w:t>
            </w:r>
          </w:p>
        </w:tc>
      </w:tr>
      <w:tr>
        <w:tc>
          <w:tcPr>
            <w:tcW w:type="dxa" w:w="2160"/>
          </w:tcPr>
          <w:p>
            <w:r>
              <w:t>E-AURC</w:t>
            </w:r>
          </w:p>
        </w:tc>
        <w:tc>
          <w:tcPr>
            <w:tcW w:type="dxa" w:w="2160"/>
          </w:tcPr>
          <w:p>
            <w:r>
              <w:t>0.054</w:t>
            </w:r>
          </w:p>
        </w:tc>
        <w:tc>
          <w:tcPr>
            <w:tcW w:type="dxa" w:w="2160"/>
          </w:tcPr>
          <w:p>
            <w:r>
              <w:t>0.026</w:t>
            </w:r>
          </w:p>
        </w:tc>
        <w:tc>
          <w:tcPr>
            <w:tcW w:type="dxa" w:w="2160"/>
          </w:tcPr>
          <w:p>
            <w:r>
              <w:t>Lower is better</w:t>
            </w:r>
          </w:p>
        </w:tc>
      </w:tr>
      <w:tr>
        <w:tc>
          <w:tcPr>
            <w:tcW w:type="dxa" w:w="2160"/>
          </w:tcPr>
          <w:p>
            <w:r>
              <w:t>Protein PCA macro-F1</w:t>
            </w:r>
          </w:p>
        </w:tc>
        <w:tc>
          <w:tcPr>
            <w:tcW w:type="dxa" w:w="2160"/>
          </w:tcPr>
          <w:p>
            <w:r>
              <w:t>~0.927</w:t>
            </w:r>
          </w:p>
        </w:tc>
        <w:tc>
          <w:tcPr>
            <w:tcW w:type="dxa" w:w="2160"/>
          </w:tcPr>
          <w:p>
            <w:r>
              <w:t>NA</w:t>
            </w:r>
          </w:p>
        </w:tc>
        <w:tc>
          <w:tcPr>
            <w:tcW w:type="dxa" w:w="2160"/>
          </w:tcPr>
          <w:p>
            <w:r>
              <w:t>Strong label-protein alignment</w:t>
            </w:r>
          </w:p>
        </w:tc>
      </w:tr>
      <w:tr>
        <w:tc>
          <w:tcPr>
            <w:tcW w:type="dxa" w:w="2160"/>
          </w:tcPr>
          <w:p>
            <w:r>
              <w:t>Concatenated PCA macro-F1</w:t>
            </w:r>
          </w:p>
        </w:tc>
        <w:tc>
          <w:tcPr>
            <w:tcW w:type="dxa" w:w="2160"/>
          </w:tcPr>
          <w:p>
            <w:r>
              <w:t>~0.945</w:t>
            </w:r>
          </w:p>
        </w:tc>
        <w:tc>
          <w:tcPr>
            <w:tcW w:type="dxa" w:w="2160"/>
          </w:tcPr>
          <w:p>
            <w:r>
              <w:t>NA</w:t>
            </w:r>
          </w:p>
        </w:tc>
        <w:tc>
          <w:tcPr>
            <w:tcW w:type="dxa" w:w="2160"/>
          </w:tcPr>
          <w:p>
            <w:r>
              <w:t>Strong label-modality alignment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