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1. Central logic: information gain versus model-specific advantage.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2. Information-versus-model comparison in the development cohort.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3. Transfer fairness comparison across inductive concat, transductive concat, scVI, and totalVI.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4. Protein degradation experiments for training-time corruption and post-adaptation target-only corruption.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5. Uncertainty diagnostics, training stochasticity, and selective prediction.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6. Lawlor donor-level external validation.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1. Central logic: information gain versus model-specific advantage. The schematic separates RNA-only performance, simple multimodal performance, and complex multimodal-model performance. G_info is defined as concat minus RNA PCA, and G_model as totalVI minus concat. These are descriptive contrasts, not mechanistic partitions.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2. Information-versus-model comparison in the development cohort. Macro-F1 is shown for RNA PCA (0.666), concat PCA (0.745), and totalVI (0.779), with secondary values for protein PCA (0.512), MOFA+ (0.549), and scVI (0.722). The figure highlights G_info=+0.079, G_model=+0.034, and the descriptive recovery of about 70% of the RNA-to-totalVI gap by concat.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3. Transfer fairness comparison. Panels distinguish source-only inductive concat, target-data-access-matched transductive concat, and scArches-adapted scVI/totalVI for Directions A and B. Case C annotations report totalVI − transductive concat ≈ +0.016 (A) and ≈ −0.113 (B). Transductive concat matches unlabeled target feature access only and is not algorithmically identical to scArches.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4. Protein degradation experiments. Training-time and post-adaptation target-only designs ask how residual multimodal/model advantage changes as protein signal quality deteriorates. Direction B shows stronger progressive narrowing (0.654 → 0.621) relative to clean scVI (0.601); performance declined gradually rather than catastrophically.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5. Uncertainty diagnostics, training stochasticity, and selective prediction. Panels summarize predictive and latent error AUROC, risk-coverage behavior, variance-component estimates from the balanced stochasticity design, and cell-type-dependent retention at selective-prediction coverage thresholds.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6. Lawlor donor-level external validation. The Lawlor analysis uses 10 biological donors and protein-gated author labels. Donor-level present-class macro-F1 favors totalVI over scVI by about +0.090 (10/10 donors), while protein PCA (~0.927) and concat PCA (~0.945) exceed totalVI (~0.888) under protein-gated labels, supporting multimodal information value rather than universal architecture superiority. Annotation: author labels are protein-gated.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