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Application Reader Summary — Information vs Model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Central question: protein-information gain vs model-specific advantage.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Internal: RNA PCA 0.666 → concat 0.745 → totalVI 0.779; G_info=+0.079; G_model=+0.034; ~70% descriptive recovery.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Matched transfer Case C: Dir A totalVI − transductive concat ≈ +0.016; Dir B ≈ −0.113.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Inductive concat preserved ≈ 0.735 / 0.734.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Dir B totalVI−scVI +0.052 (19/20); Dir A near-null.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Lawlor: donor Δ≈+0.090 (10/10); protein PCA/concat stronger under protein-gated labels.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No new external cohort / MultiVI / P2 required for this application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