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color w:val="1B3A5F"/>
          <w:sz w:val="28"/>
        </w:rPr>
        <w:t>Final Human-Style Manuscript Audit</w:t>
      </w:r>
    </w:p>
    <w:p>
      <w:r>
        <w:rPr>
          <w:rFonts w:ascii="Times New Roman" w:hAnsi="Times New Roman" w:eastAsia="Times New Roman"/>
          <w:b w:val="0"/>
          <w:sz w:val="20"/>
        </w:rPr>
        <w:t xml:space="preserve">Canonical manuscript: results/final_information_vs_model_manuscript/manuscript/CITEseq_Information_vs_Model_Reliability_Research_Manuscript.docx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Pre-audit backup: .../CITEseq_Information_vs_Model_Reliability_Research_Manuscript_pre_audit.docx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Markdown mirror: updated in place (pre-audit backup .md saved)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Date: 2026-09-23  </w:t>
      </w:r>
    </w:p>
    <w:p>
      <w:r>
        <w:rPr>
          <w:rFonts w:ascii="Times New Roman" w:hAnsi="Times New Roman" w:eastAsia="Times New Roman"/>
          <w:b w:val="0"/>
          <w:sz w:val="20"/>
        </w:rPr>
        <w:t>Mode: Writing/interpretation audit only. No new experiments, datasets, training, commit, or push.</w:t>
      </w:r>
    </w:p>
    <w:p>
      <w:r>
        <w:rPr>
          <w:rFonts w:ascii="Times New Roman" w:hAnsi="Times New Roman" w:eastAsia="Times New Roman"/>
          <w:b/>
          <w:color w:val="1B3A5F"/>
          <w:sz w:val="24"/>
        </w:rPr>
        <w:t>3-minute application reader test</w:t>
      </w:r>
    </w:p>
    <w:p>
      <w:r>
        <w:rPr>
          <w:rFonts w:ascii="Times New Roman" w:hAnsi="Times New Roman" w:eastAsia="Times New Roman"/>
          <w:b w:val="0"/>
          <w:sz w:val="20"/>
        </w:rPr>
        <w:t>Question: What is this paper about?</w:t>
      </w:r>
    </w:p>
    <w:p>
      <w:r>
        <w:rPr>
          <w:rFonts w:ascii="Times New Roman" w:hAnsi="Times New Roman" w:eastAsia="Times New Roman"/>
          <w:b w:val="0"/>
          <w:sz w:val="20"/>
        </w:rPr>
        <w:t xml:space="preserve">Answer a careful reader should give:  </w:t>
      </w:r>
    </w:p>
    <w:p>
      <w:r>
        <w:rPr>
          <w:rFonts w:ascii="Times New Roman" w:hAnsi="Times New Roman" w:eastAsia="Times New Roman"/>
          <w:b w:val="0"/>
          <w:sz w:val="20"/>
        </w:rPr>
        <w:t>It separates the benefit of having protein measurements from the additional benefit of a complex multimodal model, and shows that the information benefit is strong while the residual model-specific benefit is smaller and context-dependent.</w:t>
      </w:r>
    </w:p>
    <w:p>
      <w:r>
        <w:rPr>
          <w:rFonts w:ascii="Times New Roman" w:hAnsi="Times New Roman" w:eastAsia="Times New Roman"/>
          <w:b w:val="0"/>
          <w:sz w:val="20"/>
        </w:rPr>
        <w:t>Verdict after Title / Abstract / Figures 1–3 / Discussion ¶1 / Conclusion: PASS (framing no longer reads as a generic scVI–totalVI robustness benchmark).</w:t>
      </w:r>
    </w:p>
    <w:p>
      <w:r>
        <w:rPr>
          <w:rFonts w:ascii="Times New Roman" w:hAnsi="Times New Roman" w:eastAsia="Times New Roman"/>
          <w:b/>
          <w:color w:val="1B3A5F"/>
          <w:sz w:val="24"/>
        </w:rPr>
        <w:t>Task 1 — Old-narrative search (selected findings)</w:t>
      </w:r>
    </w:p>
    <w:p>
      <w:r>
        <w:rPr>
          <w:rFonts w:ascii="Times New Roman" w:hAnsi="Times New Roman" w:eastAsia="Times New Roman"/>
          <w:b w:val="0"/>
          <w:sz w:val="16"/>
        </w:rPr>
        <w:t>| Location | Sentence / phrase | Class | Action |</w:t>
      </w:r>
    </w:p>
    <w:p>
      <w:r>
        <w:rPr>
          <w:rFonts w:ascii="Times New Roman" w:hAnsi="Times New Roman" w:eastAsia="Times New Roman"/>
          <w:b w:val="0"/>
          <w:sz w:val="20"/>
        </w:rPr>
        <w:t>|---|---|---|---|</w:t>
      </w:r>
    </w:p>
    <w:p>
      <w:r>
        <w:rPr>
          <w:rFonts w:ascii="Times New Roman" w:hAnsi="Times New Roman" w:eastAsia="Times New Roman"/>
          <w:b w:val="0"/>
          <w:sz w:val="16"/>
        </w:rPr>
        <w:t>| Abstract (pre) | “Additional totalVI-specific gains existed… but were not universal” | SOFTEN | Rewrote Conclusions to “Protein-information gain was strong; residual model-specific gain was smaller and context-dependent.” |</w:t>
      </w:r>
    </w:p>
    <w:p>
      <w:r>
        <w:rPr>
          <w:rFonts w:ascii="Times New Roman" w:hAnsi="Times New Roman" w:eastAsia="Times New Roman"/>
          <w:b w:val="0"/>
          <w:sz w:val="16"/>
        </w:rPr>
        <w:t>| Results §1 | “totalVI remained the highest internal representation…” | SOFTEN | Rewrote to factual ranking + emphasize \(G_{\mathrm{info}}\) vs \(G_{\mathrm{model}}\) sizes |</w:t>
      </w:r>
    </w:p>
    <w:p>
      <w:r>
        <w:rPr>
          <w:rFonts w:ascii="Times New Roman" w:hAnsi="Times New Roman" w:eastAsia="Times New Roman"/>
          <w:b w:val="0"/>
          <w:sz w:val="16"/>
        </w:rPr>
        <w:t>| Results §2 (pre) | Numbers present but pattern easy to miss | REWRITE | Explicit inductive / transductive / VAE blocks + Case C bullets |</w:t>
      </w:r>
    </w:p>
    <w:p>
      <w:r>
        <w:rPr>
          <w:rFonts w:ascii="Times New Roman" w:hAnsi="Times New Roman" w:eastAsia="Times New Roman"/>
          <w:b w:val="0"/>
          <w:sz w:val="16"/>
        </w:rPr>
        <w:t>| Results §3 heading | “reduced multimodal model advantage” | SOFTEN | “narrowed…”; gradual-not-catastrophic language |</w:t>
      </w:r>
    </w:p>
    <w:p>
      <w:r>
        <w:rPr>
          <w:rFonts w:ascii="Times New Roman" w:hAnsi="Times New Roman" w:eastAsia="Times New Roman"/>
          <w:b w:val="0"/>
          <w:sz w:val="16"/>
        </w:rPr>
        <w:t>| Results §4 (pre) | Predictive/latent terminology loose | REWRITE | Classifier predictive uncertainty; latent posterior variance; anti-“uncertainty improved” |</w:t>
      </w:r>
    </w:p>
    <w:p>
      <w:r>
        <w:rPr>
          <w:rFonts w:ascii="Times New Roman" w:hAnsi="Times New Roman" w:eastAsia="Times New Roman"/>
          <w:b w:val="0"/>
          <w:sz w:val="16"/>
        </w:rPr>
        <w:t>| Results §7 (pre) | “Uncertainty… also favored totalVI” | REWRITE | Diagnostics under protein-gated labels; required Lawlor wording |</w:t>
      </w:r>
    </w:p>
    <w:p>
      <w:r>
        <w:rPr>
          <w:rFonts w:ascii="Times New Roman" w:hAnsi="Times New Roman" w:eastAsia="Times New Roman"/>
          <w:b w:val="0"/>
          <w:sz w:val="16"/>
        </w:rPr>
        <w:t>| Discussion ¶1 (pre) | Good but not unmistakable | REWRITE | Inserted recommended “most reproducible multimodal benefit…” sentence |</w:t>
      </w:r>
    </w:p>
    <w:p>
      <w:r>
        <w:rPr>
          <w:rFonts w:ascii="Times New Roman" w:hAnsi="Times New Roman" w:eastAsia="Times New Roman"/>
          <w:b w:val="0"/>
          <w:sz w:val="16"/>
        </w:rPr>
        <w:t>| Methods \(G_{\mathrm{model}}\) | Descriptive but missing exact non-causal sentence | REWRITE | Added required Methods + Discussion causal-decomposition disclaimer |</w:t>
      </w:r>
    </w:p>
    <w:p>
      <w:r>
        <w:rPr>
          <w:rFonts w:ascii="Times New Roman" w:hAnsi="Times New Roman" w:eastAsia="Times New Roman"/>
          <w:b w:val="0"/>
          <w:sz w:val="16"/>
        </w:rPr>
        <w:t>| Captions / SI | Negations of “universal superiority” | KEEP | Correct cautionary language |</w:t>
      </w:r>
    </w:p>
    <w:p>
      <w:r>
        <w:rPr>
          <w:rFonts w:ascii="Times New Roman" w:hAnsi="Times New Roman" w:eastAsia="Times New Roman"/>
          <w:b w:val="0"/>
          <w:sz w:val="16"/>
        </w:rPr>
        <w:t>| “epistemic / robust to corruption / uncertainty improved” | Appear only in **negation** | KEEP | Explicitly rejected |</w:t>
      </w:r>
    </w:p>
    <w:p>
      <w:r>
        <w:rPr>
          <w:rFonts w:ascii="Times New Roman" w:hAnsi="Times New Roman" w:eastAsia="Times New Roman"/>
          <w:b w:val="0"/>
          <w:sz w:val="20"/>
        </w:rPr>
        <w:t>No KEEP→DELETE of valid secondary experiments.</w:t>
      </w:r>
    </w:p>
    <w:p>
      <w:r>
        <w:rPr>
          <w:rFonts w:ascii="Times New Roman" w:hAnsi="Times New Roman" w:eastAsia="Times New Roman"/>
          <w:b/>
          <w:color w:val="1B3A5F"/>
          <w:sz w:val="24"/>
        </w:rPr>
        <w:t>Tasks 2–13 — Section audits (summary)</w:t>
      </w:r>
    </w:p>
    <w:p>
      <w:r>
        <w:rPr>
          <w:rFonts w:ascii="Times New Roman" w:hAnsi="Times New Roman" w:eastAsia="Times New Roman"/>
          <w:b w:val="0"/>
          <w:sz w:val="16"/>
        </w:rPr>
        <w:t>| Check | Status |</w:t>
      </w:r>
    </w:p>
    <w:p>
      <w:r>
        <w:rPr>
          <w:rFonts w:ascii="Times New Roman" w:hAnsi="Times New Roman" w:eastAsia="Times New Roman"/>
          <w:b w:val="0"/>
          <w:sz w:val="20"/>
        </w:rPr>
        <w:t>|---|---|</w:t>
      </w:r>
    </w:p>
    <w:p>
      <w:r>
        <w:rPr>
          <w:rFonts w:ascii="Times New Roman" w:hAnsi="Times New Roman" w:eastAsia="Times New Roman"/>
          <w:b w:val="0"/>
          <w:sz w:val="16"/>
        </w:rPr>
        <w:t>| Abstract information-vs-model + 70% descriptive + Case C + protein-gated Lawlor | PASS (~218 words) |</w:t>
      </w:r>
    </w:p>
    <w:p>
      <w:r>
        <w:rPr>
          <w:rFonts w:ascii="Times New Roman" w:hAnsi="Times New Roman" w:eastAsia="Times New Roman"/>
          <w:b w:val="0"/>
          <w:sz w:val="16"/>
        </w:rPr>
        <w:t>| Results logic chain R1→R7 answers central question | PASS after reconnects |</w:t>
      </w:r>
    </w:p>
    <w:p>
      <w:r>
        <w:rPr>
          <w:rFonts w:ascii="Times New Roman" w:hAnsi="Times New Roman" w:eastAsia="Times New Roman"/>
          <w:b w:val="0"/>
          <w:sz w:val="16"/>
        </w:rPr>
        <w:t>| Transfer: inductive + transductive both reported; Case C explicit | PASS |</w:t>
      </w:r>
    </w:p>
    <w:p>
      <w:r>
        <w:rPr>
          <w:rFonts w:ascii="Times New Roman" w:hAnsi="Times New Roman" w:eastAsia="Times New Roman"/>
          <w:b w:val="0"/>
          <w:sz w:val="16"/>
        </w:rPr>
        <w:t>| Figure 3 Case C annotations (+0.016 / −0.113); y-axis from 0 | PASS (regenerated) |</w:t>
      </w:r>
    </w:p>
    <w:p>
      <w:r>
        <w:rPr>
          <w:rFonts w:ascii="Times New Roman" w:hAnsi="Times New Roman" w:eastAsia="Times New Roman"/>
          <w:b w:val="0"/>
          <w:sz w:val="16"/>
        </w:rPr>
        <w:t>| Figure 2 RNA→concat→totalVI hierarchy | PASS |</w:t>
      </w:r>
    </w:p>
    <w:p>
      <w:r>
        <w:rPr>
          <w:rFonts w:ascii="Times New Roman" w:hAnsi="Times New Roman" w:eastAsia="Times New Roman"/>
          <w:b w:val="0"/>
          <w:sz w:val="16"/>
        </w:rPr>
        <w:t>| \(G_{\mathrm{model}}\) non-causal in Methods + Discussion | PASS |</w:t>
      </w:r>
    </w:p>
    <w:p>
      <w:r>
        <w:rPr>
          <w:rFonts w:ascii="Times New Roman" w:hAnsi="Times New Roman" w:eastAsia="Times New Roman"/>
          <w:b w:val="0"/>
          <w:sz w:val="16"/>
        </w:rPr>
        <w:t>| Degradation framed as narrowing advantage | PASS |</w:t>
      </w:r>
    </w:p>
    <w:p>
      <w:r>
        <w:rPr>
          <w:rFonts w:ascii="Times New Roman" w:hAnsi="Times New Roman" w:eastAsia="Times New Roman"/>
          <w:b w:val="0"/>
          <w:sz w:val="16"/>
        </w:rPr>
        <w:t>| Uncertainty subordinated; terminology corrected | PASS |</w:t>
      </w:r>
    </w:p>
    <w:p>
      <w:r>
        <w:rPr>
          <w:rFonts w:ascii="Times New Roman" w:hAnsi="Times New Roman" w:eastAsia="Times New Roman"/>
          <w:b w:val="0"/>
          <w:sz w:val="16"/>
        </w:rPr>
        <w:t>| Stochasticity linked to small-effect interpretation | PASS |</w:t>
      </w:r>
    </w:p>
    <w:p>
      <w:r>
        <w:rPr>
          <w:rFonts w:ascii="Times New Roman" w:hAnsi="Times New Roman" w:eastAsia="Times New Roman"/>
          <w:b w:val="0"/>
          <w:sz w:val="16"/>
        </w:rPr>
        <w:t>| Lawlor protein-gated + protein/concat &gt; totalVI prominent in Results | PASS |</w:t>
      </w:r>
    </w:p>
    <w:p>
      <w:r>
        <w:rPr>
          <w:rFonts w:ascii="Times New Roman" w:hAnsi="Times New Roman" w:eastAsia="Times New Roman"/>
          <w:b w:val="0"/>
          <w:sz w:val="16"/>
        </w:rPr>
        <w:t>| Discussion dominant interpretation | PASS |</w:t>
      </w:r>
    </w:p>
    <w:p>
      <w:r>
        <w:rPr>
          <w:rFonts w:ascii="Times New Roman" w:hAnsi="Times New Roman" w:eastAsia="Times New Roman"/>
          <w:b w:val="0"/>
          <w:sz w:val="16"/>
        </w:rPr>
        <w:t>| Limitations checklist (PBMC, panels, classification focus, protein-gated, scArches≠PCA, no protein-independent external, no cell-wise missingness, no universal architecture comparison) | PASS |</w:t>
      </w:r>
    </w:p>
    <w:p>
      <w:r>
        <w:rPr>
          <w:rFonts w:ascii="Times New Roman" w:hAnsi="Times New Roman" w:eastAsia="Times New Roman"/>
          <w:b/>
          <w:color w:val="1B3A5F"/>
          <w:sz w:val="24"/>
        </w:rPr>
        <w:t>Task 14–15 — Matched transfer fairness / code</w:t>
      </w:r>
    </w:p>
    <w:p>
      <w:r>
        <w:rPr>
          <w:rFonts w:ascii="Times New Roman" w:hAnsi="Times New Roman" w:eastAsia="Times New Roman"/>
          <w:b w:val="0"/>
          <w:sz w:val="20"/>
        </w:rPr>
        <w:t>See review/MATCHED_TRANSFER_CODE_AUDIT.md.</w:t>
      </w:r>
    </w:p>
    <w:p>
      <w:r>
        <w:rPr>
          <w:rFonts w:ascii="Times New Roman" w:hAnsi="Times New Roman" w:eastAsia="Times New Roman"/>
          <w:b w:val="0"/>
          <w:sz w:val="20"/>
        </w:rPr>
        <w:t>- Target labels: no leakage into HVG/PCA/scaling/classifier fit.</w:t>
      </w:r>
    </w:p>
    <w:p>
      <w:r>
        <w:rPr>
          <w:rFonts w:ascii="Times New Roman" w:hAnsi="Times New Roman" w:eastAsia="Times New Roman"/>
          <w:b w:val="0"/>
          <w:sz w:val="20"/>
        </w:rPr>
        <w:t>- Eligible shared classes use target labels only for evaluation-set definition.</w:t>
      </w:r>
    </w:p>
    <w:p>
      <w:r>
        <w:rPr>
          <w:rFonts w:ascii="Times New Roman" w:hAnsi="Times New Roman" w:eastAsia="Times New Roman"/>
          <w:b w:val="0"/>
          <w:sz w:val="20"/>
        </w:rPr>
        <w:t>- Case C confirmed: A ≈ +0.016; B ≈ −0.113.</w:t>
      </w:r>
    </w:p>
    <w:p>
      <w:r>
        <w:rPr>
          <w:rFonts w:ascii="Times New Roman" w:hAnsi="Times New Roman" w:eastAsia="Times New Roman"/>
          <w:b w:val="0"/>
          <w:sz w:val="20"/>
        </w:rPr>
        <w:t>- Target-data matching does change central interpretation (Case C).</w:t>
      </w:r>
    </w:p>
    <w:p>
      <w:r>
        <w:rPr>
          <w:rFonts w:ascii="Times New Roman" w:hAnsi="Times New Roman" w:eastAsia="Times New Roman"/>
          <w:b/>
          <w:color w:val="1B3A5F"/>
          <w:sz w:val="24"/>
        </w:rPr>
        <w:t>Task 17 — Figure audit</w:t>
      </w:r>
    </w:p>
    <w:p>
      <w:r>
        <w:rPr>
          <w:rFonts w:ascii="Times New Roman" w:hAnsi="Times New Roman" w:eastAsia="Times New Roman"/>
          <w:b w:val="0"/>
          <w:sz w:val="16"/>
        </w:rPr>
        <w:t>| Figure | Verdict |</w:t>
      </w:r>
    </w:p>
    <w:p>
      <w:r>
        <w:rPr>
          <w:rFonts w:ascii="Times New Roman" w:hAnsi="Times New Roman" w:eastAsia="Times New Roman"/>
          <w:b w:val="0"/>
          <w:sz w:val="20"/>
        </w:rPr>
        <w:t>|---|---|</w:t>
      </w:r>
    </w:p>
    <w:p>
      <w:r>
        <w:rPr>
          <w:rFonts w:ascii="Times New Roman" w:hAnsi="Times New Roman" w:eastAsia="Times New Roman"/>
          <w:b w:val="0"/>
          <w:sz w:val="16"/>
        </w:rPr>
        <w:t>| 1 | Central logic clear in ~10s |</w:t>
      </w:r>
    </w:p>
    <w:p>
      <w:r>
        <w:rPr>
          <w:rFonts w:ascii="Times New Roman" w:hAnsi="Times New Roman" w:eastAsia="Times New Roman"/>
          <w:b w:val="0"/>
          <w:sz w:val="16"/>
        </w:rPr>
        <w:t>| 2 | Primary trio dominates; secondaries de-emphasized |</w:t>
      </w:r>
    </w:p>
    <w:p>
      <w:r>
        <w:rPr>
          <w:rFonts w:ascii="Times New Roman" w:hAnsi="Times New Roman" w:eastAsia="Times New Roman"/>
          <w:b w:val="0"/>
          <w:sz w:val="16"/>
        </w:rPr>
        <w:t>| 3 | Case C immediately readable after annotation + full y-axis |</w:t>
      </w:r>
    </w:p>
    <w:p>
      <w:r>
        <w:rPr>
          <w:rFonts w:ascii="Times New Roman" w:hAnsi="Times New Roman" w:eastAsia="Times New Roman"/>
          <w:b w:val="0"/>
          <w:sz w:val="16"/>
        </w:rPr>
        <w:t>| 4 | Progressive Direction B narrowing visible |</w:t>
      </w:r>
    </w:p>
    <w:p>
      <w:r>
        <w:rPr>
          <w:rFonts w:ascii="Times New Roman" w:hAnsi="Times New Roman" w:eastAsia="Times New Roman"/>
          <w:b w:val="0"/>
          <w:sz w:val="16"/>
        </w:rPr>
        <w:t>| 5 | Secondary diagnostics; acceptable density |</w:t>
      </w:r>
    </w:p>
    <w:p>
      <w:r>
        <w:rPr>
          <w:rFonts w:ascii="Times New Roman" w:hAnsi="Times New Roman" w:eastAsia="Times New Roman"/>
          <w:b w:val="0"/>
          <w:sz w:val="16"/>
        </w:rPr>
        <w:t>| 6 | 10/10 donor Δ **and** protein/concat &gt; totalVI; protein-gated annotated |</w:t>
      </w:r>
    </w:p>
    <w:p>
      <w:r>
        <w:rPr>
          <w:rFonts w:ascii="Times New Roman" w:hAnsi="Times New Roman" w:eastAsia="Times New Roman"/>
          <w:b/>
          <w:color w:val="1B3A5F"/>
          <w:sz w:val="24"/>
        </w:rPr>
        <w:t>Task 20 — Three reviewer simulations</w:t>
      </w:r>
    </w:p>
    <w:p>
      <w:r>
        <w:rPr>
          <w:rFonts w:ascii="Times New Roman" w:hAnsi="Times New Roman" w:eastAsia="Times New Roman"/>
          <w:b/>
          <w:color w:val="1B3A5F"/>
          <w:sz w:val="22"/>
        </w:rPr>
        <w:t>A. Computational single-cell reviewer</w:t>
      </w:r>
    </w:p>
    <w:p>
      <w:r>
        <w:rPr>
          <w:rFonts w:ascii="Times New Roman" w:hAnsi="Times New Roman" w:eastAsia="Times New Roman"/>
          <w:b w:val="0"/>
          <w:sz w:val="20"/>
        </w:rPr>
        <w:t xml:space="preserve">CRITICAL: None remaining after Case C + Lawlor label–modality wording.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MAJOR: (1) Concat vs scArches still not algorithmically matched — now stated clearly. (2) PBMC / panel scope.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MINOR: Future protein-independent-label cohort.  </w:t>
      </w:r>
    </w:p>
    <w:p>
      <w:r>
        <w:rPr>
          <w:rFonts w:ascii="Times New Roman" w:hAnsi="Times New Roman" w:eastAsia="Times New Roman"/>
          <w:b w:val="0"/>
          <w:sz w:val="20"/>
        </w:rPr>
        <w:t>STRENGTHS: Clear information-vs-model decomposition; honest simple baselines; matched target-feature control.</w:t>
      </w:r>
    </w:p>
    <w:p>
      <w:r>
        <w:rPr>
          <w:rFonts w:ascii="Times New Roman" w:hAnsi="Times New Roman" w:eastAsia="Times New Roman"/>
          <w:b/>
          <w:color w:val="1B3A5F"/>
          <w:sz w:val="22"/>
        </w:rPr>
        <w:t>B. Statistical-methods reviewer</w:t>
      </w:r>
    </w:p>
    <w:p>
      <w:r>
        <w:rPr>
          <w:rFonts w:ascii="Times New Roman" w:hAnsi="Times New Roman" w:eastAsia="Times New Roman"/>
          <w:b w:val="0"/>
          <w:sz w:val="20"/>
        </w:rPr>
        <w:t xml:space="preserve">CRITICAL: None. \(G_{\mathrm{info}}/G_{\mathrm{model}}\) and ~70% explicitly descriptive/non-causal.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MAJOR: Internal bootstrap remains cell-level conditional (stated). Donor n=10 primary for Lawlor.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MINOR: Notation mixed between unicode and LaTeX in MD→DOCX conversion.  </w:t>
      </w:r>
    </w:p>
    <w:p>
      <w:r>
        <w:rPr>
          <w:rFonts w:ascii="Times New Roman" w:hAnsi="Times New Roman" w:eastAsia="Times New Roman"/>
          <w:b w:val="0"/>
          <w:sz w:val="20"/>
        </w:rPr>
        <w:t>STRENGTHS: Case C direction dependence reported without soft-pedaling; variance residual correctly named.</w:t>
      </w:r>
    </w:p>
    <w:p>
      <w:r>
        <w:rPr>
          <w:rFonts w:ascii="Times New Roman" w:hAnsi="Times New Roman" w:eastAsia="Times New Roman"/>
          <w:b/>
          <w:color w:val="1B3A5F"/>
          <w:sz w:val="22"/>
        </w:rPr>
        <w:t>C. Graduate admissions faculty reader</w:t>
      </w:r>
    </w:p>
    <w:p>
      <w:r>
        <w:rPr>
          <w:rFonts w:ascii="Times New Roman" w:hAnsi="Times New Roman" w:eastAsia="Times New Roman"/>
          <w:b w:val="0"/>
          <w:sz w:val="20"/>
        </w:rPr>
        <w:t xml:space="preserve">CRITICAL: None for application use.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MAJOR: Document remains unpublished research manuscript (appropriate).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MINOR: Word layout is professional single-column A4 (prior package convention; two-column journal typesetting not forced).  </w:t>
      </w:r>
    </w:p>
    <w:p>
      <w:r>
        <w:rPr>
          <w:rFonts w:ascii="Times New Roman" w:hAnsi="Times New Roman" w:eastAsia="Times New Roman"/>
          <w:b w:val="0"/>
          <w:sz w:val="20"/>
        </w:rPr>
        <w:t>STRENGTHS: 3-minute takeaway matches intended scientific identity; intellectual honesty about Lawlor.</w:t>
      </w:r>
    </w:p>
    <w:p>
      <w:r>
        <w:rPr>
          <w:rFonts w:ascii="Times New Roman" w:hAnsi="Times New Roman" w:eastAsia="Times New Roman"/>
          <w:b/>
          <w:color w:val="1B3A5F"/>
          <w:sz w:val="24"/>
        </w:rPr>
        <w:t>Fixes applied (material rewrites)</w:t>
      </w:r>
    </w:p>
    <w:p>
      <w:r>
        <w:rPr>
          <w:rFonts w:ascii="Times New Roman" w:hAnsi="Times New Roman" w:eastAsia="Times New Roman"/>
          <w:b w:val="0"/>
          <w:sz w:val="20"/>
        </w:rPr>
        <w:t xml:space="preserve">1. Abstract Conclusions + Case C / degradation / Lawlor emphasis.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2. Transfer Results: explicit A/B number pattern; non-uniform benefit of unlabeled target access.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3. Degradation Results: narrowed-advantage framing; Dir B vs clean scVI.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4. Uncertainty Results: classifier predictive vs latent posterior variance; anti-“improved.”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5. Stochasticity: linked to \(G_{\mathrm{model}}\) interpretation.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6. Lawlor Results: required protein-marker / label–modality alignment paragraph.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7. Discussion ¶1 + non-causal model-specific language; expanded limitations.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8. Methods: equations for \(G_{\mathrm{info}}/G_{\mathrm{model}}\); fairness audit paragraph; uncertainty notation.  </w:t>
      </w:r>
    </w:p>
    <w:p>
      <w:r>
        <w:rPr>
          <w:rFonts w:ascii="Times New Roman" w:hAnsi="Times New Roman" w:eastAsia="Times New Roman"/>
          <w:b w:val="0"/>
          <w:sz w:val="20"/>
        </w:rPr>
        <w:t>9. Figure 3 regenerated with Case C callouts and non-truncatedating y-axis.</w:t>
      </w:r>
    </w:p>
    <w:p>
      <w:r>
        <w:rPr>
          <w:rFonts w:ascii="Times New Roman" w:hAnsi="Times New Roman" w:eastAsia="Times New Roman"/>
          <w:b/>
          <w:color w:val="1B3A5F"/>
          <w:sz w:val="24"/>
        </w:rPr>
        <w:t>Final report answers (1–22)</w:t>
      </w:r>
    </w:p>
    <w:p>
      <w:r>
        <w:rPr>
          <w:rFonts w:ascii="Times New Roman" w:hAnsi="Times New Roman" w:eastAsia="Times New Roman"/>
          <w:b w:val="0"/>
          <w:sz w:val="20"/>
        </w:rPr>
        <w:t xml:space="preserve">1. Old “totalVI &gt; scVI” narrative remaining? No as a general claim. Direction B / Lawlor contrasts remain as scoped evidence.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2. Exact sentences materially rewritten: Abstract Conclusions; Result 1 secondary ranking; entire Result 2 transfer block; Result 3 heading+interpretation; Result 4 uncertainty block; Result 5 stochasticity open; Result 7 Lawlor block; Discussion ¶1–limitations; Methods G/transfer/uncertainty; Fig 3–4 legends.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3. Abstract distinguishes information vs model? YES.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4. ~70% marked descriptive? YES (“without causal attribution”).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5. Model-specific gain non-causal/descriptive? YES (Methods + Discussion required sentence).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6. Transfer Case C clearly stated? YES.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7. Source-only and transductive concat both reported? YES.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8. Figure 3 communicates Case C? YES (after revision).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9. Target-label leakage? NONE into fitting; eval-set definition only.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10. Target-data matching changes interpretation? YES (Case C).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11. Degradation framed as narrowing model advantage? YES.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12. Uncertainty subordinated? YES.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13. Stochasticity linked to small effects? YES.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14. Lawlor protein-gated prominent? YES (Results, not only Limitations).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15. Protein PCA / concat &gt; totalVI visible? YES (text + Figure 6).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16. 10 donors as biological units? YES.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17. Universal architecture-superiority claims? NONE remaining.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18. Remaining CRITICAL? None.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19. Remaining MAJOR? Scope limits (PBMC-only; protein-gated Lawlor; concat≠scArches algorithmically) — already stated, not writing defects.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20. New experiment required? NO.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21. Ready as graduate-application research manuscript? YES, pending human review of the audited DOCX.  </w:t>
      </w:r>
    </w:p>
    <w:p>
      <w:r>
        <w:rPr>
          <w:rFonts w:ascii="Times New Roman" w:hAnsi="Times New Roman" w:eastAsia="Times New Roman"/>
          <w:b w:val="0"/>
          <w:sz w:val="20"/>
        </w:rPr>
        <w:t>22. Final DOCX path: results/final_information_vs_model_manuscript/manuscript/CITEseq_Information_vs_Model_Reliability_Research_Manuscript.docx</w:t>
      </w:r>
    </w:p>
    <w:p>
      <w:r>
        <w:rPr>
          <w:rFonts w:ascii="Times New Roman" w:hAnsi="Times New Roman" w:eastAsia="Times New Roman"/>
          <w:b/>
          <w:color w:val="1B3A5F"/>
          <w:sz w:val="24"/>
        </w:rPr>
        <w:t>STOP</w:t>
      </w:r>
    </w:p>
    <w:p>
      <w:r>
        <w:rPr>
          <w:rFonts w:ascii="Times New Roman" w:hAnsi="Times New Roman" w:eastAsia="Times New Roman"/>
          <w:b w:val="0"/>
          <w:sz w:val="20"/>
        </w:rPr>
        <w:t xml:space="preserve">No experiments · no new external cohort · no model training · no commit · no push · no journal submission.  </w:t>
      </w:r>
    </w:p>
    <w:p>
      <w:r>
        <w:rPr>
          <w:rFonts w:ascii="Times New Roman" w:hAnsi="Times New Roman" w:eastAsia="Times New Roman"/>
          <w:b w:val="0"/>
          <w:sz w:val="20"/>
        </w:rPr>
        <w:t>Awaiting human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