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Final Scientific Audit — Information vs Model Reframe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1. Single-cell computational biology reviewer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CRITICAL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None after information-vs-model reframe and matched transfer Case C disclosure.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MAJOR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Matched control equals target-feature access only; not algorithmically identical to scArches (stated).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Lawlor protein-gated labels favor protein PCA/concat; stated in Results not only Discussion.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PBMC-only scope and limited panels constrain generality.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MINOR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Future protein-independent-label external cohort noted as optional future work.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2. Statistical-methods reviewer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CRITICAL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None: G_info/G_model labeled descriptive; 70% not causal; donor n=10 primary for Lawlor.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MAJOR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19/20 restricted to PBMC Direction B; 38/50 is computational fold×seed consistency.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Case C direction dependence correctly interpreted as context-dependent residual advantage.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MINOR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Internal bootstrap remains cell-level conditional.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3. Application / research-reader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CRITICAL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None: central question is clear; no universal architecture superiority claim.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MAJOR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Title and abstract lead with information vs model distinction.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0"/>
        </w:rPr>
        <w:t>MINOR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Word layout is professional single-column A4 for stability (prior package convention).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