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 w:eastAsia="Times New Roman"/>
          <w:b/>
          <w:color w:val="1B3A5F"/>
          <w:sz w:val="28"/>
        </w:rPr>
        <w:t>Matched Transfer Code Audit</w:t>
      </w:r>
    </w:p>
    <w:p>
      <w:r>
        <w:rPr>
          <w:rFonts w:ascii="Times New Roman" w:hAnsi="Times New Roman" w:eastAsia="Times New Roman"/>
          <w:b w:val="0"/>
          <w:sz w:val="20"/>
        </w:rPr>
        <w:t xml:space="preserve">Script: results/revision_round3_information_vs_model/transfer_control/scripts/revision3_matched_concat_transfer.py  </w:t>
      </w:r>
    </w:p>
    <w:p>
      <w:r>
        <w:rPr>
          <w:rFonts w:ascii="Times New Roman" w:hAnsi="Times New Roman" w:eastAsia="Times New Roman"/>
          <w:b w:val="0"/>
          <w:sz w:val="20"/>
        </w:rPr>
        <w:t xml:space="preserve">Table: results/revision_round3_information_vs_model/transfer_control/tables/matched_transfer_control.csv  </w:t>
      </w:r>
    </w:p>
    <w:p>
      <w:r>
        <w:rPr>
          <w:rFonts w:ascii="Times New Roman" w:hAnsi="Times New Roman" w:eastAsia="Times New Roman"/>
          <w:b w:val="0"/>
          <w:sz w:val="20"/>
        </w:rPr>
        <w:t xml:space="preserve">Audit date: 2026-09-23  </w:t>
      </w:r>
    </w:p>
    <w:p>
      <w:r>
        <w:rPr>
          <w:rFonts w:ascii="Times New Roman" w:hAnsi="Times New Roman" w:eastAsia="Times New Roman"/>
          <w:b w:val="0"/>
          <w:sz w:val="20"/>
        </w:rPr>
        <w:t>Scope: Code inspection only (no retrain / no new experiment).</w:t>
      </w:r>
    </w:p>
    <w:p>
      <w:r>
        <w:rPr>
          <w:rFonts w:ascii="Times New Roman" w:hAnsi="Times New Roman" w:eastAsia="Times New Roman"/>
          <w:b/>
          <w:color w:val="1B3A5F"/>
          <w:sz w:val="24"/>
        </w:rPr>
        <w:t>Frozen numbers (verified from CSV)</w:t>
      </w:r>
    </w:p>
    <w:p>
      <w:r>
        <w:rPr>
          <w:rFonts w:ascii="Times New Roman" w:hAnsi="Times New Roman" w:eastAsia="Times New Roman"/>
          <w:b w:val="0"/>
          <w:sz w:val="16"/>
        </w:rPr>
        <w:t>| Direction | Inductive concat | Transductive concat | scVI (scArches) | totalVI (scArches) | totalVI − concat_trans |</w:t>
      </w:r>
    </w:p>
    <w:p>
      <w:r>
        <w:rPr>
          <w:rFonts w:ascii="Times New Roman" w:hAnsi="Times New Roman" w:eastAsia="Times New Roman"/>
          <w:b w:val="0"/>
          <w:sz w:val="20"/>
        </w:rPr>
        <w:t>|---|---:|---:|---:|---:|---:|</w:t>
      </w:r>
    </w:p>
    <w:p>
      <w:r>
        <w:rPr>
          <w:rFonts w:ascii="Times New Roman" w:hAnsi="Times New Roman" w:eastAsia="Times New Roman"/>
          <w:b w:val="0"/>
          <w:sz w:val="16"/>
        </w:rPr>
        <w:t>| A | 0.735 | 0.636 | 0.656 | 0.652 | ≈ +0.016 |</w:t>
      </w:r>
    </w:p>
    <w:p>
      <w:r>
        <w:rPr>
          <w:rFonts w:ascii="Times New Roman" w:hAnsi="Times New Roman" w:eastAsia="Times New Roman"/>
          <w:b w:val="0"/>
          <w:sz w:val="16"/>
        </w:rPr>
        <w:t>| B | 0.734 | 0.767 | 0.601 | 0.654 | ≈ −0.113 |</w:t>
      </w:r>
    </w:p>
    <w:p>
      <w:r>
        <w:rPr>
          <w:rFonts w:ascii="Times New Roman" w:hAnsi="Times New Roman" w:eastAsia="Times New Roman"/>
          <w:b w:val="0"/>
          <w:sz w:val="20"/>
        </w:rPr>
        <w:t>Exact CSV values: inductive 0.734952 / 0.733927; transductive 0.636313 / 0.767041; totalVI 0.652383 / 0.653966.</w:t>
      </w:r>
    </w:p>
    <w:p>
      <w:r>
        <w:rPr>
          <w:rFonts w:ascii="Times New Roman" w:hAnsi="Times New Roman" w:eastAsia="Times New Roman"/>
          <w:b/>
          <w:color w:val="1B3A5F"/>
          <w:sz w:val="24"/>
        </w:rPr>
        <w:t>Direction / modality integrity</w:t>
      </w:r>
    </w:p>
    <w:p>
      <w:r>
        <w:rPr>
          <w:rFonts w:ascii="Times New Roman" w:hAnsi="Times New Roman" w:eastAsia="Times New Roman"/>
          <w:b w:val="0"/>
          <w:sz w:val="20"/>
        </w:rPr>
        <w:t>- Direction A: source=PBMC10k, target=PBMC5k.</w:t>
      </w:r>
    </w:p>
    <w:p>
      <w:r>
        <w:rPr>
          <w:rFonts w:ascii="Times New Roman" w:hAnsi="Times New Roman" w:eastAsia="Times New Roman"/>
          <w:b w:val="0"/>
          <w:sz w:val="20"/>
        </w:rPr>
        <w:t>- Direction B: source=PBMC5k, target=PBMC10k.</w:t>
      </w:r>
    </w:p>
    <w:p>
      <w:r>
        <w:rPr>
          <w:rFonts w:ascii="Times New Roman" w:hAnsi="Times New Roman" w:eastAsia="Times New Roman"/>
          <w:b w:val="0"/>
          <w:sz w:val="20"/>
        </w:rPr>
        <w:t>- Primary concat dimensionality: 10 RNA PCs + 10 protein PCs = 20.</w:t>
      </w:r>
    </w:p>
    <w:p>
      <w:r>
        <w:rPr>
          <w:rFonts w:ascii="Times New Roman" w:hAnsi="Times New Roman" w:eastAsia="Times New Roman"/>
          <w:b w:val="0"/>
          <w:sz w:val="20"/>
        </w:rPr>
        <w:t>- Shared gene/protein ordering inherited from combined AnnData inner join.</w:t>
      </w:r>
    </w:p>
    <w:p>
      <w:r>
        <w:rPr>
          <w:rFonts w:ascii="Times New Roman" w:hAnsi="Times New Roman" w:eastAsia="Times New Roman"/>
          <w:b/>
          <w:color w:val="1B3A5F"/>
          <w:sz w:val="24"/>
        </w:rPr>
        <w:t>Target-label access audit</w:t>
      </w:r>
    </w:p>
    <w:p>
      <w:r>
        <w:rPr>
          <w:rFonts w:ascii="Times New Roman" w:hAnsi="Times New Roman" w:eastAsia="Times New Roman"/>
          <w:b/>
          <w:color w:val="1B3A5F"/>
          <w:sz w:val="22"/>
        </w:rPr>
        <w:t>Unsupervised feature fitting (transductive concat)</w:t>
      </w:r>
    </w:p>
    <w:p>
      <w:r>
        <w:rPr>
          <w:rFonts w:ascii="Times New Roman" w:hAnsi="Times New Roman" w:eastAsia="Times New Roman"/>
          <w:b w:val="0"/>
          <w:sz w:val="16"/>
        </w:rPr>
        <w:t>| Step | Uses target features? | Uses target labels? |</w:t>
      </w:r>
    </w:p>
    <w:p>
      <w:r>
        <w:rPr>
          <w:rFonts w:ascii="Times New Roman" w:hAnsi="Times New Roman" w:eastAsia="Times New Roman"/>
          <w:b w:val="0"/>
          <w:sz w:val="20"/>
        </w:rPr>
        <w:t>|---|---|---|</w:t>
      </w:r>
    </w:p>
    <w:p>
      <w:r>
        <w:rPr>
          <w:rFonts w:ascii="Times New Roman" w:hAnsi="Times New Roman" w:eastAsia="Times New Roman"/>
          <w:b w:val="0"/>
          <w:sz w:val="16"/>
        </w:rPr>
        <w:t>| Joint AnnData concat | Yes (unlabeled features) | No |</w:t>
      </w:r>
    </w:p>
    <w:p>
      <w:r>
        <w:rPr>
          <w:rFonts w:ascii="Times New Roman" w:hAnsi="Times New Roman" w:eastAsia="Times New Roman"/>
          <w:b w:val="0"/>
          <w:sz w:val="16"/>
        </w:rPr>
        <w:t>| RNA HVG / normalize / scale / PCA (`fit_rna_pca(joint, joint)`) | Yes | No |</w:t>
      </w:r>
    </w:p>
    <w:p>
      <w:r>
        <w:rPr>
          <w:rFonts w:ascii="Times New Roman" w:hAnsi="Times New Roman" w:eastAsia="Times New Roman"/>
          <w:b w:val="0"/>
          <w:sz w:val="16"/>
        </w:rPr>
        <w:t>| Protein CLR / z-score / PCA (`fit_protein_pca(joint, joint)`) | Yes | No |</w:t>
      </w:r>
    </w:p>
    <w:p>
      <w:r>
        <w:rPr>
          <w:rFonts w:ascii="Times New Roman" w:hAnsi="Times New Roman" w:eastAsia="Times New Roman"/>
          <w:b w:val="0"/>
          <w:sz w:val="16"/>
        </w:rPr>
        <w:t>| Final concat `StandardScaler.fit(X_joint)` | Yes | No |</w:t>
      </w:r>
    </w:p>
    <w:p>
      <w:r>
        <w:rPr>
          <w:rFonts w:ascii="Times New Roman" w:hAnsi="Times New Roman" w:eastAsia="Times New Roman"/>
          <w:b w:val="0"/>
          <w:sz w:val="16"/>
        </w:rPr>
        <w:t>| LogisticRegression training | Source latents only | **Source labels only** |</w:t>
      </w:r>
    </w:p>
    <w:p>
      <w:r>
        <w:rPr>
          <w:rFonts w:ascii="Times New Roman" w:hAnsi="Times New Roman" w:eastAsia="Times New Roman"/>
          <w:b w:val="0"/>
          <w:sz w:val="16"/>
        </w:rPr>
        <w:t>| Final scoring | Target latents | **Target labels only at eval** |</w:t>
      </w:r>
    </w:p>
    <w:p>
      <w:r>
        <w:rPr>
          <w:rFonts w:ascii="Times New Roman" w:hAnsi="Times New Roman" w:eastAsia="Times New Roman"/>
          <w:b w:val="0"/>
          <w:sz w:val="20"/>
        </w:rPr>
        <w:t>Inductive concat: HVG/PCA/scaling fit on source only; target transformed; classifier on source labels; target labels only at eval.</w:t>
      </w:r>
    </w:p>
    <w:p>
      <w:r>
        <w:rPr>
          <w:rFonts w:ascii="Times New Roman" w:hAnsi="Times New Roman" w:eastAsia="Times New Roman"/>
          <w:b/>
          <w:color w:val="1B3A5F"/>
          <w:sz w:val="22"/>
        </w:rPr>
        <w:t>Evaluation-set definition (not feature supervision)</w:t>
      </w:r>
    </w:p>
    <w:p>
      <w:r>
        <w:rPr>
          <w:rFonts w:ascii="Times New Roman" w:hAnsi="Times New Roman" w:eastAsia="Times New Roman"/>
          <w:b w:val="0"/>
          <w:sz w:val="20"/>
        </w:rPr>
        <w:t>transfer_class_plan uses source and target cell_type_l2 / annotation_tier_l2 solely to define eligible shared high-confidence classes and evaluation indices (min counts). This is standard transfer scoring-set construction. It does not enter HVG, PCA, scaling, component selection, classifier fitting, or hyperparameter selection.</w:t>
      </w:r>
    </w:p>
    <w:p>
      <w:r>
        <w:rPr>
          <w:rFonts w:ascii="Times New Roman" w:hAnsi="Times New Roman" w:eastAsia="Times New Roman"/>
          <w:b w:val="0"/>
          <w:sz w:val="20"/>
        </w:rPr>
        <w:t>Verdict: No target-label leakage into unsupervised feature transforms or classifier training. Target labels used only for evaluation-set definition and final scoring.</w:t>
      </w:r>
    </w:p>
    <w:p>
      <w:r>
        <w:rPr>
          <w:rFonts w:ascii="Times New Roman" w:hAnsi="Times New Roman" w:eastAsia="Times New Roman"/>
          <w:b/>
          <w:color w:val="1B3A5F"/>
          <w:sz w:val="24"/>
        </w:rPr>
        <w:t>Algorithmic matching caveat</w:t>
      </w:r>
    </w:p>
    <w:p>
      <w:r>
        <w:rPr>
          <w:rFonts w:ascii="Times New Roman" w:hAnsi="Times New Roman" w:eastAsia="Times New Roman"/>
          <w:b w:val="0"/>
          <w:sz w:val="20"/>
        </w:rPr>
        <w:t>- Transductive concat = joint unsupervised PCA/scaling on source + unlabeled target.</w:t>
      </w:r>
    </w:p>
    <w:p>
      <w:r>
        <w:rPr>
          <w:rFonts w:ascii="Times New Roman" w:hAnsi="Times New Roman" w:eastAsia="Times New Roman"/>
          <w:b w:val="0"/>
          <w:sz w:val="20"/>
        </w:rPr>
        <w:t>- scVI/totalVI = frozen PHASE11B scArches unsupervised query adaptation (20 seeds; not recomputed).</w:t>
      </w:r>
    </w:p>
    <w:p>
      <w:r>
        <w:rPr>
          <w:rFonts w:ascii="Times New Roman" w:hAnsi="Times New Roman" w:eastAsia="Times New Roman"/>
          <w:b w:val="0"/>
          <w:sz w:val="20"/>
        </w:rPr>
        <w:t>- Therefore: target-data-access matched, not a fully matched architecture comparison.</w:t>
      </w:r>
    </w:p>
    <w:p>
      <w:r>
        <w:rPr>
          <w:rFonts w:ascii="Times New Roman" w:hAnsi="Times New Roman" w:eastAsia="Times New Roman"/>
          <w:b/>
          <w:color w:val="1B3A5F"/>
          <w:sz w:val="24"/>
        </w:rPr>
        <w:t>Integrity artifacts</w:t>
      </w:r>
    </w:p>
    <w:p>
      <w:r>
        <w:rPr>
          <w:rFonts w:ascii="Times New Roman" w:hAnsi="Times New Roman" w:eastAsia="Times New Roman"/>
          <w:b w:val="0"/>
          <w:sz w:val="20"/>
        </w:rPr>
        <w:t>- logs/matched_transfer_integrity.json records target_labels_used_before_eval: False.</w:t>
      </w:r>
    </w:p>
    <w:p>
      <w:r>
        <w:rPr>
          <w:rFonts w:ascii="Times New Roman" w:hAnsi="Times New Roman" w:eastAsia="Times New Roman"/>
          <w:b w:val="0"/>
          <w:sz w:val="20"/>
        </w:rPr>
        <w:t>- logs/matched_transfer_control_design.md documents the design.</w:t>
      </w:r>
    </w:p>
    <w:p>
      <w:r>
        <w:rPr>
          <w:rFonts w:ascii="Times New Roman" w:hAnsi="Times New Roman" w:eastAsia="Times New Roman"/>
          <w:b w:val="0"/>
          <w:sz w:val="20"/>
        </w:rPr>
        <w:t>- Done marker: done/MATCHED_TRANSFER_CONTROL_DONE.json.</w:t>
      </w:r>
    </w:p>
    <w:p>
      <w:r>
        <w:rPr>
          <w:rFonts w:ascii="Times New Roman" w:hAnsi="Times New Roman" w:eastAsia="Times New Roman"/>
          <w:b/>
          <w:color w:val="1B3A5F"/>
          <w:sz w:val="24"/>
        </w:rPr>
        <w:t>Conclusion</w:t>
      </w:r>
    </w:p>
    <w:p>
      <w:r>
        <w:rPr>
          <w:rFonts w:ascii="Times New Roman" w:hAnsi="Times New Roman" w:eastAsia="Times New Roman"/>
          <w:b w:val="0"/>
          <w:sz w:val="20"/>
        </w:rPr>
        <w:t>PASS. Numbers match frozen Case C. No accidental label access into representation fitting or classifier training.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