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8"/>
        </w:rPr>
        <w:t>Supplementary Information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2"/>
        </w:rPr>
        <w:t>Disentangling protein-information gain and model-specific reliability in CITE-seq representation learning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Jizhu Yang — Unpublished research manuscript — September 2026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2"/>
        </w:rPr>
        <w:t>S1. Information-gain and model-specific contrasts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G_info = F1_concat − F1_RNA_PCA = +0.079; G_model = F1_totalVI − F1_concat = +0.034. Descriptive contrasts only; not causal variance components.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2"/>
        </w:rPr>
        <w:t>S2. Target-data-access-matched transfer control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Canonical: results/revision_round3_information_vs_model/transfer_control/tables/matched_transfer_control.csv. Inductive concat A/B ≈ 0.735/0.734; transductive concat A/B ≈ 0.636/0.767. Target labels withheld until final evaluation.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2"/>
        </w:rPr>
        <w:t>S3. Complete reliability metrics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results/revision_round2_methodological_fixes/calibration/full_reliability_metrics.csv and lawlor_reliability_summary_by_model.csv (NLL, Brier, ECE, AURC, pAURC, E-AURC).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2"/>
        </w:rPr>
        <w:t>S4. Per-class and degradation tables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controls/tables/; test_time_corruption/tables/test_time_corruption_per_class.csv; training_vs_testtime_corruption.csv.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2"/>
        </w:rPr>
        <w:t>S5. Donor-level Lawlor tables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statistics/lawlor_donor_delta.csv; primary biological unit = donor (n=10). Protein-gated author labels. Protein PCA ≈ 0.927; concat ≈ 0.945.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2"/>
        </w:rPr>
        <w:t>S6. Fold×seed latent consistency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38/50 matched fold×seed pairs favor totalVI over scVI (computational, not biological n).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2"/>
        </w:rPr>
        <w:t>S7. Variance-component details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statistics/variance_components_corrected.csv and delta_variance_components_corrected.csv (MoM EMS).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2"/>
        </w:rPr>
        <w:t>S8. Label-provenance audit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controls/logs/original_label_provenance_audit.md — n=9494, agreement=1.0.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2"/>
        </w:rPr>
        <w:t>S9. Clean-baseline and freeze integrity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clean_baseline_vs_phase10.csv; model param_hash audits from Part C.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2"/>
        </w:rPr>
        <w:t>S10. Historical PHASE 6–14 artifacts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Frozen; not overwritten by this revision.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