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0" w:after="160" w:line="240" w:lineRule="auto"/>
        <w:ind w:firstLine="0"/>
        <w:jc w:val="center"/>
      </w:pPr>
      <w:r>
        <w:rPr>
          <w:rFonts w:ascii="Times New Roman" w:hAnsi="Times New Roman" w:eastAsia="Times New Roman"/>
          <w:b/>
          <w:i w:val="0"/>
          <w:color w:val="1B3A5F"/>
          <w:sz w:val="32"/>
        </w:rPr>
        <w:t>Evaluating protein-access and model-associated gains in CITE-seq representation learning under distribution shift</w:t>
      </w:r>
    </w:p>
    <w:p>
      <w:pPr>
        <w:spacing w:before="0" w:after="40" w:line="240" w:lineRule="auto"/>
        <w:ind w:firstLine="0"/>
        <w:jc w:val="center"/>
      </w:pPr>
      <w:r>
        <w:rPr>
          <w:rFonts w:ascii="Times New Roman" w:hAnsi="Times New Roman" w:eastAsia="Times New Roman"/>
          <w:b/>
          <w:i w:val="0"/>
          <w:sz w:val="22"/>
        </w:rPr>
        <w:t>Jizhu Yang Research Manuscript | Unpublished manuscript | September 2026</w:t>
      </w:r>
    </w:p>
    <w:p>
      <w:pPr>
        <w:spacing w:before="0" w:after="160" w:line="240" w:lineRule="auto"/>
        <w:ind w:firstLine="0"/>
        <w:jc w:val="left"/>
      </w:pPr>
      <w:r>
        <w:rPr>
          <w:rFonts w:ascii="Times New Roman" w:hAnsi="Times New Roman" w:eastAsia="Times New Roman"/>
          <w:b/>
          <w:i w:val="0"/>
          <w:color w:val="1B3A5F"/>
          <w:sz w:val="24"/>
        </w:rPr>
        <w:t>Abstract</w:t>
      </w:r>
    </w:p>
    <w:p>
      <w:pPr>
        <w:spacing w:before="0" w:after="120" w:line="240" w:lineRule="auto"/>
        <w:ind w:firstLine="0"/>
        <w:jc w:val="both"/>
      </w:pPr>
      <w:r>
        <w:rPr>
          <w:rFonts w:ascii="Times New Roman" w:hAnsi="Times New Roman" w:eastAsia="Times New Roman"/>
          <w:b/>
          <w:i w:val="0"/>
          <w:color w:val="1B3A5F"/>
          <w:sz w:val="20"/>
        </w:rPr>
        <w:t>Background:</w:t>
      </w:r>
      <w:r>
        <w:rPr>
          <w:rFonts w:ascii="Times New Roman" w:hAnsi="Times New Roman" w:eastAsia="Times New Roman"/>
          <w:b w:val="0"/>
          <w:i w:val="0"/>
          <w:sz w:val="20"/>
        </w:rPr>
        <w:t xml:space="preserve"> CITE-seq representation learning can improve cell-type prediction, but gains may reflect access to paired surface proteins rather than a more complex multimodal representation. We quantified protein-access gain and the residual totalVI-associated contrast using simple RNA-protein controls and stress-tested that residual under distribution shift. </w:t>
      </w:r>
      <w:r>
        <w:rPr>
          <w:rFonts w:ascii="Times New Roman" w:hAnsi="Times New Roman" w:eastAsia="Times New Roman"/>
          <w:b/>
          <w:i w:val="0"/>
          <w:color w:val="1B3A5F"/>
          <w:sz w:val="20"/>
        </w:rPr>
        <w:t>Results:</w:t>
      </w:r>
      <w:r>
        <w:rPr>
          <w:rFonts w:ascii="Times New Roman" w:hAnsi="Times New Roman" w:eastAsia="Times New Roman"/>
          <w:b w:val="0"/>
          <w:i w:val="0"/>
          <w:sz w:val="20"/>
        </w:rPr>
        <w:t xml:space="preserve"> In a 9,494-cell development cohort, RNA PCA, concat PCA, and totalVI reached macro-F1 0.666, 0.745, and 0.779. Protein-access gain was G_access=+0.079 [cell-level conditional paired-bootstrap 95% interval 0.043-0.132]. The residual totalVI-associated contrast was G_assoc=+0.034 [-0.012-0.073]; this interval crossed zero. The RNA-to-totalVI gap was +0.113 [0.084-0.154], and simple concatenation recovered approximately 70% of that gap descriptively [0.40-1.11]. Under transfer, inductive concat remained strong (0.735/0.734); feature-access-matched transductive concat reached 0.636 and 0.767, with totalVI about +0.016 and -0.113 relative to that feature-access control. Protein degradation narrowed the residual advantage, and training stochasticity limited precision for small contrasts. Across 10 Lawlor donors, totalVI exceeded scVI_matched (mean paired Δ=+0.090; 10/10; donor means 0.794 vs 0.884), while protein PCA and concat were stronger under protein-gated labels. </w:t>
      </w:r>
      <w:r>
        <w:rPr>
          <w:rFonts w:ascii="Times New Roman" w:hAnsi="Times New Roman" w:eastAsia="Times New Roman"/>
          <w:b/>
          <w:i w:val="0"/>
          <w:color w:val="1B3A5F"/>
          <w:sz w:val="20"/>
        </w:rPr>
        <w:t>Conclusions:</w:t>
      </w:r>
      <w:r>
        <w:rPr>
          <w:rFonts w:ascii="Times New Roman" w:hAnsi="Times New Roman" w:eastAsia="Times New Roman"/>
          <w:b w:val="0"/>
          <w:i w:val="0"/>
          <w:sz w:val="20"/>
        </w:rPr>
        <w:t xml:space="preserve"> Protein-access gain was strong and reproducible; residual totalVI-associated advantage was smaller and context-dependent.</w:t>
      </w:r>
    </w:p>
    <w:p>
      <w:pPr>
        <w:spacing w:before="0" w:after="160" w:line="240" w:lineRule="auto"/>
        <w:ind w:firstLine="0"/>
        <w:jc w:val="left"/>
      </w:pPr>
      <w:r>
        <w:rPr>
          <w:rFonts w:ascii="Times New Roman" w:hAnsi="Times New Roman" w:eastAsia="Times New Roman"/>
          <w:b/>
          <w:i w:val="0"/>
          <w:color w:val="1B3A5F"/>
          <w:sz w:val="24"/>
        </w:rPr>
        <w:t>Background</w:t>
      </w:r>
    </w:p>
    <w:p>
      <w:pPr>
        <w:spacing w:before="0" w:after="120" w:line="240" w:lineRule="auto"/>
        <w:ind w:firstLine="0"/>
        <w:jc w:val="both"/>
      </w:pPr>
      <w:r>
        <w:rPr>
          <w:rFonts w:ascii="Times New Roman" w:hAnsi="Times New Roman" w:eastAsia="Times New Roman"/>
          <w:b w:val="0"/>
          <w:i w:val="0"/>
          <w:sz w:val="20"/>
        </w:rPr>
        <w:t>CITE-seq jointly measures transcriptomes and antibody-derived surface proteins in the same single cells [1]. This paired design is valuable for immune profiling because cell identities and activation states often depend on both transcriptional programs and surface-marker phenotypes. It also creates an interpretation problem: an improved representation may benefit from access to protein measurements, from the modeling procedure, or from an interaction between the two.</w:t>
      </w:r>
    </w:p>
    <w:p>
      <w:pPr>
        <w:spacing w:before="0" w:after="120" w:line="240" w:lineRule="auto"/>
        <w:ind w:firstLine="0"/>
        <w:jc w:val="both"/>
      </w:pPr>
      <w:r>
        <w:rPr>
          <w:rFonts w:ascii="Times New Roman" w:hAnsi="Times New Roman" w:eastAsia="Times New Roman"/>
          <w:b w:val="0"/>
          <w:i w:val="0"/>
          <w:sz w:val="20"/>
        </w:rPr>
        <w:t>Deep generative methods are now widely used for single-cell representation learning. scVI provides an RNA-only variational representation [2], while totalVI extends this framework to paired RNA and protein measurements [3]. Other multimodal approaches, including MOFA+, MultiVI, Cobolt, scMaui, weakly supervised multimodal generative modeling, atlas integration, scArches, and WNN-style analysis, have expanded the range of available strategies for paired or partially paired single-cell data [4-10,14].</w:t>
      </w:r>
    </w:p>
    <w:p>
      <w:pPr>
        <w:spacing w:before="0" w:after="120" w:line="240" w:lineRule="auto"/>
        <w:ind w:firstLine="0"/>
        <w:jc w:val="both"/>
      </w:pPr>
      <w:r>
        <w:rPr>
          <w:rFonts w:ascii="Times New Roman" w:hAnsi="Times New Roman" w:eastAsia="Times New Roman"/>
          <w:b w:val="0"/>
          <w:i w:val="0"/>
          <w:sz w:val="20"/>
        </w:rPr>
        <w:t>A central practical question is whether a complex multimodal representation adds value beyond a simple representation that has access to the same broad feature types. Comparing totalVI only with an RNA-only model can answer whether a particular multimodal workflow performs better than a particular RNA-only workflow, but it does not show how much of the improvement is already obtained by adding paired protein features to a simple baseline. A concatenated RNA-protein PCA control therefore provides an important reference point.</w:t>
      </w:r>
    </w:p>
    <w:p>
      <w:pPr>
        <w:spacing w:before="0" w:after="120" w:line="240" w:lineRule="auto"/>
        <w:ind w:firstLine="0"/>
        <w:jc w:val="both"/>
      </w:pPr>
      <w:r>
        <w:rPr>
          <w:rFonts w:ascii="Times New Roman" w:hAnsi="Times New Roman" w:eastAsia="Times New Roman"/>
          <w:b w:val="0"/>
          <w:i w:val="0"/>
          <w:sz w:val="20"/>
        </w:rPr>
        <w:t>This distinction matters under distribution shift. scArches query adaptation uses unlabeled target features during adaptation [10], whereas a source-only PCA baseline can be applied inductively without fitting on target features. A fairer transfer stress test should include a feature-access-matched transductive concat control. This control matches unlabeled target features but not the learning objective or adaptation algorithm of scArches, so it is a feature-access control rather than an algorithmic replica.</w:t>
      </w:r>
    </w:p>
    <w:p>
      <w:pPr>
        <w:spacing w:before="0" w:after="120" w:line="240" w:lineRule="auto"/>
        <w:ind w:firstLine="0"/>
        <w:jc w:val="both"/>
      </w:pPr>
      <w:r>
        <w:rPr>
          <w:rFonts w:ascii="Times New Roman" w:hAnsi="Times New Roman" w:eastAsia="Times New Roman"/>
          <w:b w:val="0"/>
          <w:i w:val="0"/>
          <w:sz w:val="20"/>
        </w:rPr>
        <w:t>Reliability also depends on protein quality, training stochasticity, and uncertainty behavior. Protein degradation can reveal whether residual totalVI-associated advantage depends on intact antibody-derived signal. Repeated training can show whether small contrasts are large enough to interpret confidently. Classifier predictive uncertainty and latent posterior variance can detect different reliability losses, while selective prediction can reduce retained-cell error at the cost of uneven cell-type retention.</w:t>
      </w:r>
    </w:p>
    <w:p>
      <w:pPr>
        <w:spacing w:before="0" w:after="120" w:line="240" w:lineRule="auto"/>
        <w:ind w:firstLine="0"/>
        <w:jc w:val="both"/>
      </w:pPr>
      <w:r>
        <w:rPr>
          <w:rFonts w:ascii="Times New Roman" w:hAnsi="Times New Roman" w:eastAsia="Times New Roman"/>
          <w:b w:val="0"/>
          <w:i w:val="0"/>
          <w:sz w:val="20"/>
        </w:rPr>
        <w:t>External donor validation adds a biological unit of replication that computational resampling cannot replace. The Lawlor blood CITE-seq dataset provides 10 donors with paired RNA-protein measurements and author labels [13]. Because those labels are protein-gated, strong protein-aligned baselines are expected and should be interpreted as evidence of multimodal measurement value under protein-defined annotation rather than universal superiority of any representation class.</w:t>
      </w:r>
    </w:p>
    <w:p>
      <w:pPr>
        <w:spacing w:before="0" w:after="120" w:line="240" w:lineRule="auto"/>
        <w:ind w:firstLine="0"/>
        <w:jc w:val="both"/>
      </w:pPr>
      <w:r>
        <w:rPr>
          <w:rFonts w:ascii="Times New Roman" w:hAnsi="Times New Roman" w:eastAsia="Times New Roman"/>
          <w:b w:val="0"/>
          <w:i w:val="0"/>
          <w:sz w:val="20"/>
        </w:rPr>
        <w:t>This study makes three contributions. First, we quantify the empirical performance improvement associated with access to paired protein measurements using strong simple multimodal controls and distinguish it from the residual gain associated with a more complex multimodal representation. Second, we test whether this residual totalVI-associated contrast persists under source-target shift, feature-access-matched transductive comparison, protein degradation, and training stochasticity. Third, we evaluate reliability using uncertainty-aware selective prediction and donor-level external validation.</w:t>
      </w:r>
    </w:p>
    <w:p>
      <w:pPr>
        <w:spacing w:before="0" w:after="160" w:line="240" w:lineRule="auto"/>
        <w:ind w:firstLine="0"/>
        <w:jc w:val="left"/>
      </w:pPr>
      <w:r>
        <w:rPr>
          <w:rFonts w:ascii="Times New Roman" w:hAnsi="Times New Roman" w:eastAsia="Times New Roman"/>
          <w:b/>
          <w:i w:val="0"/>
          <w:color w:val="1B3A5F"/>
          <w:sz w:val="24"/>
        </w:rPr>
        <w:t>Results</w:t>
      </w:r>
    </w:p>
    <w:p>
      <w:pPr>
        <w:spacing w:before="0" w:after="160" w:line="240" w:lineRule="auto"/>
        <w:ind w:firstLine="0"/>
        <w:jc w:val="left"/>
      </w:pPr>
      <w:r>
        <w:rPr>
          <w:rFonts w:ascii="Times New Roman" w:hAnsi="Times New Roman" w:eastAsia="Times New Roman"/>
          <w:b/>
          <w:i w:val="0"/>
          <w:color w:val="1B3A5F"/>
          <w:sz w:val="22"/>
        </w:rPr>
        <w:t>Simple multimodal protein-access gain explained much of the internal improvement</w:t>
      </w:r>
    </w:p>
    <w:p>
      <w:pPr>
        <w:spacing w:before="0" w:after="120" w:line="240" w:lineRule="auto"/>
        <w:ind w:firstLine="0"/>
        <w:jc w:val="both"/>
      </w:pPr>
      <w:r>
        <w:rPr>
          <w:rFonts w:ascii="Times New Roman" w:hAnsi="Times New Roman" w:eastAsia="Times New Roman"/>
          <w:b w:val="0"/>
          <w:i w:val="0"/>
          <w:sz w:val="20"/>
        </w:rPr>
        <w:t xml:space="preserve">The internal development analysis used 9,494 high-confidence healthy-control cells with matched RNA and protein measurements. </w:t>
      </w:r>
      <w:r>
        <w:rPr>
          <w:rFonts w:ascii="Times New Roman" w:hAnsi="Times New Roman" w:eastAsia="Times New Roman"/>
          <w:b/>
          <w:i w:val="0"/>
          <w:color w:val="1B3A5F"/>
          <w:sz w:val="20"/>
        </w:rPr>
        <w:t>Figure 1.</w:t>
      </w:r>
      <w:r>
        <w:rPr>
          <w:rFonts w:ascii="Times New Roman" w:hAnsi="Times New Roman" w:eastAsia="Times New Roman"/>
          <w:b w:val="0"/>
          <w:i w:val="0"/>
          <w:sz w:val="20"/>
        </w:rPr>
        <w:t xml:space="preserve"> summarizes the study logic: RNA-only performance was compared with a simple RNA-protein representation and then with totalVI, separating the protein-access contrast from the residual totalVI-associated contrast.</w:t>
      </w:r>
    </w:p>
    <w:p>
      <w:pPr>
        <w:ind w:firstLine="0"/>
        <w:jc w:val="center"/>
      </w:pPr>
      <w:r>
        <w:drawing>
          <wp:inline xmlns:a="http://schemas.openxmlformats.org/drawingml/2006/main" xmlns:pic="http://schemas.openxmlformats.org/drawingml/2006/picture">
            <wp:extent cx="5806440" cy="3565661"/>
            <wp:docPr id="1" name="Picture 1"/>
            <wp:cNvGraphicFramePr>
              <a:graphicFrameLocks noChangeAspect="1"/>
            </wp:cNvGraphicFramePr>
            <a:graphic>
              <a:graphicData uri="http://schemas.openxmlformats.org/drawingml/2006/picture">
                <pic:pic>
                  <pic:nvPicPr>
                    <pic:cNvPr id="0" name="Figure1_central_logic.png"/>
                    <pic:cNvPicPr/>
                  </pic:nvPicPr>
                  <pic:blipFill>
                    <a:blip r:embed="rId20"/>
                    <a:stretch>
                      <a:fillRect/>
                    </a:stretch>
                  </pic:blipFill>
                  <pic:spPr>
                    <a:xfrm>
                      <a:off x="0" y="0"/>
                      <a:ext cx="5806440" cy="3565661"/>
                    </a:xfrm>
                    <a:prstGeom prst="rect"/>
                  </pic:spPr>
                </pic:pic>
              </a:graphicData>
            </a:graphic>
          </wp:inline>
        </w:drawing>
      </w:r>
    </w:p>
    <w:p>
      <w:pPr>
        <w:spacing w:before="0" w:after="200" w:line="240" w:lineRule="auto"/>
        <w:ind w:firstLine="0"/>
        <w:jc w:val="both"/>
      </w:pPr>
      <w:r>
        <w:rPr>
          <w:rFonts w:ascii="Times New Roman" w:hAnsi="Times New Roman" w:eastAsia="Times New Roman"/>
          <w:b w:val="0"/>
          <w:i/>
          <w:sz w:val="16"/>
        </w:rPr>
        <w:t>Figure 1.** Study logic for separating protein-access and residual totalVI-associated contrasts. RNA PCA defines the RNA-only reference, concatenated RNA-protein PCA defines the simple multimodal feature-access reference, and totalVI defines the more complex multimodal representation. The quantities G_access, G_assoc, and R_access are descriptive contrasts.</w:t>
      </w:r>
    </w:p>
    <w:p>
      <w:pPr>
        <w:spacing w:before="0" w:after="120" w:line="240" w:lineRule="auto"/>
        <w:ind w:firstLine="0"/>
        <w:jc w:val="both"/>
      </w:pPr>
      <w:r>
        <w:rPr>
          <w:rFonts w:ascii="Times New Roman" w:hAnsi="Times New Roman" w:eastAsia="Times New Roman"/>
          <w:b w:val="0"/>
          <w:i w:val="0"/>
          <w:sz w:val="20"/>
        </w:rPr>
        <w:t>RNA PCA reached macro-F1 0.666, concatenated RNA-protein PCA reached 0.745, and totalVI reached 0.779. We defined the protein-access gain as G_access=F1_concat-F1_RNA_PCA, giving +0.079. We defined the residual totalVI-associated contrast as G_assoc=F1_totalVI-F1_concat, giving +0.034. This contrast is descriptive and does not isolate a causal architecture effect. The full RNA-to-totalVI gap was +0.113.</w:t>
      </w:r>
    </w:p>
    <w:p>
      <w:pPr>
        <w:spacing w:before="0" w:after="120" w:line="240" w:lineRule="auto"/>
        <w:ind w:firstLine="0"/>
        <w:jc w:val="both"/>
      </w:pPr>
      <w:r>
        <w:rPr>
          <w:rFonts w:ascii="Times New Roman" w:hAnsi="Times New Roman" w:eastAsia="Times New Roman"/>
          <w:b/>
          <w:i w:val="0"/>
          <w:color w:val="1B3A5F"/>
          <w:sz w:val="20"/>
        </w:rPr>
        <w:t>Figure 2.</w:t>
      </w:r>
      <w:r>
        <w:rPr>
          <w:rFonts w:ascii="Times New Roman" w:hAnsi="Times New Roman" w:eastAsia="Times New Roman"/>
          <w:b w:val="0"/>
          <w:i w:val="0"/>
          <w:sz w:val="20"/>
        </w:rPr>
        <w:t xml:space="preserve"> shows the internal performance hierarchy and cell-level conditional paired-bootstrap intervals. G_access was +0.079 [0.043, 0.132], prop&gt;0=1.0. G_assoc was +0.034 [-0.012, 0.073], prop&gt;0=0.9045, and the 95% interval crossed zero. The total gap was +0.113 [0.084, 0.154]. The descriptive recovery ratio was R_accessapprox.0.70 [0.405, 1.114]; the denominator was stable, with minimum gap 0.056 and never ≤0. These are cell-level conditional intervals over evaluated cells, not biological confidence intervals.</w:t>
      </w:r>
    </w:p>
    <w:p>
      <w:pPr>
        <w:ind w:firstLine="0"/>
        <w:jc w:val="center"/>
      </w:pPr>
      <w:r>
        <w:drawing>
          <wp:inline xmlns:a="http://schemas.openxmlformats.org/drawingml/2006/main" xmlns:pic="http://schemas.openxmlformats.org/drawingml/2006/picture">
            <wp:extent cx="5806440" cy="1939441"/>
            <wp:docPr id="2" name="Picture 2"/>
            <wp:cNvGraphicFramePr>
              <a:graphicFrameLocks noChangeAspect="1"/>
            </wp:cNvGraphicFramePr>
            <a:graphic>
              <a:graphicData uri="http://schemas.openxmlformats.org/drawingml/2006/picture">
                <pic:pic>
                  <pic:nvPicPr>
                    <pic:cNvPr id="0" name="Figure2_protein_access_vs_model.png"/>
                    <pic:cNvPicPr/>
                  </pic:nvPicPr>
                  <pic:blipFill>
                    <a:blip r:embed="rId21"/>
                    <a:stretch>
                      <a:fillRect/>
                    </a:stretch>
                  </pic:blipFill>
                  <pic:spPr>
                    <a:xfrm>
                      <a:off x="0" y="0"/>
                      <a:ext cx="5806440" cy="1939441"/>
                    </a:xfrm>
                    <a:prstGeom prst="rect"/>
                  </pic:spPr>
                </pic:pic>
              </a:graphicData>
            </a:graphic>
          </wp:inline>
        </w:drawing>
      </w:r>
    </w:p>
    <w:p>
      <w:pPr>
        <w:spacing w:before="0" w:after="200" w:line="240" w:lineRule="auto"/>
        <w:ind w:firstLine="0"/>
        <w:jc w:val="both"/>
      </w:pPr>
      <w:r>
        <w:rPr>
          <w:rFonts w:ascii="Times New Roman" w:hAnsi="Times New Roman" w:eastAsia="Times New Roman"/>
          <w:b w:val="0"/>
          <w:i/>
          <w:sz w:val="16"/>
        </w:rPr>
        <w:t>Figure 2.** shows the internal performance hierarchy and cell-level conditional paired-bootstrap intervals. G_access was +0.079 [0.043, 0.132], prop&gt;0=1.0. G_assoc was +0.034 [-0.012, 0.073], prop&gt;0=0.9045, and the 95% interval crossed zero. The total gap was +0.113 [0.084, 0.154]. The descriptive recovery ratio was R_accessapprox.0.70 [0.405, 1.114]; the denominator was stable, with minimum gap 0.056 and never ≤0. These are cell-level conditional intervals over evaluated cells, not biological confidence intervals.</w:t>
      </w:r>
    </w:p>
    <w:p>
      <w:pPr>
        <w:spacing w:before="0" w:after="120" w:line="240" w:lineRule="auto"/>
        <w:ind w:firstLine="0"/>
        <w:jc w:val="both"/>
      </w:pPr>
      <w:r>
        <w:rPr>
          <w:rFonts w:ascii="Times New Roman" w:hAnsi="Times New Roman" w:eastAsia="Times New Roman"/>
          <w:b w:val="0"/>
          <w:i w:val="0"/>
          <w:sz w:val="20"/>
        </w:rPr>
        <w:t>Secondary internal representations supported the same interpretation. Protein PCA alone reached 0.512, MOFA+ reached 0.549, and scVI reached 0.722. TotalVI was the highest internal method among those tested, but the larger and more certain internal contrast was the gain associated with protein access in a simple multimodal representation.</w:t>
      </w:r>
    </w:p>
    <w:p>
      <w:pPr>
        <w:spacing w:before="0" w:after="160" w:line="240" w:lineRule="auto"/>
        <w:ind w:firstLine="0"/>
        <w:jc w:val="left"/>
      </w:pPr>
      <w:r>
        <w:rPr>
          <w:rFonts w:ascii="Times New Roman" w:hAnsi="Times New Roman" w:eastAsia="Times New Roman"/>
          <w:b/>
          <w:i w:val="0"/>
          <w:color w:val="1B3A5F"/>
          <w:sz w:val="22"/>
        </w:rPr>
        <w:t>Residual totalVI-associated advantage was not stable across transfer settings</w:t>
      </w:r>
    </w:p>
    <w:p>
      <w:pPr>
        <w:spacing w:before="0" w:after="120" w:line="240" w:lineRule="auto"/>
        <w:ind w:firstLine="0"/>
        <w:jc w:val="both"/>
      </w:pPr>
      <w:r>
        <w:rPr>
          <w:rFonts w:ascii="Times New Roman" w:hAnsi="Times New Roman" w:eastAsia="Times New Roman"/>
          <w:b w:val="0"/>
          <w:i w:val="0"/>
          <w:sz w:val="20"/>
        </w:rPr>
        <w:t xml:space="preserve">Bidirectional transfer tested whether residual totalVI-associated advantage persisted under source-target shift. </w:t>
      </w:r>
      <w:r>
        <w:rPr>
          <w:rFonts w:ascii="Times New Roman" w:hAnsi="Times New Roman" w:eastAsia="Times New Roman"/>
          <w:b/>
          <w:i w:val="0"/>
          <w:color w:val="1B3A5F"/>
          <w:sz w:val="20"/>
        </w:rPr>
        <w:t>Figure 3.</w:t>
      </w:r>
      <w:r>
        <w:rPr>
          <w:rFonts w:ascii="Times New Roman" w:hAnsi="Times New Roman" w:eastAsia="Times New Roman"/>
          <w:b w:val="0"/>
          <w:i w:val="0"/>
          <w:sz w:val="20"/>
        </w:rPr>
        <w:t xml:space="preserve"> compares source-only inductive concat, the feature-access-matched transductive concat control, scVI, and totalVI across Directions A and B.</w:t>
      </w:r>
    </w:p>
    <w:p>
      <w:pPr>
        <w:ind w:firstLine="0"/>
        <w:jc w:val="center"/>
      </w:pPr>
      <w:r>
        <w:drawing>
          <wp:inline xmlns:a="http://schemas.openxmlformats.org/drawingml/2006/main" xmlns:pic="http://schemas.openxmlformats.org/drawingml/2006/picture">
            <wp:extent cx="5806440" cy="3743719"/>
            <wp:docPr id="3" name="Picture 3"/>
            <wp:cNvGraphicFramePr>
              <a:graphicFrameLocks noChangeAspect="1"/>
            </wp:cNvGraphicFramePr>
            <a:graphic>
              <a:graphicData uri="http://schemas.openxmlformats.org/drawingml/2006/picture">
                <pic:pic>
                  <pic:nvPicPr>
                    <pic:cNvPr id="0" name="Figure3_transfer_fairness.png"/>
                    <pic:cNvPicPr/>
                  </pic:nvPicPr>
                  <pic:blipFill>
                    <a:blip r:embed="rId22"/>
                    <a:stretch>
                      <a:fillRect/>
                    </a:stretch>
                  </pic:blipFill>
                  <pic:spPr>
                    <a:xfrm>
                      <a:off x="0" y="0"/>
                      <a:ext cx="5806440" cy="3743719"/>
                    </a:xfrm>
                    <a:prstGeom prst="rect"/>
                  </pic:spPr>
                </pic:pic>
              </a:graphicData>
            </a:graphic>
          </wp:inline>
        </w:drawing>
      </w:r>
    </w:p>
    <w:p>
      <w:pPr>
        <w:spacing w:before="0" w:after="200" w:line="240" w:lineRule="auto"/>
        <w:ind w:firstLine="0"/>
        <w:jc w:val="both"/>
      </w:pPr>
      <w:r>
        <w:rPr>
          <w:rFonts w:ascii="Times New Roman" w:hAnsi="Times New Roman" w:eastAsia="Times New Roman"/>
          <w:b w:val="0"/>
          <w:i/>
          <w:sz w:val="16"/>
        </w:rPr>
        <w:t>Figure 3.** Transfer comparison across source-only inductive concat, feature-access-matched transductive concat control, scVI, and totalVI. Inductive concat reached 0.735/0.734, feature-access transductive concat reached 0.636/0.767, scVI reached 0.656/0.601, and totalVI reached 0.652/0.654 for Directions A/B. totalVI minus transductive concat was approximately +0.016 in Direction A and -0.113 in Direction B. The feature-access control matches unlabeled target features but not the learning objective or adaptation algorithm of scArches.</w:t>
      </w:r>
    </w:p>
    <w:p>
      <w:pPr>
        <w:spacing w:before="0" w:after="120" w:line="240" w:lineRule="auto"/>
        <w:ind w:firstLine="0"/>
        <w:jc w:val="both"/>
      </w:pPr>
      <w:r>
        <w:rPr>
          <w:rFonts w:ascii="Times New Roman" w:hAnsi="Times New Roman" w:eastAsia="Times New Roman"/>
          <w:b w:val="0"/>
          <w:i w:val="0"/>
          <w:sz w:val="20"/>
        </w:rPr>
        <w:t>The source-only inductive concat baseline remained strong in both transfer directions, reaching 0.735 in Direction A and 0.734 in Direction B. The feature-access-matched transductive concat control reached 0.636 in Direction A and 0.767 in Direction B. This feature-access control used source plus unlabeled target features for unsupervised representation fitting, while source labels alone were used for classifier training.</w:t>
      </w:r>
    </w:p>
    <w:p>
      <w:pPr>
        <w:spacing w:before="0" w:after="120" w:line="240" w:lineRule="auto"/>
        <w:ind w:firstLine="0"/>
        <w:jc w:val="both"/>
      </w:pPr>
      <w:r>
        <w:rPr>
          <w:rFonts w:ascii="Times New Roman" w:hAnsi="Times New Roman" w:eastAsia="Times New Roman"/>
          <w:b w:val="0"/>
          <w:i w:val="0"/>
          <w:sz w:val="20"/>
        </w:rPr>
        <w:t>scVI reached 0.656 in Direction A and 0.601 in Direction B. totalVI reached 0.652 in Direction A and 0.654 in Direction B. Thus, totalVI was near scVI in Direction A, while Direction B showed a totalVI-scVI difference of +0.052 with 19/20 seeds favoring totalVI.</w:t>
      </w:r>
    </w:p>
    <w:p>
      <w:pPr>
        <w:spacing w:before="0" w:after="120" w:line="240" w:lineRule="auto"/>
        <w:ind w:firstLine="0"/>
        <w:jc w:val="both"/>
      </w:pPr>
      <w:r>
        <w:rPr>
          <w:rFonts w:ascii="Times New Roman" w:hAnsi="Times New Roman" w:eastAsia="Times New Roman"/>
          <w:b w:val="0"/>
          <w:i w:val="0"/>
          <w:sz w:val="20"/>
        </w:rPr>
        <w:t>The comparison against the feature-access control changed the interpretation. totalVI minus transductive concat was approximately +0.016 in Direction A but -0.113 in Direction B. Matching unlabeled target feature access therefore did not yield a stable totalVI advantage. The control matches unlabeled target features but not the learning objective or adaptation algorithm of scArches, so this result should be read as a feature-access-matched stress test, not as proof that the two procedures are otherwise equivalent.</w:t>
      </w:r>
    </w:p>
    <w:p>
      <w:pPr>
        <w:spacing w:before="0" w:after="160" w:line="240" w:lineRule="auto"/>
        <w:ind w:firstLine="0"/>
        <w:jc w:val="left"/>
      </w:pPr>
      <w:r>
        <w:rPr>
          <w:rFonts w:ascii="Times New Roman" w:hAnsi="Times New Roman" w:eastAsia="Times New Roman"/>
          <w:b/>
          <w:i w:val="0"/>
          <w:color w:val="1B3A5F"/>
          <w:sz w:val="22"/>
        </w:rPr>
        <w:t>Protein degradation progressively narrowed residual totalVI-associated advantage</w:t>
      </w:r>
    </w:p>
    <w:p>
      <w:pPr>
        <w:spacing w:before="0" w:after="120" w:line="240" w:lineRule="auto"/>
        <w:ind w:firstLine="0"/>
        <w:jc w:val="both"/>
      </w:pPr>
      <w:r>
        <w:rPr>
          <w:rFonts w:ascii="Times New Roman" w:hAnsi="Times New Roman" w:eastAsia="Times New Roman"/>
          <w:b w:val="0"/>
          <w:i w:val="0"/>
          <w:sz w:val="20"/>
        </w:rPr>
        <w:t xml:space="preserve">Protein degradation asked whether the residual totalVI-associated contrast persisted when antibody-derived signal was corrupted. </w:t>
      </w:r>
      <w:r>
        <w:rPr>
          <w:rFonts w:ascii="Times New Roman" w:hAnsi="Times New Roman" w:eastAsia="Times New Roman"/>
          <w:b/>
          <w:i w:val="0"/>
          <w:color w:val="1B3A5F"/>
          <w:sz w:val="20"/>
        </w:rPr>
        <w:t>Figure 4.</w:t>
      </w:r>
      <w:r>
        <w:rPr>
          <w:rFonts w:ascii="Times New Roman" w:hAnsi="Times New Roman" w:eastAsia="Times New Roman"/>
          <w:b w:val="0"/>
          <w:i w:val="0"/>
          <w:sz w:val="20"/>
        </w:rPr>
        <w:t xml:space="preserve"> summarizes training-time degradation with retraining and post-adaptation target-only degradation.</w:t>
      </w:r>
    </w:p>
    <w:p>
      <w:pPr>
        <w:ind w:firstLine="0"/>
        <w:jc w:val="center"/>
      </w:pPr>
      <w:r>
        <w:drawing>
          <wp:inline xmlns:a="http://schemas.openxmlformats.org/drawingml/2006/main" xmlns:pic="http://schemas.openxmlformats.org/drawingml/2006/picture">
            <wp:extent cx="5806440" cy="3680308"/>
            <wp:docPr id="4" name="Picture 4"/>
            <wp:cNvGraphicFramePr>
              <a:graphicFrameLocks noChangeAspect="1"/>
            </wp:cNvGraphicFramePr>
            <a:graphic>
              <a:graphicData uri="http://schemas.openxmlformats.org/drawingml/2006/picture">
                <pic:pic>
                  <pic:nvPicPr>
                    <pic:cNvPr id="0" name="Figure4_protein_degradation.png"/>
                    <pic:cNvPicPr/>
                  </pic:nvPicPr>
                  <pic:blipFill>
                    <a:blip r:embed="rId23"/>
                    <a:stretch>
                      <a:fillRect/>
                    </a:stretch>
                  </pic:blipFill>
                  <pic:spPr>
                    <a:xfrm>
                      <a:off x="0" y="0"/>
                      <a:ext cx="5806440" cy="3680308"/>
                    </a:xfrm>
                    <a:prstGeom prst="rect"/>
                  </pic:spPr>
                </pic:pic>
              </a:graphicData>
            </a:graphic>
          </wp:inline>
        </w:drawing>
      </w:r>
    </w:p>
    <w:p>
      <w:pPr>
        <w:spacing w:before="0" w:after="200" w:line="240" w:lineRule="auto"/>
        <w:ind w:firstLine="0"/>
        <w:jc w:val="both"/>
      </w:pPr>
      <w:r>
        <w:rPr>
          <w:rFonts w:ascii="Times New Roman" w:hAnsi="Times New Roman" w:eastAsia="Times New Roman"/>
          <w:b w:val="0"/>
          <w:i/>
          <w:sz w:val="16"/>
        </w:rPr>
        <w:t>Figure 4.** Protein degradation experiments. Training-time degradation shows mean±SD across five mask/retraining replicates at nonzero corruption levels, with model_seed fixed at 0 and a single clean run at 0.00. Values were 0.779, 0.771±0.010, 0.758±0.012, 0.760±0.012, 0.750±0.016, 0.736±0.020, and 0.755±0.011 across increasing corruption. High-corruption non-monotonicity is interpreted as within mask/retraining variability. Post-adaptation Direction B totalVI declined from 0.654 to 0.621, with clean scVI at 0.601.</w:t>
      </w:r>
    </w:p>
    <w:p>
      <w:pPr>
        <w:spacing w:before="0" w:after="120" w:line="240" w:lineRule="auto"/>
        <w:ind w:firstLine="0"/>
        <w:jc w:val="both"/>
      </w:pPr>
      <w:r>
        <w:rPr>
          <w:rFonts w:ascii="Times New Roman" w:hAnsi="Times New Roman" w:eastAsia="Times New Roman"/>
          <w:b w:val="0"/>
          <w:i w:val="0"/>
          <w:sz w:val="20"/>
        </w:rPr>
        <w:t>Training-time degradation corrupted nonzero protein entries before totalVI training and retrained totalVI at each nonzero corruption level using five mask/retraining replicates with model_seed fixed at 0. The clean point was a single uncorrupted run. Mean macro-F1 values were 0.779 at 0.00 (n=1), 0.771±0.010 at 0.10, 0.758±0.012 at 0.25, 0.760±0.012 at 0.40, 0.750±0.016 at 0.55, 0.736±0.020 at 0.70, and 0.755±0.011 at 0.85. The fixed clean scVI reference was 0.722.</w:t>
      </w:r>
    </w:p>
    <w:p>
      <w:pPr>
        <w:spacing w:before="0" w:after="120" w:line="240" w:lineRule="auto"/>
        <w:ind w:firstLine="0"/>
        <w:jc w:val="both"/>
      </w:pPr>
      <w:r>
        <w:rPr>
          <w:rFonts w:ascii="Times New Roman" w:hAnsi="Times New Roman" w:eastAsia="Times New Roman"/>
          <w:b w:val="0"/>
          <w:i w:val="0"/>
          <w:sz w:val="20"/>
        </w:rPr>
        <w:t>The high-corruption rebound should be interpreted cautiously. Non-monotonic high-corruption means were within mask/retraining variability and are not evidence of improved performance under more severe corruption. The main pattern was a gradual narrowing of the residual totalVI-associated advantage as protein signal quality degraded.</w:t>
      </w:r>
    </w:p>
    <w:p>
      <w:pPr>
        <w:spacing w:before="0" w:after="120" w:line="240" w:lineRule="auto"/>
        <w:ind w:firstLine="0"/>
        <w:jc w:val="both"/>
      </w:pPr>
      <w:r>
        <w:rPr>
          <w:rFonts w:ascii="Times New Roman" w:hAnsi="Times New Roman" w:eastAsia="Times New Roman"/>
          <w:b w:val="0"/>
          <w:i w:val="0"/>
          <w:sz w:val="20"/>
        </w:rPr>
        <w:t>Post-adaptation target-only degradation showed the same direction in the transfer setting where totalVI most clearly exceeded scVI. Direction B totalVI declined from 0.654 to 0.621 at the highest corruption level, while clean scVI was 0.601. Thus, the totalVI advantage over the clean RNA-only reference narrowed but did not disappear in that setting.</w:t>
      </w:r>
    </w:p>
    <w:p>
      <w:pPr>
        <w:spacing w:before="0" w:after="160" w:line="240" w:lineRule="auto"/>
        <w:ind w:firstLine="0"/>
        <w:jc w:val="left"/>
      </w:pPr>
      <w:r>
        <w:rPr>
          <w:rFonts w:ascii="Times New Roman" w:hAnsi="Times New Roman" w:eastAsia="Times New Roman"/>
          <w:b/>
          <w:i w:val="0"/>
          <w:color w:val="1B3A5F"/>
          <w:sz w:val="22"/>
        </w:rPr>
        <w:t>Uncertainty diagnostics identified distinct forms of reliability loss</w:t>
      </w:r>
    </w:p>
    <w:p>
      <w:pPr>
        <w:spacing w:before="0" w:after="120" w:line="240" w:lineRule="auto"/>
        <w:ind w:firstLine="0"/>
        <w:jc w:val="both"/>
      </w:pPr>
      <w:r>
        <w:rPr>
          <w:rFonts w:ascii="Times New Roman" w:hAnsi="Times New Roman" w:eastAsia="Times New Roman"/>
          <w:b w:val="0"/>
          <w:i w:val="0"/>
          <w:sz w:val="20"/>
        </w:rPr>
        <w:t xml:space="preserve">Uncertainty diagnostics were used to characterize reliability loss rather than to define a new primary performance endpoint. </w:t>
      </w:r>
      <w:r>
        <w:rPr>
          <w:rFonts w:ascii="Times New Roman" w:hAnsi="Times New Roman" w:eastAsia="Times New Roman"/>
          <w:b/>
          <w:i w:val="0"/>
          <w:color w:val="1B3A5F"/>
          <w:sz w:val="20"/>
        </w:rPr>
        <w:t>Figure 5.</w:t>
      </w:r>
      <w:r>
        <w:rPr>
          <w:rFonts w:ascii="Times New Roman" w:hAnsi="Times New Roman" w:eastAsia="Times New Roman"/>
          <w:b w:val="0"/>
          <w:i w:val="0"/>
          <w:sz w:val="20"/>
        </w:rPr>
        <w:t xml:space="preserve"> shows classifier predictive uncertainty, latent posterior variance, risk-coverage behavior, and training stochasticity summaries.</w:t>
      </w:r>
    </w:p>
    <w:p>
      <w:pPr>
        <w:ind w:firstLine="0"/>
        <w:jc w:val="center"/>
      </w:pPr>
      <w:r>
        <w:drawing>
          <wp:inline xmlns:a="http://schemas.openxmlformats.org/drawingml/2006/main" xmlns:pic="http://schemas.openxmlformats.org/drawingml/2006/picture">
            <wp:extent cx="5806440" cy="356732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06440" cy="3567320"/>
                    </a:xfrm>
                    <a:prstGeom prst="rect"/>
                  </pic:spPr>
                </pic:pic>
              </a:graphicData>
            </a:graphic>
          </wp:inline>
        </w:drawing>
      </w:r>
    </w:p>
    <w:p>
      <w:pPr>
        <w:spacing w:before="0" w:after="200" w:line="240" w:lineRule="auto"/>
        <w:ind w:firstLine="0"/>
        <w:jc w:val="both"/>
      </w:pPr>
      <w:r>
        <w:rPr>
          <w:rFonts w:ascii="Times New Roman" w:hAnsi="Times New Roman" w:eastAsia="Times New Roman"/>
          <w:b w:val="0"/>
          <w:i/>
          <w:sz w:val="16"/>
        </w:rPr>
        <w:t>Figure 5.** Uncertainty diagnostics, training stochasticity, and selective prediction. Classifier predictive uncertainty ranked errors with AUROC around 0.84-0.86 internally, while latent posterior variance measured representation-level dispersion. Risk-coverage metrics worsened under Direction B protein corruption, and selective prediction reduced retained-cell error while producing cell-type-dependent retention. Stochasticity summaries show substantial residual run-level variation for small contrasts.</w:t>
      </w:r>
    </w:p>
    <w:p>
      <w:pPr>
        <w:spacing w:before="0" w:after="120" w:line="240" w:lineRule="auto"/>
        <w:ind w:firstLine="0"/>
        <w:jc w:val="both"/>
      </w:pPr>
      <w:r>
        <w:rPr>
          <w:rFonts w:ascii="Times New Roman" w:hAnsi="Times New Roman" w:eastAsia="Times New Roman"/>
          <w:b w:val="0"/>
          <w:i w:val="0"/>
          <w:sz w:val="20"/>
        </w:rPr>
        <w:t>Classifier predictive uncertainty was U=1-max_k p_k, where p_k is the logistic-regression probability for class k. This score ranked classification errors well in PBMC transfer, with predictive error AUROC values around 0.84-0.86. Under Direction B target-only protein corruption, predictive AUROC declined mildly from 0.856 to 0.841, indicating that confidence still ranked errors but became less informative as protein inputs degraded.</w:t>
      </w:r>
    </w:p>
    <w:p>
      <w:pPr>
        <w:spacing w:before="0" w:after="120" w:line="240" w:lineRule="auto"/>
        <w:ind w:firstLine="0"/>
        <w:jc w:val="both"/>
      </w:pPr>
      <w:r>
        <w:rPr>
          <w:rFonts w:ascii="Times New Roman" w:hAnsi="Times New Roman" w:eastAsia="Times New Roman"/>
          <w:b w:val="0"/>
          <w:i w:val="0"/>
          <w:sz w:val="20"/>
        </w:rPr>
        <w:t>Latent posterior variance measured representation-level dispersion, not formal epistemic uncertainty. Direction A latent error AUROC was 0.544±0.054 for scVI and 0.669±0.021 for totalVI. Direction B latent error AUROC was 0.469±0.075 for scVI and 0.610±0.038 for totalVI. Under Direction B corruption, latent AUROC increased from 0.610 to 0.627 while predictive AUROC and risk-coverage summaries worsened. This divergence shows that the two uncertainty signals capture different behavior.</w:t>
      </w:r>
    </w:p>
    <w:p>
      <w:pPr>
        <w:spacing w:before="0" w:after="120" w:line="240" w:lineRule="auto"/>
        <w:ind w:firstLine="0"/>
        <w:jc w:val="both"/>
      </w:pPr>
      <w:r>
        <w:rPr>
          <w:rFonts w:ascii="Times New Roman" w:hAnsi="Times New Roman" w:eastAsia="Times New Roman"/>
          <w:b w:val="0"/>
          <w:i w:val="0"/>
          <w:sz w:val="20"/>
        </w:rPr>
        <w:t>Risk-coverage metrics showed practical reliability loss under degradation. In Direction B, full AURC increased from 0.060 to 0.079, pAURC_[0.5,1.0] increased from 0.112 to 0.144, and E-AURC increased from 0.0350 to 0.0448. Negative log likelihood and Brier score also worsened, whereas expected calibration error was less sensitive.</w:t>
      </w:r>
    </w:p>
    <w:p>
      <w:pPr>
        <w:spacing w:before="0" w:after="160" w:line="240" w:lineRule="auto"/>
        <w:ind w:firstLine="0"/>
        <w:jc w:val="left"/>
      </w:pPr>
      <w:r>
        <w:rPr>
          <w:rFonts w:ascii="Times New Roman" w:hAnsi="Times New Roman" w:eastAsia="Times New Roman"/>
          <w:b/>
          <w:i w:val="0"/>
          <w:color w:val="1B3A5F"/>
          <w:sz w:val="22"/>
        </w:rPr>
        <w:t>Training stochasticity limited the precision of small residual totalVI-associated contrasts</w:t>
      </w:r>
    </w:p>
    <w:p>
      <w:pPr>
        <w:spacing w:before="0" w:after="120" w:line="240" w:lineRule="auto"/>
        <w:ind w:firstLine="0"/>
        <w:jc w:val="both"/>
      </w:pPr>
      <w:r>
        <w:rPr>
          <w:rFonts w:ascii="Times New Roman" w:hAnsi="Times New Roman" w:eastAsia="Times New Roman"/>
          <w:b w:val="0"/>
          <w:i w:val="0"/>
          <w:sz w:val="20"/>
        </w:rPr>
        <w:t>Training stochasticity was evaluated because small residual contrasts can be difficult to distinguish from run-level variation. A balanced design varied source subsets, model seeds, and run replicates, and variance components were estimated using method-of-moments expected mean squares.</w:t>
      </w:r>
    </w:p>
    <w:p>
      <w:pPr>
        <w:spacing w:before="0" w:after="120" w:line="240" w:lineRule="auto"/>
        <w:ind w:firstLine="0"/>
        <w:jc w:val="both"/>
      </w:pPr>
      <w:r>
        <w:rPr>
          <w:rFonts w:ascii="Times New Roman" w:hAnsi="Times New Roman" w:eastAsia="Times New Roman"/>
          <w:b w:val="0"/>
          <w:i w:val="0"/>
          <w:sz w:val="20"/>
        </w:rPr>
        <w:t>For scVI macro-F1, the variance fractions were source 2.31%, seed 0.00%, source-by-seed interaction 35.45%, and residual run-level variation 62.23%. For totalVI, the corresponding fractions were source 0.00%, seed 5.62%, interaction 3.24%, and residual 91.13%. For the paired totalVI minus scVI contrast, the fractions were source 5.09%, seed 12.04%, interaction 14.11%, and residual 68.75%.</w:t>
      </w:r>
    </w:p>
    <w:p>
      <w:pPr>
        <w:spacing w:before="0" w:after="120" w:line="240" w:lineRule="auto"/>
        <w:ind w:firstLine="0"/>
        <w:jc w:val="both"/>
      </w:pPr>
      <w:r>
        <w:rPr>
          <w:rFonts w:ascii="Times New Roman" w:hAnsi="Times New Roman" w:eastAsia="Times New Roman"/>
          <w:b w:val="0"/>
          <w:i w:val="0"/>
          <w:sz w:val="20"/>
        </w:rPr>
        <w:t>These summaries explain why small residual totalVI-associated contrasts should be interpreted with repeated-run context. Direction A transfer was effectively near null, and the internal G_assoc bootstrap interval crossed zero. Direction B totalVI versus scVI was more consistent because the mean difference was larger and 19/20 seeds favored totalVI, but the feature-access control still showed that residual totalVI advantage was not stable across transfer directions.</w:t>
      </w:r>
    </w:p>
    <w:p>
      <w:pPr>
        <w:spacing w:before="0" w:after="160" w:line="240" w:lineRule="auto"/>
        <w:ind w:firstLine="0"/>
        <w:jc w:val="left"/>
      </w:pPr>
      <w:r>
        <w:rPr>
          <w:rFonts w:ascii="Times New Roman" w:hAnsi="Times New Roman" w:eastAsia="Times New Roman"/>
          <w:b/>
          <w:i w:val="0"/>
          <w:color w:val="1B3A5F"/>
          <w:sz w:val="22"/>
        </w:rPr>
        <w:t>Selective prediction reduced error but introduced cell-type-dependent retention</w:t>
      </w:r>
    </w:p>
    <w:p>
      <w:pPr>
        <w:spacing w:before="0" w:after="120" w:line="240" w:lineRule="auto"/>
        <w:ind w:firstLine="0"/>
        <w:jc w:val="both"/>
      </w:pPr>
      <w:r>
        <w:rPr>
          <w:rFonts w:ascii="Times New Roman" w:hAnsi="Times New Roman" w:eastAsia="Times New Roman"/>
          <w:b w:val="0"/>
          <w:i w:val="0"/>
          <w:sz w:val="20"/>
        </w:rPr>
        <w:t>Selective prediction retained cells with lower uncertainty and deferred cells with higher uncertainty. This reduced error among retained cells, especially when classifier predictive uncertainty was used, but it also changed the retained cell-type composition.</w:t>
      </w:r>
    </w:p>
    <w:p>
      <w:pPr>
        <w:spacing w:before="0" w:after="120" w:line="240" w:lineRule="auto"/>
        <w:ind w:firstLine="0"/>
        <w:jc w:val="both"/>
      </w:pPr>
      <w:r>
        <w:rPr>
          <w:rFonts w:ascii="Times New Roman" w:hAnsi="Times New Roman" w:eastAsia="Times New Roman"/>
          <w:b w:val="0"/>
          <w:i w:val="0"/>
          <w:sz w:val="20"/>
        </w:rPr>
        <w:t>At 50% coverage, retention coefficients of variation were approximately 0.88-1.02 in PBMC transfer and approximately 0.57-0.59 in Lawlor donor validation. These values indicate that low-uncertainty retained cells were not a compositionally neutral subset of the evaluated cells.</w:t>
      </w:r>
    </w:p>
    <w:p>
      <w:pPr>
        <w:spacing w:before="0" w:after="120" w:line="240" w:lineRule="auto"/>
        <w:ind w:firstLine="0"/>
        <w:jc w:val="both"/>
      </w:pPr>
      <w:r>
        <w:rPr>
          <w:rFonts w:ascii="Times New Roman" w:hAnsi="Times New Roman" w:eastAsia="Times New Roman"/>
          <w:b w:val="0"/>
          <w:i w:val="0"/>
          <w:sz w:val="20"/>
        </w:rPr>
        <w:t>The practical implication is that risk-coverage curves should be reported together with retention by cell type. Selective prediction can support review workflows, but deferring uncertain cells may preferentially remove rare, transitional, or marker-ambiguous populations. Retained-set accuracy alone would overstate reliability if the retained population shifts away from difficult biological classes.</w:t>
      </w:r>
    </w:p>
    <w:p>
      <w:pPr>
        <w:spacing w:before="0" w:after="160" w:line="240" w:lineRule="auto"/>
        <w:ind w:firstLine="0"/>
        <w:jc w:val="left"/>
      </w:pPr>
      <w:r>
        <w:rPr>
          <w:rFonts w:ascii="Times New Roman" w:hAnsi="Times New Roman" w:eastAsia="Times New Roman"/>
          <w:b/>
          <w:i w:val="0"/>
          <w:color w:val="1B3A5F"/>
          <w:sz w:val="22"/>
        </w:rPr>
        <w:t>External donor validation confirmed multimodal information value under protein-gated labels</w:t>
      </w:r>
    </w:p>
    <w:p>
      <w:pPr>
        <w:spacing w:before="0" w:after="120" w:line="240" w:lineRule="auto"/>
        <w:ind w:firstLine="0"/>
        <w:jc w:val="both"/>
      </w:pPr>
      <w:r>
        <w:rPr>
          <w:rFonts w:ascii="Times New Roman" w:hAnsi="Times New Roman" w:eastAsia="Times New Roman"/>
          <w:b w:val="0"/>
          <w:i w:val="0"/>
          <w:sz w:val="20"/>
        </w:rPr>
        <w:t xml:space="preserve">The Lawlor validation used 10 biological donors and author labels in the labeled subset [13]. </w:t>
      </w:r>
      <w:r>
        <w:rPr>
          <w:rFonts w:ascii="Times New Roman" w:hAnsi="Times New Roman" w:eastAsia="Times New Roman"/>
          <w:b/>
          <w:i w:val="0"/>
          <w:color w:val="1B3A5F"/>
          <w:sz w:val="20"/>
        </w:rPr>
        <w:t>Figure 6.</w:t>
      </w:r>
      <w:r>
        <w:rPr>
          <w:rFonts w:ascii="Times New Roman" w:hAnsi="Times New Roman" w:eastAsia="Times New Roman"/>
          <w:b w:val="0"/>
          <w:i w:val="0"/>
          <w:sz w:val="20"/>
        </w:rPr>
        <w:t xml:space="preserve"> presents donor-level validation together with simple protein-aligned baselines.</w:t>
      </w:r>
    </w:p>
    <w:p>
      <w:pPr>
        <w:ind w:firstLine="0"/>
        <w:jc w:val="center"/>
      </w:pPr>
      <w:r>
        <w:drawing>
          <wp:inline xmlns:a="http://schemas.openxmlformats.org/drawingml/2006/main" xmlns:pic="http://schemas.openxmlformats.org/drawingml/2006/picture">
            <wp:extent cx="5806440" cy="35605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06440" cy="3560586"/>
                    </a:xfrm>
                    <a:prstGeom prst="rect"/>
                  </pic:spPr>
                </pic:pic>
              </a:graphicData>
            </a:graphic>
          </wp:inline>
        </w:drawing>
      </w:r>
    </w:p>
    <w:p>
      <w:pPr>
        <w:spacing w:before="0" w:after="200" w:line="240" w:lineRule="auto"/>
        <w:ind w:firstLine="0"/>
        <w:jc w:val="both"/>
      </w:pPr>
      <w:r>
        <w:rPr>
          <w:rFonts w:ascii="Times New Roman" w:hAnsi="Times New Roman" w:eastAsia="Times New Roman"/>
          <w:b w:val="0"/>
          <w:i/>
          <w:sz w:val="16"/>
        </w:rPr>
        <w:t>Figure 6.*</w:t>
      </w:r>
      <w:r>
        <w:rPr>
          <w:rFonts w:ascii="Times New Roman" w:hAnsi="Times New Roman" w:eastAsia="Times New Roman"/>
          <w:b w:val="0"/>
          <w:i/>
          <w:sz w:val="16"/>
        </w:rPr>
        <w:t xml:space="preserve"> Lawlor donor-level external validation. The Lawlor analysis used 10 biological donors and protein-gated author labels. All 10 donors showed a positive totalVI-minus-scVI_matched difference (exact two-sided sign test, </w:t>
      </w:r>
      <w:r>
        <w:rPr>
          <w:rFonts w:ascii="Times New Roman" w:hAnsi="Times New Roman" w:eastAsia="Times New Roman"/>
          <w:b w:val="0"/>
          <w:i/>
          <w:sz w:val="16"/>
        </w:rPr>
        <w:t>P*=0.00195; mean Δ≈+0.090). Protein PCA (~0.927) and concat (~0.945) exceeded totalVI (0.884) under protein-gated labels. The result supports multimodal measurement value under protein-gated labels and emphasizes the importance of simple protein-aligned baselines.</w:t>
      </w:r>
    </w:p>
    <w:p>
      <w:pPr>
        <w:spacing w:before="0" w:after="120" w:line="240" w:lineRule="auto"/>
        <w:ind w:firstLine="0"/>
        <w:jc w:val="both"/>
      </w:pPr>
      <w:r>
        <w:rPr>
          <w:rFonts w:ascii="Times New Roman" w:hAnsi="Times New Roman" w:eastAsia="Times New Roman"/>
          <w:b w:val="0"/>
          <w:i w:val="0"/>
          <w:sz w:val="20"/>
        </w:rPr>
        <w:t xml:space="preserve">All 10 donors showed a positive totalVI-minus-scVI_matched difference in present-class macro-F1 (exact two-sided sign test, </w:t>
      </w:r>
      <w:r>
        <w:rPr>
          <w:rFonts w:ascii="Times New Roman" w:hAnsi="Times New Roman" w:eastAsia="Times New Roman"/>
          <w:b w:val="0"/>
          <w:i/>
          <w:sz w:val="20"/>
        </w:rPr>
        <w:t>P</w:t>
      </w:r>
      <w:r>
        <w:rPr>
          <w:rFonts w:ascii="Times New Roman" w:hAnsi="Times New Roman" w:eastAsia="Times New Roman"/>
          <w:b w:val="0"/>
          <w:i w:val="0"/>
          <w:sz w:val="20"/>
        </w:rPr>
        <w:t>=0.00195; mean Δ≈+0.090, median≈0.089, SD≈0.010). Donor-mean deep-representation scores were 0.794 for scVI_matched and 0.884 for totalVI. Latent consistency favoring totalVI over scVI_matched was 38/50 across matched fold-by-seed computational comparisons; these are computational comparisons, not biological replicates.</w:t>
      </w:r>
    </w:p>
    <w:p>
      <w:pPr>
        <w:spacing w:before="0" w:after="120" w:line="240" w:lineRule="auto"/>
        <w:ind w:firstLine="0"/>
        <w:jc w:val="both"/>
      </w:pPr>
      <w:r>
        <w:rPr>
          <w:rFonts w:ascii="Times New Roman" w:hAnsi="Times New Roman" w:eastAsia="Times New Roman"/>
          <w:b w:val="0"/>
          <w:i w:val="0"/>
          <w:sz w:val="20"/>
        </w:rPr>
        <w:t>Simple protein-aligned baselines were stronger in the same setting. Fold-mean protein PCA reached approximately 0.927, and concatenated RNA-protein PCA reached approximately 0.945, exceeding totalVI. Because the Lawlor labels were protein-gated, this result is consistent with strong label-modality alignment. The donor analysis therefore supports multimodal measurement value across donors under protein-gated labels, while reinforcing the need to compare complex models with simple multimodal baselines.</w:t>
      </w:r>
    </w:p>
    <w:p>
      <w:pPr>
        <w:spacing w:before="0" w:after="160" w:line="240" w:lineRule="auto"/>
        <w:ind w:firstLine="0"/>
        <w:jc w:val="left"/>
      </w:pPr>
      <w:r>
        <w:rPr>
          <w:rFonts w:ascii="Times New Roman" w:hAnsi="Times New Roman" w:eastAsia="Times New Roman"/>
          <w:b/>
          <w:i w:val="0"/>
          <w:color w:val="1B3A5F"/>
          <w:sz w:val="24"/>
        </w:rPr>
        <w:t>Discussion</w:t>
      </w:r>
    </w:p>
    <w:p>
      <w:pPr>
        <w:spacing w:before="0" w:after="120" w:line="240" w:lineRule="auto"/>
        <w:ind w:firstLine="0"/>
        <w:jc w:val="both"/>
      </w:pPr>
      <w:r>
        <w:rPr>
          <w:rFonts w:ascii="Times New Roman" w:hAnsi="Times New Roman" w:eastAsia="Times New Roman"/>
          <w:b w:val="0"/>
          <w:i w:val="0"/>
          <w:sz w:val="20"/>
        </w:rPr>
        <w:t>Access to paired protein measurements accounted for a substantial part of the observed multimodal performance improvement. The remaining advantage associated with totalVI relative to a simple RNA-protein representation was smaller and strongly dependent on evaluation context.</w:t>
      </w:r>
    </w:p>
    <w:p>
      <w:pPr>
        <w:spacing w:before="0" w:after="120" w:line="240" w:lineRule="auto"/>
        <w:ind w:firstLine="0"/>
        <w:jc w:val="both"/>
      </w:pPr>
      <w:r>
        <w:rPr>
          <w:rFonts w:ascii="Times New Roman" w:hAnsi="Times New Roman" w:eastAsia="Times New Roman"/>
          <w:b w:val="0"/>
          <w:i w:val="0"/>
          <w:sz w:val="20"/>
        </w:rPr>
        <w:t>The internal development cohort made this pattern explicit. G_access was +0.079 with a bootstrap interval entirely above zero, whereas G_assoc was +0.034 and its 95% interval crossed zero. The descriptive recovery ratio R_accessapprox.0.70 indicates that a simple RNA-protein representation recovered much of the RNA-to-totalVI gap, but it should not be interpreted as a mechanistic partition. The residual totalVI-associated contrast is descriptive and should not be interpreted as a causal decomposition of architecture effects.</w:t>
      </w:r>
    </w:p>
    <w:p>
      <w:pPr>
        <w:spacing w:before="0" w:after="120" w:line="240" w:lineRule="auto"/>
        <w:ind w:firstLine="0"/>
        <w:jc w:val="both"/>
      </w:pPr>
      <w:r>
        <w:rPr>
          <w:rFonts w:ascii="Times New Roman" w:hAnsi="Times New Roman" w:eastAsia="Times New Roman"/>
          <w:b w:val="0"/>
          <w:i w:val="0"/>
          <w:sz w:val="20"/>
        </w:rPr>
        <w:t>Transfer analysis showed why this caution is necessary. Source-only inductive concat remained strong in both directions. totalVI exceeded scVI consistently in Direction B but not Direction A. More importantly, totalVI did not retain a stable advantage over the feature-access-matched transductive concat control. Because this control matches unlabeled target features but not the learning objective or adaptation algorithm of scArches, it does not prove algorithmic equivalence; it does show that feature access alone can change the apparent residual advantage.</w:t>
      </w:r>
    </w:p>
    <w:p>
      <w:pPr>
        <w:spacing w:before="0" w:after="120" w:line="240" w:lineRule="auto"/>
        <w:ind w:firstLine="0"/>
        <w:jc w:val="both"/>
      </w:pPr>
      <w:r>
        <w:rPr>
          <w:rFonts w:ascii="Times New Roman" w:hAnsi="Times New Roman" w:eastAsia="Times New Roman"/>
          <w:b w:val="0"/>
          <w:i w:val="0"/>
          <w:sz w:val="20"/>
        </w:rPr>
        <w:t>Protein degradation further constrained the interpretation. Training-time corruption gradually narrowed totalVI performance relative to the clean setting, and Direction B post-adaptation degradation reduced totalVI from 0.654 to 0.621. The non-monotonic high-corruption training-time mean was within mask/retraining variability and should not be described as evidence that more severe corruption improves performance.</w:t>
      </w:r>
    </w:p>
    <w:p>
      <w:pPr>
        <w:spacing w:before="0" w:after="120" w:line="240" w:lineRule="auto"/>
        <w:ind w:firstLine="0"/>
        <w:jc w:val="both"/>
      </w:pPr>
      <w:r>
        <w:rPr>
          <w:rFonts w:ascii="Times New Roman" w:hAnsi="Times New Roman" w:eastAsia="Times New Roman"/>
          <w:b w:val="0"/>
          <w:i w:val="0"/>
          <w:sz w:val="20"/>
        </w:rPr>
        <w:t>Uncertainty diagnostics identified different forms of reliability loss. Classifier predictive uncertainty ranked errors and supported selective prediction, while latent posterior variance reflected representation-level dispersion. Because these measures can move differently under degradation, neither should be treated as a complete reliability measure. Selective prediction reduced retained-cell error but introduced cell-type-dependent retention, making coverage composition a necessary companion to risk summaries.</w:t>
      </w:r>
    </w:p>
    <w:p>
      <w:pPr>
        <w:spacing w:before="0" w:after="120" w:line="240" w:lineRule="auto"/>
        <w:ind w:firstLine="0"/>
        <w:jc w:val="both"/>
      </w:pPr>
      <w:r>
        <w:rPr>
          <w:rFonts w:ascii="Times New Roman" w:hAnsi="Times New Roman" w:eastAsia="Times New Roman"/>
          <w:b w:val="0"/>
          <w:i w:val="0"/>
          <w:sz w:val="20"/>
        </w:rPr>
        <w:t>Training stochasticity limited the precision of small residual totalVI-associated contrasts. Residual run-level variation was large in the balanced replication design, especially for totalVI and paired totalVI-scVI contrasts. This does not invalidate larger and direction-consistent effects, but it argues against overinterpreting small differences without matched baselines, repeated runs, and interval estimates.</w:t>
      </w:r>
    </w:p>
    <w:p>
      <w:pPr>
        <w:spacing w:before="0" w:after="120" w:line="240" w:lineRule="auto"/>
        <w:ind w:firstLine="0"/>
        <w:jc w:val="both"/>
      </w:pPr>
      <w:r>
        <w:rPr>
          <w:rFonts w:ascii="Times New Roman" w:hAnsi="Times New Roman" w:eastAsia="Times New Roman"/>
          <w:b w:val="0"/>
          <w:i w:val="0"/>
          <w:sz w:val="20"/>
        </w:rPr>
        <w:t>Lawlor donor validation strengthened the conclusion that paired proteins can be highly valuable across biological donors. The totalVI-scVI donor contrast favored totalVI in all 10 donors, but protein PCA and concat exceeded totalVI under protein-gated labels. This is not a contradiction; it shows that when labels depend heavily on surface markers, direct protein-aligned representations can be extremely strong.</w:t>
      </w:r>
    </w:p>
    <w:p>
      <w:pPr>
        <w:spacing w:before="0" w:after="120" w:line="240" w:lineRule="auto"/>
        <w:ind w:firstLine="0"/>
        <w:jc w:val="both"/>
      </w:pPr>
      <w:r>
        <w:rPr>
          <w:rFonts w:ascii="Times New Roman" w:hAnsi="Times New Roman" w:eastAsia="Times New Roman"/>
          <w:b w:val="0"/>
          <w:i w:val="0"/>
          <w:sz w:val="20"/>
        </w:rPr>
        <w:t>Several limitations remain. The internal and transfer analyses are PBMC-focused and classification-centered; conclusions should not be generalized to trajectory inference, perturbation response, or rare-state discovery without testing. Antibody panels are limited (14 shared internal proteins; 12 matched Lawlor proteins). Only one primary complex multimodal model (totalVI) was stress-tested against concat, with MOFA+ as a secondary factor baseline; additional multimodal architectures were not newly trained in this revision. Lawlor labels are protein-gated, and only 10 biological donors are available. The feature-access-matched concat control does not reproduce scArches’ learning objective. Entry-wise zero-masking approximates protein degradation; an exploratory PCA-only marker-channel dropout sensitivity is reported in Supplementary Results and does not test totalVI under panel failure. Bootstrap intervals are conditional cell-level intervals, not biological confidence intervals. Uncertainty scores do not guarantee biological label correctness, and selective prediction changes retained cell-type composition. These limits make the conclusion narrower but more reliable: protein access is a strong contributor, while residual totalVI-associated gain must be demonstrated in each evaluation context.</w:t>
      </w:r>
    </w:p>
    <w:p>
      <w:pPr>
        <w:spacing w:before="0" w:after="160" w:line="240" w:lineRule="auto"/>
        <w:ind w:firstLine="0"/>
        <w:jc w:val="left"/>
      </w:pPr>
      <w:r>
        <w:rPr>
          <w:rFonts w:ascii="Times New Roman" w:hAnsi="Times New Roman" w:eastAsia="Times New Roman"/>
          <w:b/>
          <w:i w:val="0"/>
          <w:color w:val="1B3A5F"/>
          <w:sz w:val="24"/>
        </w:rPr>
        <w:t>Conclusion</w:t>
      </w:r>
    </w:p>
    <w:p>
      <w:pPr>
        <w:spacing w:before="0" w:after="120" w:line="240" w:lineRule="auto"/>
        <w:ind w:firstLine="0"/>
        <w:jc w:val="both"/>
      </w:pPr>
      <w:r>
        <w:rPr>
          <w:rFonts w:ascii="Times New Roman" w:hAnsi="Times New Roman" w:eastAsia="Times New Roman"/>
          <w:b w:val="0"/>
          <w:i w:val="0"/>
          <w:sz w:val="20"/>
        </w:rPr>
        <w:t>Protein-access gain was strong and reproducible in the evaluated CITE-seq settings. The residual totalVI-associated contrast was smaller, less precisely estimated internally, and context-dependent under transfer, degradation, and training stochasticity. Multimodal representation claims should therefore be evaluated against simple RNA-protein baselines that make feature access explicit.</w:t>
      </w:r>
    </w:p>
    <w:p>
      <w:pPr>
        <w:spacing w:before="0" w:after="160" w:line="240" w:lineRule="auto"/>
        <w:ind w:firstLine="0"/>
        <w:jc w:val="left"/>
      </w:pPr>
      <w:r>
        <w:rPr>
          <w:rFonts w:ascii="Times New Roman" w:hAnsi="Times New Roman" w:eastAsia="Times New Roman"/>
          <w:b/>
          <w:i w:val="0"/>
          <w:color w:val="1B3A5F"/>
          <w:sz w:val="24"/>
        </w:rPr>
        <w:t>Methods</w:t>
      </w:r>
    </w:p>
    <w:p>
      <w:pPr>
        <w:spacing w:before="0" w:after="160" w:line="240" w:lineRule="auto"/>
        <w:ind w:firstLine="0"/>
        <w:jc w:val="left"/>
      </w:pPr>
      <w:r>
        <w:rPr>
          <w:rFonts w:ascii="Times New Roman" w:hAnsi="Times New Roman" w:eastAsia="Times New Roman"/>
          <w:b/>
          <w:i w:val="0"/>
          <w:color w:val="1B3A5F"/>
          <w:sz w:val="22"/>
        </w:rPr>
        <w:t>Datasets and biological evaluation units</w:t>
      </w:r>
    </w:p>
    <w:p>
      <w:pPr>
        <w:spacing w:before="0" w:after="120" w:line="240" w:lineRule="auto"/>
        <w:ind w:firstLine="0"/>
        <w:jc w:val="both"/>
      </w:pPr>
      <w:r>
        <w:rPr>
          <w:rFonts w:ascii="Times New Roman" w:hAnsi="Times New Roman" w:eastAsia="Times New Roman"/>
          <w:b/>
          <w:i w:val="0"/>
          <w:color w:val="1B3A5F"/>
          <w:sz w:val="18"/>
        </w:rPr>
        <w:t>Internal PBMC development and transfer.</w:t>
      </w:r>
      <w:r>
        <w:rPr>
          <w:rFonts w:ascii="Times New Roman" w:hAnsi="Times New Roman" w:eastAsia="Times New Roman"/>
          <w:b w:val="0"/>
          <w:i w:val="0"/>
          <w:sz w:val="18"/>
        </w:rPr>
        <w:t xml:space="preserve"> Analyses used the public scvi-tools / 10x Genomics CITE-seq example files `pbmc_10k_protein_v3.h5ad` and `pbmc_5k_protein_v3.h5ad`, downloaded from the scverse exampledata URLs with a YosefLab/scVI-data GitHub fallback (project `config/config.yaml`). No GEO/SRA accession was present in local metadata, so none is claimed. Datasets were loaded separately and combined by </w:t>
      </w:r>
      <w:r>
        <w:rPr>
          <w:rFonts w:ascii="Times New Roman" w:hAnsi="Times New Roman" w:eastAsia="Times New Roman"/>
          <w:b/>
          <w:i w:val="0"/>
          <w:color w:val="1B3A5F"/>
          <w:sz w:val="18"/>
        </w:rPr>
        <w:t>inner join</w:t>
      </w:r>
      <w:r>
        <w:rPr>
          <w:rFonts w:ascii="Times New Roman" w:hAnsi="Times New Roman" w:eastAsia="Times New Roman"/>
          <w:b w:val="0"/>
          <w:i w:val="0"/>
          <w:sz w:val="18"/>
        </w:rPr>
        <w:t xml:space="preserve"> on shared genes and proteins (project loader; the scvi-tools helper was not used as the primary API because it silently intersects features and can fill missing proteins with zero). The combined inner object contained </w:t>
      </w:r>
      <w:r>
        <w:rPr>
          <w:rFonts w:ascii="Times New Roman" w:hAnsi="Times New Roman" w:eastAsia="Times New Roman"/>
          <w:b/>
          <w:i w:val="0"/>
          <w:color w:val="1B3A5F"/>
          <w:sz w:val="18"/>
        </w:rPr>
        <w:t>10,849</w:t>
      </w:r>
      <w:r>
        <w:rPr>
          <w:rFonts w:ascii="Times New Roman" w:hAnsi="Times New Roman" w:eastAsia="Times New Roman"/>
          <w:b w:val="0"/>
          <w:i w:val="0"/>
          <w:sz w:val="18"/>
        </w:rPr>
        <w:t xml:space="preserve"> cells, </w:t>
      </w:r>
      <w:r>
        <w:rPr>
          <w:rFonts w:ascii="Times New Roman" w:hAnsi="Times New Roman" w:eastAsia="Times New Roman"/>
          <w:b/>
          <w:i w:val="0"/>
          <w:color w:val="1B3A5F"/>
          <w:sz w:val="18"/>
        </w:rPr>
        <w:t>15,792</w:t>
      </w:r>
      <w:r>
        <w:rPr>
          <w:rFonts w:ascii="Times New Roman" w:hAnsi="Times New Roman" w:eastAsia="Times New Roman"/>
          <w:b w:val="0"/>
          <w:i w:val="0"/>
          <w:sz w:val="18"/>
        </w:rPr>
        <w:t xml:space="preserve"> shared genes, and </w:t>
      </w:r>
      <w:r>
        <w:rPr>
          <w:rFonts w:ascii="Times New Roman" w:hAnsi="Times New Roman" w:eastAsia="Times New Roman"/>
          <w:b/>
          <w:i w:val="0"/>
          <w:color w:val="1B3A5F"/>
          <w:sz w:val="18"/>
        </w:rPr>
        <w:t>14</w:t>
      </w:r>
      <w:r>
        <w:rPr>
          <w:rFonts w:ascii="Times New Roman" w:hAnsi="Times New Roman" w:eastAsia="Times New Roman"/>
          <w:b w:val="0"/>
          <w:i w:val="0"/>
          <w:sz w:val="18"/>
        </w:rPr>
        <w:t xml:space="preserve"> shared proteins (PBMC10k </w:t>
      </w:r>
      <w:r>
        <w:rPr>
          <w:rFonts w:ascii="Times New Roman" w:hAnsi="Times New Roman" w:eastAsia="Times New Roman"/>
          <w:b/>
          <w:i w:val="0"/>
          <w:color w:val="1B3A5F"/>
          <w:sz w:val="18"/>
        </w:rPr>
        <w:t>6,855</w:t>
      </w:r>
      <w:r>
        <w:rPr>
          <w:rFonts w:ascii="Times New Roman" w:hAnsi="Times New Roman" w:eastAsia="Times New Roman"/>
          <w:b w:val="0"/>
          <w:i w:val="0"/>
          <w:sz w:val="18"/>
        </w:rPr>
        <w:t xml:space="preserve"> cells; PBMC5k </w:t>
      </w:r>
      <w:r>
        <w:rPr>
          <w:rFonts w:ascii="Times New Roman" w:hAnsi="Times New Roman" w:eastAsia="Times New Roman"/>
          <w:b/>
          <w:i w:val="0"/>
          <w:color w:val="1B3A5F"/>
          <w:sz w:val="18"/>
        </w:rPr>
        <w:t>3,994</w:t>
      </w:r>
      <w:r>
        <w:rPr>
          <w:rFonts w:ascii="Times New Roman" w:hAnsi="Times New Roman" w:eastAsia="Times New Roman"/>
          <w:b w:val="0"/>
          <w:i w:val="0"/>
          <w:sz w:val="18"/>
        </w:rPr>
        <w:t xml:space="preserve"> cells). Batch labels were dataset identity (`batch` ∈ {PBMC10k, PBMC5k}).</w:t>
      </w:r>
    </w:p>
    <w:p>
      <w:pPr>
        <w:spacing w:before="0" w:after="120" w:line="240" w:lineRule="auto"/>
        <w:ind w:firstLine="0"/>
        <w:jc w:val="both"/>
      </w:pPr>
      <w:r>
        <w:rPr>
          <w:rFonts w:ascii="Times New Roman" w:hAnsi="Times New Roman" w:eastAsia="Times New Roman"/>
          <w:b/>
          <w:i w:val="0"/>
          <w:color w:val="1B3A5F"/>
          <w:sz w:val="18"/>
        </w:rPr>
        <w:t>Quality control.</w:t>
      </w:r>
      <w:r>
        <w:rPr>
          <w:rFonts w:ascii="Times New Roman" w:hAnsi="Times New Roman" w:eastAsia="Times New Roman"/>
          <w:b w:val="0"/>
          <w:i w:val="0"/>
          <w:sz w:val="18"/>
        </w:rPr>
        <w:t xml:space="preserve"> Project configuration sets `additional_cell_filter: false`. No additional minimum/maximum gene, count, mitochondrial-fraction, or doublet filters were applied beyond those already present in the downloaded processed objects (documented as inherited from totalVI-style reproducibility preprocessing of the source files). Gene and protein panels for modeling used the shared inner-join universe; highly variable gene selection for </w:t>
      </w:r>
      <w:r>
        <w:rPr>
          <w:rFonts w:ascii="Times New Roman" w:hAnsi="Times New Roman" w:eastAsia="Times New Roman"/>
          <w:b/>
          <w:i w:val="0"/>
          <w:color w:val="1B3A5F"/>
          <w:sz w:val="18"/>
        </w:rPr>
        <w:t>PCA baselines</w:t>
      </w:r>
      <w:r>
        <w:rPr>
          <w:rFonts w:ascii="Times New Roman" w:hAnsi="Times New Roman" w:eastAsia="Times New Roman"/>
          <w:b w:val="0"/>
          <w:i w:val="0"/>
          <w:sz w:val="18"/>
        </w:rPr>
        <w:t xml:space="preserve"> is described below and is distinct from VAE training, which used the full shared gene count matrix.</w:t>
      </w:r>
    </w:p>
    <w:p>
      <w:pPr>
        <w:spacing w:before="0" w:after="120" w:line="240" w:lineRule="auto"/>
        <w:ind w:firstLine="0"/>
        <w:jc w:val="both"/>
      </w:pPr>
      <w:r>
        <w:rPr>
          <w:rFonts w:ascii="Times New Roman" w:hAnsi="Times New Roman" w:eastAsia="Times New Roman"/>
          <w:b/>
          <w:i w:val="0"/>
          <w:color w:val="1B3A5F"/>
          <w:sz w:val="18"/>
        </w:rPr>
        <w:t>Development evaluation set.</w:t>
      </w:r>
      <w:r>
        <w:rPr>
          <w:rFonts w:ascii="Times New Roman" w:hAnsi="Times New Roman" w:eastAsia="Times New Roman"/>
          <w:b w:val="0"/>
          <w:i w:val="0"/>
          <w:sz w:val="18"/>
        </w:rPr>
        <w:t xml:space="preserve"> Primary internal contrasts used </w:t>
      </w:r>
      <w:r>
        <w:rPr>
          <w:rFonts w:ascii="Times New Roman" w:hAnsi="Times New Roman" w:eastAsia="Times New Roman"/>
          <w:b/>
          <w:i w:val="0"/>
          <w:color w:val="1B3A5F"/>
          <w:sz w:val="18"/>
        </w:rPr>
        <w:t>9,494</w:t>
      </w:r>
      <w:r>
        <w:rPr>
          <w:rFonts w:ascii="Times New Roman" w:hAnsi="Times New Roman" w:eastAsia="Times New Roman"/>
          <w:b w:val="0"/>
          <w:i w:val="0"/>
          <w:sz w:val="18"/>
        </w:rPr>
        <w:t xml:space="preserve"> high-confidence cells (`annotation_tier_l2 == "high"`, confidence threshold 0.85). Macro-F1 on L2 labels was the primary metric.</w:t>
      </w:r>
    </w:p>
    <w:p>
      <w:pPr>
        <w:spacing w:before="0" w:after="120" w:line="240" w:lineRule="auto"/>
        <w:ind w:firstLine="0"/>
        <w:jc w:val="both"/>
      </w:pPr>
      <w:r>
        <w:rPr>
          <w:rFonts w:ascii="Times New Roman" w:hAnsi="Times New Roman" w:eastAsia="Times New Roman"/>
          <w:b/>
          <w:i w:val="0"/>
          <w:color w:val="1B3A5F"/>
          <w:sz w:val="18"/>
        </w:rPr>
        <w:t>Lawlor external cohort.</w:t>
      </w:r>
      <w:r>
        <w:rPr>
          <w:rFonts w:ascii="Times New Roman" w:hAnsi="Times New Roman" w:eastAsia="Times New Roman"/>
          <w:b w:val="0"/>
          <w:i w:val="0"/>
          <w:sz w:val="18"/>
        </w:rPr>
        <w:t xml:space="preserve"> External validation used the Lawlor blood CITE-seq dataset [13] (HCA `efea6426-510a-4b60-9a19-277e52bfa815`; ENA `PRJEB40376` / `ERP124005`). The biological unit was the </w:t>
      </w:r>
      <w:r>
        <w:rPr>
          <w:rFonts w:ascii="Times New Roman" w:hAnsi="Times New Roman" w:eastAsia="Times New Roman"/>
          <w:b/>
          <w:i w:val="0"/>
          <w:color w:val="1B3A5F"/>
          <w:sz w:val="18"/>
        </w:rPr>
        <w:t>donor</w:t>
      </w:r>
      <w:r>
        <w:rPr>
          <w:rFonts w:ascii="Times New Roman" w:hAnsi="Times New Roman" w:eastAsia="Times New Roman"/>
          <w:b w:val="0"/>
          <w:i w:val="0"/>
          <w:sz w:val="18"/>
        </w:rPr>
        <w:t xml:space="preserve"> (</w:t>
      </w:r>
      <w:r>
        <w:rPr>
          <w:rFonts w:ascii="Times New Roman" w:hAnsi="Times New Roman" w:eastAsia="Times New Roman"/>
          <w:b w:val="0"/>
          <w:i/>
          <w:sz w:val="18"/>
        </w:rPr>
        <w:t>n</w:t>
      </w:r>
      <w:r>
        <w:rPr>
          <w:rFonts w:ascii="Times New Roman" w:hAnsi="Times New Roman" w:eastAsia="Times New Roman"/>
          <w:b w:val="0"/>
          <w:i w:val="0"/>
          <w:sz w:val="18"/>
        </w:rPr>
        <w:t xml:space="preserve"> = 10). Author labels in the labeled subset are protein-gated. Batch covariate for deep models was sequencing lane (`run_identifier`); donor was </w:t>
      </w:r>
      <w:r>
        <w:rPr>
          <w:rFonts w:ascii="Times New Roman" w:hAnsi="Times New Roman" w:eastAsia="Times New Roman"/>
          <w:b/>
          <w:i w:val="0"/>
          <w:color w:val="1B3A5F"/>
          <w:sz w:val="18"/>
        </w:rPr>
        <w:t>not</w:t>
      </w:r>
      <w:r>
        <w:rPr>
          <w:rFonts w:ascii="Times New Roman" w:hAnsi="Times New Roman" w:eastAsia="Times New Roman"/>
          <w:b w:val="0"/>
          <w:i w:val="0"/>
          <w:sz w:val="18"/>
        </w:rPr>
        <w:t xml:space="preserve"> supplied as a batch key. Primary donor metric: present-class macro-F1 (classes absent in a donor are excluded for that donor).</w:t>
      </w:r>
    </w:p>
    <w:p>
      <w:pPr>
        <w:spacing w:before="0" w:after="160" w:line="240" w:lineRule="auto"/>
        <w:ind w:firstLine="0"/>
        <w:jc w:val="left"/>
      </w:pPr>
      <w:r>
        <w:rPr>
          <w:rFonts w:ascii="Times New Roman" w:hAnsi="Times New Roman" w:eastAsia="Times New Roman"/>
          <w:b/>
          <w:i w:val="0"/>
          <w:color w:val="1B3A5F"/>
          <w:sz w:val="22"/>
        </w:rPr>
        <w:t>Annotation provenance and label-independence audit</w:t>
      </w:r>
    </w:p>
    <w:p>
      <w:pPr>
        <w:spacing w:before="0" w:after="120" w:line="240" w:lineRule="auto"/>
        <w:ind w:firstLine="0"/>
        <w:jc w:val="both"/>
      </w:pPr>
      <w:r>
        <w:rPr>
          <w:rFonts w:ascii="Times New Roman" w:hAnsi="Times New Roman" w:eastAsia="Times New Roman"/>
          <w:b w:val="0"/>
          <w:i w:val="0"/>
          <w:sz w:val="18"/>
        </w:rPr>
        <w:t xml:space="preserve">Internal development labels were generated through an </w:t>
      </w:r>
      <w:r>
        <w:rPr>
          <w:rFonts w:ascii="Times New Roman" w:hAnsi="Times New Roman" w:eastAsia="Times New Roman"/>
          <w:b/>
          <w:i w:val="0"/>
          <w:color w:val="1B3A5F"/>
          <w:sz w:val="18"/>
        </w:rPr>
        <w:t>RNA-only</w:t>
      </w:r>
      <w:r>
        <w:rPr>
          <w:rFonts w:ascii="Times New Roman" w:hAnsi="Times New Roman" w:eastAsia="Times New Roman"/>
          <w:b w:val="0"/>
          <w:i w:val="0"/>
          <w:sz w:val="18"/>
        </w:rPr>
        <w:t xml:space="preserve"> Seurat v4 reference annotation pathway. An RNA-only re-annotation audit agreed with the stored high-confidence labels on all </w:t>
      </w:r>
      <w:r>
        <w:rPr>
          <w:rFonts w:ascii="Times New Roman" w:hAnsi="Times New Roman" w:eastAsia="Times New Roman"/>
          <w:b/>
          <w:i w:val="0"/>
          <w:color w:val="1B3A5F"/>
          <w:sz w:val="18"/>
        </w:rPr>
        <w:t>9,494</w:t>
      </w:r>
      <w:r>
        <w:rPr>
          <w:rFonts w:ascii="Times New Roman" w:hAnsi="Times New Roman" w:eastAsia="Times New Roman"/>
          <w:b w:val="0"/>
          <w:i w:val="0"/>
          <w:sz w:val="18"/>
        </w:rPr>
        <w:t xml:space="preserve"> evaluated cells (agreement = 1.0). This rules out the simple explanation that the internal protein-access advantage was produced by defining labels from the same protein features used as predictors. It does </w:t>
      </w:r>
      <w:r>
        <w:rPr>
          <w:rFonts w:ascii="Times New Roman" w:hAnsi="Times New Roman" w:eastAsia="Times New Roman"/>
          <w:b/>
          <w:i w:val="0"/>
          <w:color w:val="1B3A5F"/>
          <w:sz w:val="18"/>
        </w:rPr>
        <w:t>not</w:t>
      </w:r>
      <w:r>
        <w:rPr>
          <w:rFonts w:ascii="Times New Roman" w:hAnsi="Times New Roman" w:eastAsia="Times New Roman"/>
          <w:b w:val="0"/>
          <w:i w:val="0"/>
          <w:sz w:val="18"/>
        </w:rPr>
        <w:t xml:space="preserve"> independently establish biological correctness of those labels.</w:t>
      </w:r>
    </w:p>
    <w:p>
      <w:pPr>
        <w:spacing w:before="0" w:after="120" w:line="240" w:lineRule="auto"/>
        <w:ind w:firstLine="0"/>
        <w:jc w:val="both"/>
      </w:pPr>
      <w:r>
        <w:rPr>
          <w:rFonts w:ascii="Times New Roman" w:hAnsi="Times New Roman" w:eastAsia="Times New Roman"/>
          <w:b w:val="0"/>
          <w:i w:val="0"/>
          <w:sz w:val="18"/>
        </w:rPr>
        <w:t>Lawlor author labels are protein-gated; strong protein PCA / concat performance is therefore expected under label-modality alignment and is not evidence of universal representation superiority.</w:t>
      </w:r>
    </w:p>
    <w:p>
      <w:pPr>
        <w:spacing w:before="0" w:after="160" w:line="240" w:lineRule="auto"/>
        <w:ind w:firstLine="0"/>
        <w:jc w:val="left"/>
      </w:pPr>
      <w:r>
        <w:rPr>
          <w:rFonts w:ascii="Times New Roman" w:hAnsi="Times New Roman" w:eastAsia="Times New Roman"/>
          <w:b/>
          <w:i w:val="0"/>
          <w:color w:val="1B3A5F"/>
          <w:sz w:val="22"/>
        </w:rPr>
        <w:t>Feature preprocessing and PCA representations</w:t>
      </w:r>
    </w:p>
    <w:p>
      <w:pPr>
        <w:spacing w:before="0" w:after="120" w:line="240" w:lineRule="auto"/>
        <w:ind w:firstLine="0"/>
        <w:jc w:val="both"/>
      </w:pPr>
      <w:r>
        <w:rPr>
          <w:rFonts w:ascii="Times New Roman" w:hAnsi="Times New Roman" w:eastAsia="Times New Roman"/>
          <w:b w:val="0"/>
          <w:i w:val="0"/>
          <w:sz w:val="18"/>
        </w:rPr>
        <w:t xml:space="preserve">Unless noted, unsupervised transforms for internal evaluation were fit on </w:t>
      </w:r>
      <w:r>
        <w:rPr>
          <w:rFonts w:ascii="Times New Roman" w:hAnsi="Times New Roman" w:eastAsia="Times New Roman"/>
          <w:b/>
          <w:i w:val="0"/>
          <w:color w:val="1B3A5F"/>
          <w:sz w:val="18"/>
        </w:rPr>
        <w:t>training</w:t>
      </w:r>
      <w:r>
        <w:rPr>
          <w:rFonts w:ascii="Times New Roman" w:hAnsi="Times New Roman" w:eastAsia="Times New Roman"/>
          <w:b w:val="0"/>
          <w:i w:val="0"/>
          <w:sz w:val="18"/>
        </w:rPr>
        <w:t xml:space="preserve"> high-confidence cells only and applied to held-out cells. For transfer, inductive transforms were fit on </w:t>
      </w:r>
      <w:r>
        <w:rPr>
          <w:rFonts w:ascii="Times New Roman" w:hAnsi="Times New Roman" w:eastAsia="Times New Roman"/>
          <w:b/>
          <w:i w:val="0"/>
          <w:color w:val="1B3A5F"/>
          <w:sz w:val="18"/>
        </w:rPr>
        <w:t>source</w:t>
      </w:r>
      <w:r>
        <w:rPr>
          <w:rFonts w:ascii="Times New Roman" w:hAnsi="Times New Roman" w:eastAsia="Times New Roman"/>
          <w:b w:val="0"/>
          <w:i w:val="0"/>
          <w:sz w:val="18"/>
        </w:rPr>
        <w:t xml:space="preserve"> cells only.</w:t>
      </w:r>
    </w:p>
    <w:p>
      <w:pPr>
        <w:spacing w:before="0" w:after="120" w:line="240" w:lineRule="auto"/>
        <w:ind w:firstLine="0"/>
        <w:jc w:val="both"/>
      </w:pPr>
      <w:r>
        <w:rPr>
          <w:rFonts w:ascii="Times New Roman" w:hAnsi="Times New Roman" w:eastAsia="Times New Roman"/>
          <w:b/>
          <w:i w:val="0"/>
          <w:color w:val="1B3A5F"/>
          <w:sz w:val="18"/>
        </w:rPr>
        <w:t>RNA PCA.</w:t>
      </w:r>
      <w:r>
        <w:rPr>
          <w:rFonts w:ascii="Times New Roman" w:hAnsi="Times New Roman" w:eastAsia="Times New Roman"/>
          <w:b w:val="0"/>
          <w:i w:val="0"/>
          <w:sz w:val="18"/>
        </w:rPr>
        <w:t xml:space="preserve"> Select </w:t>
      </w:r>
      <w:r>
        <w:rPr>
          <w:rFonts w:ascii="Times New Roman" w:hAnsi="Times New Roman" w:eastAsia="Times New Roman"/>
          <w:b/>
          <w:i w:val="0"/>
          <w:color w:val="1B3A5F"/>
          <w:sz w:val="18"/>
        </w:rPr>
        <w:t>2,000</w:t>
      </w:r>
      <w:r>
        <w:rPr>
          <w:rFonts w:ascii="Times New Roman" w:hAnsi="Times New Roman" w:eastAsia="Times New Roman"/>
          <w:b w:val="0"/>
          <w:i w:val="0"/>
          <w:sz w:val="18"/>
        </w:rPr>
        <w:t xml:space="preserve"> highly variable genes (`scanpy` `flavor="seurat_v3"`); normalize to </w:t>
      </w:r>
      <w:r>
        <w:rPr>
          <w:rFonts w:ascii="Times New Roman" w:hAnsi="Times New Roman" w:eastAsia="Times New Roman"/>
          <w:b/>
          <w:i w:val="0"/>
          <w:color w:val="1B3A5F"/>
          <w:sz w:val="18"/>
        </w:rPr>
        <w:t>1×10⁴</w:t>
      </w:r>
      <w:r>
        <w:rPr>
          <w:rFonts w:ascii="Times New Roman" w:hAnsi="Times New Roman" w:eastAsia="Times New Roman"/>
          <w:b w:val="0"/>
          <w:i w:val="0"/>
          <w:sz w:val="18"/>
        </w:rPr>
        <w:t xml:space="preserve"> counts per cell; `log1p`; z-score with clipping at </w:t>
      </w:r>
      <w:r>
        <w:rPr>
          <w:rFonts w:ascii="Times New Roman" w:hAnsi="Times New Roman" w:eastAsia="Times New Roman"/>
          <w:b/>
          <w:i w:val="0"/>
          <w:color w:val="1B3A5F"/>
          <w:sz w:val="18"/>
        </w:rPr>
        <w:t>±10</w:t>
      </w:r>
      <w:r>
        <w:rPr>
          <w:rFonts w:ascii="Times New Roman" w:hAnsi="Times New Roman" w:eastAsia="Times New Roman"/>
          <w:b w:val="0"/>
          <w:i w:val="0"/>
          <w:sz w:val="18"/>
        </w:rPr>
        <w:t xml:space="preserve">; PCA with </w:t>
      </w:r>
      <w:r>
        <w:rPr>
          <w:rFonts w:ascii="Times New Roman" w:hAnsi="Times New Roman" w:eastAsia="Times New Roman"/>
          <w:b/>
          <w:i w:val="0"/>
          <w:color w:val="1B3A5F"/>
          <w:sz w:val="18"/>
        </w:rPr>
        <w:t>10</w:t>
      </w:r>
      <w:r>
        <w:rPr>
          <w:rFonts w:ascii="Times New Roman" w:hAnsi="Times New Roman" w:eastAsia="Times New Roman"/>
          <w:b w:val="0"/>
          <w:i w:val="0"/>
          <w:sz w:val="18"/>
        </w:rPr>
        <w:t xml:space="preserve"> components (`random_state=0`). (Project `config.yaml` lists `n_top_genes: 4000` for historical VAE-related settings; the </w:t>
      </w:r>
      <w:r>
        <w:rPr>
          <w:rFonts w:ascii="Times New Roman" w:hAnsi="Times New Roman" w:eastAsia="Times New Roman"/>
          <w:b/>
          <w:i w:val="0"/>
          <w:color w:val="1B3A5F"/>
          <w:sz w:val="18"/>
        </w:rPr>
        <w:t>primary PCA path hard-codes 2000</w:t>
      </w:r>
      <w:r>
        <w:rPr>
          <w:rFonts w:ascii="Times New Roman" w:hAnsi="Times New Roman" w:eastAsia="Times New Roman"/>
          <w:b w:val="0"/>
          <w:i w:val="0"/>
          <w:sz w:val="18"/>
        </w:rPr>
        <w:t xml:space="preserve"> and does not read that config value.)</w:t>
      </w:r>
    </w:p>
    <w:p>
      <w:pPr>
        <w:spacing w:before="0" w:after="120" w:line="240" w:lineRule="auto"/>
        <w:ind w:firstLine="0"/>
        <w:jc w:val="both"/>
      </w:pPr>
      <w:r>
        <w:rPr>
          <w:rFonts w:ascii="Times New Roman" w:hAnsi="Times New Roman" w:eastAsia="Times New Roman"/>
          <w:b/>
          <w:i w:val="0"/>
          <w:color w:val="1B3A5F"/>
          <w:sz w:val="18"/>
        </w:rPr>
        <w:t>Protein PCA.</w:t>
      </w:r>
      <w:r>
        <w:rPr>
          <w:rFonts w:ascii="Times New Roman" w:hAnsi="Times New Roman" w:eastAsia="Times New Roman"/>
          <w:b w:val="0"/>
          <w:i w:val="0"/>
          <w:sz w:val="18"/>
        </w:rPr>
        <w:t xml:space="preserve"> Centered log-ratio (CLR) transform on raw protein counts with pseudocount </w:t>
      </w:r>
      <w:r>
        <w:rPr>
          <w:rFonts w:ascii="Times New Roman" w:hAnsi="Times New Roman" w:eastAsia="Times New Roman"/>
          <w:b/>
          <w:i w:val="0"/>
          <w:color w:val="1B3A5F"/>
          <w:sz w:val="18"/>
        </w:rPr>
        <w:t>1.0</w:t>
      </w:r>
      <w:r>
        <w:rPr>
          <w:rFonts w:ascii="Times New Roman" w:hAnsi="Times New Roman" w:eastAsia="Times New Roman"/>
          <w:b w:val="0"/>
          <w:i w:val="0"/>
          <w:sz w:val="18"/>
        </w:rPr>
        <w:t xml:space="preserve">; z-score using training/source mean and sample SD (`ddof=1`); PCA with </w:t>
      </w:r>
      <w:r>
        <w:rPr>
          <w:rFonts w:ascii="Times New Roman" w:hAnsi="Times New Roman" w:eastAsia="Times New Roman"/>
          <w:b/>
          <w:i w:val="0"/>
          <w:color w:val="1B3A5F"/>
          <w:sz w:val="18"/>
        </w:rPr>
        <w:t>10</w:t>
      </w:r>
      <w:r>
        <w:rPr>
          <w:rFonts w:ascii="Times New Roman" w:hAnsi="Times New Roman" w:eastAsia="Times New Roman"/>
          <w:b w:val="0"/>
          <w:i w:val="0"/>
          <w:sz w:val="18"/>
        </w:rPr>
        <w:t xml:space="preserve"> components.</w:t>
      </w:r>
    </w:p>
    <w:p>
      <w:pPr>
        <w:spacing w:before="0" w:after="120" w:line="240" w:lineRule="auto"/>
        <w:ind w:firstLine="0"/>
        <w:jc w:val="both"/>
      </w:pPr>
      <w:r>
        <w:rPr>
          <w:rFonts w:ascii="Times New Roman" w:hAnsi="Times New Roman" w:eastAsia="Times New Roman"/>
          <w:b/>
          <w:i w:val="0"/>
          <w:color w:val="1B3A5F"/>
          <w:sz w:val="18"/>
        </w:rPr>
        <w:t>Concatenated RNA-protein PCA.</w:t>
      </w:r>
      <w:r>
        <w:rPr>
          <w:rFonts w:ascii="Times New Roman" w:hAnsi="Times New Roman" w:eastAsia="Times New Roman"/>
          <w:b w:val="0"/>
          <w:i w:val="0"/>
          <w:sz w:val="18"/>
        </w:rPr>
        <w:t xml:space="preserve"> Concatenate 10 RNA PCs and 10 protein PCs; apply `StandardScaler` fit on training/source concatenated coordinates only (inductive). In the feature-access-matched transductive control, unsupervised RNA/protein transforms, PCA, and final scaling were fit on </w:t>
      </w:r>
      <w:r>
        <w:rPr>
          <w:rFonts w:ascii="Times New Roman" w:hAnsi="Times New Roman" w:eastAsia="Times New Roman"/>
          <w:b/>
          <w:i w:val="0"/>
          <w:color w:val="1B3A5F"/>
          <w:sz w:val="18"/>
        </w:rPr>
        <w:t>source + unlabeled target</w:t>
      </w:r>
      <w:r>
        <w:rPr>
          <w:rFonts w:ascii="Times New Roman" w:hAnsi="Times New Roman" w:eastAsia="Times New Roman"/>
          <w:b w:val="0"/>
          <w:i w:val="0"/>
          <w:sz w:val="18"/>
        </w:rPr>
        <w:t xml:space="preserve"> features jointly.</w:t>
      </w:r>
    </w:p>
    <w:p>
      <w:pPr>
        <w:spacing w:before="0" w:after="120" w:line="240" w:lineRule="auto"/>
        <w:ind w:firstLine="0"/>
        <w:jc w:val="both"/>
      </w:pPr>
      <w:r>
        <w:rPr>
          <w:rFonts w:ascii="Times New Roman" w:hAnsi="Times New Roman" w:eastAsia="Times New Roman"/>
          <w:b/>
          <w:i w:val="0"/>
          <w:color w:val="1B3A5F"/>
          <w:sz w:val="18"/>
        </w:rPr>
        <w:t>MOFA+.</w:t>
      </w:r>
      <w:r>
        <w:rPr>
          <w:rFonts w:ascii="Times New Roman" w:hAnsi="Times New Roman" w:eastAsia="Times New Roman"/>
          <w:b w:val="0"/>
          <w:i w:val="0"/>
          <w:sz w:val="18"/>
        </w:rPr>
        <w:t xml:space="preserve"> Frozen multimodal factor-analysis baseline on paired RNA-protein inputs (secondary comparator).</w:t>
      </w:r>
    </w:p>
    <w:p>
      <w:pPr>
        <w:spacing w:before="0" w:after="160" w:line="240" w:lineRule="auto"/>
        <w:ind w:firstLine="0"/>
        <w:jc w:val="left"/>
      </w:pPr>
      <w:r>
        <w:rPr>
          <w:rFonts w:ascii="Times New Roman" w:hAnsi="Times New Roman" w:eastAsia="Times New Roman"/>
          <w:b/>
          <w:i w:val="0"/>
          <w:color w:val="1B3A5F"/>
          <w:sz w:val="22"/>
        </w:rPr>
        <w:t>Deep representations (scVI_matched and totalVI)</w:t>
      </w:r>
    </w:p>
    <w:p>
      <w:pPr>
        <w:spacing w:before="0" w:after="120" w:line="240" w:lineRule="auto"/>
        <w:ind w:firstLine="0"/>
        <w:jc w:val="both"/>
      </w:pPr>
      <w:r>
        <w:rPr>
          <w:rFonts w:ascii="Times New Roman" w:hAnsi="Times New Roman" w:eastAsia="Times New Roman"/>
          <w:b w:val="0"/>
          <w:i w:val="0"/>
          <w:sz w:val="18"/>
        </w:rPr>
        <w:t xml:space="preserve">Reported internal and transfer “scVI” results use the capacity-matched setting </w:t>
      </w:r>
      <w:r>
        <w:rPr>
          <w:rFonts w:ascii="Times New Roman" w:hAnsi="Times New Roman" w:eastAsia="Times New Roman"/>
          <w:b/>
          <w:i w:val="0"/>
          <w:color w:val="1B3A5F"/>
          <w:sz w:val="18"/>
        </w:rPr>
        <w:t>`scVI_matched`</w:t>
      </w:r>
      <w:r>
        <w:rPr>
          <w:rFonts w:ascii="Times New Roman" w:hAnsi="Times New Roman" w:eastAsia="Times New Roman"/>
          <w:b w:val="0"/>
          <w:i w:val="0"/>
          <w:sz w:val="18"/>
        </w:rPr>
        <w:t xml:space="preserve"> (not the project’s PHASE-3 scVI default of `n_hidden=128`, `n_layers=1`, `gene_likelihood=zinb`, `dropout_rate=0.1`).</w:t>
      </w:r>
    </w:p>
    <w:p>
      <w:pPr>
        <w:spacing w:before="0" w:after="120" w:line="240" w:lineRule="auto"/>
        <w:ind w:firstLine="0"/>
        <w:jc w:val="both"/>
      </w:pPr>
      <w:r>
        <w:rPr>
          <w:rFonts w:ascii="Times New Roman" w:hAnsi="Times New Roman" w:eastAsia="Times New Roman"/>
          <w:b/>
          <w:i w:val="0"/>
          <w:color w:val="1B3A5F"/>
          <w:sz w:val="18"/>
        </w:rPr>
        <w:t>scVI_matched:</w:t>
      </w:r>
      <w:r>
        <w:rPr>
          <w:rFonts w:ascii="Times New Roman" w:hAnsi="Times New Roman" w:eastAsia="Times New Roman"/>
          <w:b w:val="0"/>
          <w:i w:val="0"/>
          <w:sz w:val="18"/>
        </w:rPr>
        <w:t xml:space="preserve"> `SCVI` (scvi-tools </w:t>
      </w:r>
      <w:r>
        <w:rPr>
          <w:rFonts w:ascii="Times New Roman" w:hAnsi="Times New Roman" w:eastAsia="Times New Roman"/>
          <w:b/>
          <w:i w:val="0"/>
          <w:color w:val="1B3A5F"/>
          <w:sz w:val="18"/>
        </w:rPr>
        <w:t>1.3.3</w:t>
      </w:r>
      <w:r>
        <w:rPr>
          <w:rFonts w:ascii="Times New Roman" w:hAnsi="Times New Roman" w:eastAsia="Times New Roman"/>
          <w:b w:val="0"/>
          <w:i w:val="0"/>
          <w:sz w:val="18"/>
        </w:rPr>
        <w:t xml:space="preserve">); `n_latent=20`, `n_hidden=256`, `n_layers=2`, `dropout_rate=0.2`, `gene_likelihood="nb"`, `dispersion="gene"`, `latent_distribution="normal"`, `use_observed_lib_size=True`; `setup_anndata` with `layer="counts"`, `batch_key="batch"`. Training: `max_epochs=200`, `early_stopping=True` (monitor `elbo_validation`, patience </w:t>
      </w:r>
      <w:r>
        <w:rPr>
          <w:rFonts w:ascii="Times New Roman" w:hAnsi="Times New Roman" w:eastAsia="Times New Roman"/>
          <w:b/>
          <w:i w:val="0"/>
          <w:color w:val="1B3A5F"/>
          <w:sz w:val="18"/>
        </w:rPr>
        <w:t>45</w:t>
      </w:r>
      <w:r>
        <w:rPr>
          <w:rFonts w:ascii="Times New Roman" w:hAnsi="Times New Roman" w:eastAsia="Times New Roman"/>
          <w:b w:val="0"/>
          <w:i w:val="0"/>
          <w:sz w:val="18"/>
        </w:rPr>
        <w:t>, mode `min`), `train_size=0.9`, `batch_size=256`. Learning rate was not overridden in code (scvi-tools TrainingPlan default).</w:t>
      </w:r>
    </w:p>
    <w:p>
      <w:pPr>
        <w:spacing w:before="0" w:after="120" w:line="240" w:lineRule="auto"/>
        <w:ind w:firstLine="0"/>
        <w:jc w:val="both"/>
      </w:pPr>
      <w:r>
        <w:rPr>
          <w:rFonts w:ascii="Times New Roman" w:hAnsi="Times New Roman" w:eastAsia="Times New Roman"/>
          <w:b/>
          <w:i w:val="0"/>
          <w:color w:val="1B3A5F"/>
          <w:sz w:val="18"/>
        </w:rPr>
        <w:t>totalVI:</w:t>
      </w:r>
      <w:r>
        <w:rPr>
          <w:rFonts w:ascii="Times New Roman" w:hAnsi="Times New Roman" w:eastAsia="Times New Roman"/>
          <w:b w:val="0"/>
          <w:i w:val="0"/>
          <w:sz w:val="18"/>
        </w:rPr>
        <w:t xml:space="preserve"> `TOTALVI`; `n_latent=20`, `n_hidden=256`, `n_layers_encoder=2`, `n_layers_decoder=1`, encoder/decoder dropout </w:t>
      </w:r>
      <w:r>
        <w:rPr>
          <w:rFonts w:ascii="Times New Roman" w:hAnsi="Times New Roman" w:eastAsia="Times New Roman"/>
          <w:b/>
          <w:i w:val="0"/>
          <w:color w:val="1B3A5F"/>
          <w:sz w:val="18"/>
        </w:rPr>
        <w:t>0.2</w:t>
      </w:r>
      <w:r>
        <w:rPr>
          <w:rFonts w:ascii="Times New Roman" w:hAnsi="Times New Roman" w:eastAsia="Times New Roman"/>
          <w:b w:val="0"/>
          <w:i w:val="0"/>
          <w:sz w:val="18"/>
        </w:rPr>
        <w:t>, `gene_likelihood="nb"`, `gene_dispersion="gene"`, `protein_dispersion="protein"`, `latent_distribution="normal"`; protein key `protein_expression` (14 proteins). Training additionally used `lr=4e-3` and `reduce_lr_on_plateau=True`, with the same epoch/early-stopping/batch settings as above.</w:t>
      </w:r>
    </w:p>
    <w:p>
      <w:pPr>
        <w:spacing w:before="0" w:after="120" w:line="240" w:lineRule="auto"/>
        <w:ind w:firstLine="0"/>
        <w:jc w:val="both"/>
      </w:pPr>
      <w:r>
        <w:rPr>
          <w:rFonts w:ascii="Times New Roman" w:hAnsi="Times New Roman" w:eastAsia="Times New Roman"/>
          <w:b/>
          <w:i w:val="0"/>
          <w:color w:val="1B3A5F"/>
          <w:sz w:val="18"/>
        </w:rPr>
        <w:t>scArches transfer.</w:t>
      </w:r>
      <w:r>
        <w:rPr>
          <w:rFonts w:ascii="Times New Roman" w:hAnsi="Times New Roman" w:eastAsia="Times New Roman"/>
          <w:b w:val="0"/>
          <w:i w:val="0"/>
          <w:sz w:val="18"/>
        </w:rPr>
        <w:t xml:space="preserve"> For each direction and seed: train source model → `prepare_query_anndata` / `load_query_data` → unsupervised query adaptation (`query_max_epochs=200`, `weight_decay=0.0`) → encode </w:t>
      </w:r>
      <w:r>
        <w:rPr>
          <w:rFonts w:ascii="Times New Roman" w:hAnsi="Times New Roman" w:eastAsia="Times New Roman"/>
          <w:b/>
          <w:i w:val="0"/>
          <w:color w:val="1B3A5F"/>
          <w:sz w:val="18"/>
        </w:rPr>
        <w:t>source and target</w:t>
      </w:r>
      <w:r>
        <w:rPr>
          <w:rFonts w:ascii="Times New Roman" w:hAnsi="Times New Roman" w:eastAsia="Times New Roman"/>
          <w:b w:val="0"/>
          <w:i w:val="0"/>
          <w:sz w:val="18"/>
        </w:rPr>
        <w:t xml:space="preserve"> with the </w:t>
      </w:r>
      <w:r>
        <w:rPr>
          <w:rFonts w:ascii="Times New Roman" w:hAnsi="Times New Roman" w:eastAsia="Times New Roman"/>
          <w:b/>
          <w:i w:val="0"/>
          <w:color w:val="1B3A5F"/>
          <w:sz w:val="18"/>
        </w:rPr>
        <w:t>adapted</w:t>
      </w:r>
      <w:r>
        <w:rPr>
          <w:rFonts w:ascii="Times New Roman" w:hAnsi="Times New Roman" w:eastAsia="Times New Roman"/>
          <w:b w:val="0"/>
          <w:i w:val="0"/>
          <w:sz w:val="18"/>
        </w:rPr>
        <w:t xml:space="preserve"> model → fit logistic regression on post-adaptation </w:t>
      </w:r>
      <w:r>
        <w:rPr>
          <w:rFonts w:ascii="Times New Roman" w:hAnsi="Times New Roman" w:eastAsia="Times New Roman"/>
          <w:b/>
          <w:i w:val="0"/>
          <w:color w:val="1B3A5F"/>
          <w:sz w:val="18"/>
        </w:rPr>
        <w:t>source</w:t>
      </w:r>
      <w:r>
        <w:rPr>
          <w:rFonts w:ascii="Times New Roman" w:hAnsi="Times New Roman" w:eastAsia="Times New Roman"/>
          <w:b w:val="0"/>
          <w:i w:val="0"/>
          <w:sz w:val="18"/>
        </w:rPr>
        <w:t xml:space="preserve"> coordinates → score target. Target labels were not used in fitting. This is unsupervised </w:t>
      </w:r>
      <w:r>
        <w:rPr>
          <w:rFonts w:ascii="Times New Roman" w:hAnsi="Times New Roman" w:eastAsia="Times New Roman"/>
          <w:b/>
          <w:i w:val="0"/>
          <w:color w:val="1B3A5F"/>
          <w:sz w:val="18"/>
        </w:rPr>
        <w:t>transductive</w:t>
      </w:r>
      <w:r>
        <w:rPr>
          <w:rFonts w:ascii="Times New Roman" w:hAnsi="Times New Roman" w:eastAsia="Times New Roman"/>
          <w:b w:val="0"/>
          <w:i w:val="0"/>
          <w:sz w:val="18"/>
        </w:rPr>
        <w:t xml:space="preserve"> adaptation, not fully inductive prediction.</w:t>
      </w:r>
    </w:p>
    <w:p>
      <w:pPr>
        <w:spacing w:before="0" w:after="160" w:line="240" w:lineRule="auto"/>
        <w:ind w:firstLine="0"/>
        <w:jc w:val="left"/>
      </w:pPr>
      <w:r>
        <w:rPr>
          <w:rFonts w:ascii="Times New Roman" w:hAnsi="Times New Roman" w:eastAsia="Times New Roman"/>
          <w:b/>
          <w:i w:val="0"/>
          <w:color w:val="1B3A5F"/>
          <w:sz w:val="22"/>
        </w:rPr>
        <w:t>Downstream classification</w:t>
      </w:r>
    </w:p>
    <w:p>
      <w:pPr>
        <w:spacing w:before="0" w:after="120" w:line="240" w:lineRule="auto"/>
        <w:ind w:firstLine="0"/>
        <w:jc w:val="both"/>
      </w:pPr>
      <w:r>
        <w:rPr>
          <w:rFonts w:ascii="Times New Roman" w:hAnsi="Times New Roman" w:eastAsia="Times New Roman"/>
          <w:b w:val="0"/>
          <w:i w:val="0"/>
          <w:sz w:val="18"/>
        </w:rPr>
        <w:t xml:space="preserve">All primary representation comparisons used `sklearn.linear_model.LogisticRegression` with `max_iter=2000`, `solver="lbfgs"`, `random_state` equal to the evaluation seed (development seed </w:t>
      </w:r>
      <w:r>
        <w:rPr>
          <w:rFonts w:ascii="Times New Roman" w:hAnsi="Times New Roman" w:eastAsia="Times New Roman"/>
          <w:b/>
          <w:i w:val="0"/>
          <w:color w:val="1B3A5F"/>
          <w:sz w:val="18"/>
        </w:rPr>
        <w:t>0</w:t>
      </w:r>
      <w:r>
        <w:rPr>
          <w:rFonts w:ascii="Times New Roman" w:hAnsi="Times New Roman" w:eastAsia="Times New Roman"/>
          <w:b w:val="0"/>
          <w:i w:val="0"/>
          <w:sz w:val="18"/>
        </w:rPr>
        <w:t xml:space="preserve">). `C`, `class_weight`, and `multi_class` were left at scikit-learn </w:t>
      </w:r>
      <w:r>
        <w:rPr>
          <w:rFonts w:ascii="Times New Roman" w:hAnsi="Times New Roman" w:eastAsia="Times New Roman"/>
          <w:b/>
          <w:i w:val="0"/>
          <w:color w:val="1B3A5F"/>
          <w:sz w:val="18"/>
        </w:rPr>
        <w:t>1.5.2</w:t>
      </w:r>
      <w:r>
        <w:rPr>
          <w:rFonts w:ascii="Times New Roman" w:hAnsi="Times New Roman" w:eastAsia="Times New Roman"/>
          <w:b w:val="0"/>
          <w:i w:val="0"/>
          <w:sz w:val="18"/>
        </w:rPr>
        <w:t xml:space="preserve"> defaults (`C=1.0`, `class_weight=None`, multinomial behavior under `lbfgs`). The same classifier strategy was used across representations so that comparisons focus on representation quality.</w:t>
      </w:r>
    </w:p>
    <w:p>
      <w:pPr>
        <w:spacing w:before="0" w:after="160" w:line="240" w:lineRule="auto"/>
        <w:ind w:firstLine="0"/>
        <w:jc w:val="left"/>
      </w:pPr>
      <w:r>
        <w:rPr>
          <w:rFonts w:ascii="Times New Roman" w:hAnsi="Times New Roman" w:eastAsia="Times New Roman"/>
          <w:b/>
          <w:i w:val="0"/>
          <w:color w:val="1B3A5F"/>
          <w:sz w:val="22"/>
        </w:rPr>
        <w:t>Internal split and leakage controls</w:t>
      </w:r>
    </w:p>
    <w:p>
      <w:pPr>
        <w:spacing w:before="0" w:after="120" w:line="240" w:lineRule="auto"/>
        <w:ind w:firstLine="0"/>
        <w:jc w:val="both"/>
      </w:pPr>
      <w:r>
        <w:rPr>
          <w:rFonts w:ascii="Times New Roman" w:hAnsi="Times New Roman" w:eastAsia="Times New Roman"/>
          <w:b w:val="0"/>
          <w:i w:val="0"/>
          <w:sz w:val="18"/>
        </w:rPr>
        <w:t xml:space="preserve">A stratified train/test split (`test_fraction=0.20`, stratify by `batch`, seed </w:t>
      </w:r>
      <w:r>
        <w:rPr>
          <w:rFonts w:ascii="Times New Roman" w:hAnsi="Times New Roman" w:eastAsia="Times New Roman"/>
          <w:b/>
          <w:i w:val="0"/>
          <w:color w:val="1B3A5F"/>
          <w:sz w:val="18"/>
        </w:rPr>
        <w:t>0</w:t>
      </w:r>
      <w:r>
        <w:rPr>
          <w:rFonts w:ascii="Times New Roman" w:hAnsi="Times New Roman" w:eastAsia="Times New Roman"/>
          <w:b w:val="0"/>
          <w:i w:val="0"/>
          <w:sz w:val="18"/>
        </w:rPr>
        <w:t>) was assigned on the combined 10,849-cell object before high-confidence restriction (implied all-cell sizes ≈8,679 / 2,170). Development metrics used the high-confidence subset of that split (</w:t>
      </w:r>
      <w:r>
        <w:rPr>
          <w:rFonts w:ascii="Times New Roman" w:hAnsi="Times New Roman" w:eastAsia="Times New Roman"/>
          <w:b/>
          <w:i w:val="0"/>
          <w:color w:val="1B3A5F"/>
          <w:sz w:val="18"/>
        </w:rPr>
        <w:t>7,573</w:t>
      </w:r>
      <w:r>
        <w:rPr>
          <w:rFonts w:ascii="Times New Roman" w:hAnsi="Times New Roman" w:eastAsia="Times New Roman"/>
          <w:b w:val="0"/>
          <w:i w:val="0"/>
          <w:sz w:val="18"/>
        </w:rPr>
        <w:t xml:space="preserve"> train / </w:t>
      </w:r>
      <w:r>
        <w:rPr>
          <w:rFonts w:ascii="Times New Roman" w:hAnsi="Times New Roman" w:eastAsia="Times New Roman"/>
          <w:b/>
          <w:i w:val="0"/>
          <w:color w:val="1B3A5F"/>
          <w:sz w:val="18"/>
        </w:rPr>
        <w:t>1,921</w:t>
      </w:r>
      <w:r>
        <w:rPr>
          <w:rFonts w:ascii="Times New Roman" w:hAnsi="Times New Roman" w:eastAsia="Times New Roman"/>
          <w:b w:val="0"/>
          <w:i w:val="0"/>
          <w:sz w:val="18"/>
        </w:rPr>
        <w:t xml:space="preserve"> test). Chronology: split → train-only unsupervised feature fitting (PCA path) → fixed deep embeddings from trained models → train-only classifier fit → held-out evaluation. Transductive concat is the exception that </w:t>
      </w:r>
      <w:r>
        <w:rPr>
          <w:rFonts w:ascii="Times New Roman" w:hAnsi="Times New Roman" w:eastAsia="Times New Roman"/>
          <w:b/>
          <w:i w:val="0"/>
          <w:color w:val="1B3A5F"/>
          <w:sz w:val="18"/>
        </w:rPr>
        <w:t>intentionally</w:t>
      </w:r>
      <w:r>
        <w:rPr>
          <w:rFonts w:ascii="Times New Roman" w:hAnsi="Times New Roman" w:eastAsia="Times New Roman"/>
          <w:b w:val="0"/>
          <w:i w:val="0"/>
          <w:sz w:val="18"/>
        </w:rPr>
        <w:t xml:space="preserve"> uses unlabeled target features for unsupervised fitting only; target labels remain withheld until scoring.</w:t>
      </w:r>
    </w:p>
    <w:p>
      <w:pPr>
        <w:spacing w:before="0" w:after="160" w:line="240" w:lineRule="auto"/>
        <w:ind w:firstLine="0"/>
        <w:jc w:val="left"/>
      </w:pPr>
      <w:r>
        <w:rPr>
          <w:rFonts w:ascii="Times New Roman" w:hAnsi="Times New Roman" w:eastAsia="Times New Roman"/>
          <w:b/>
          <w:i w:val="0"/>
          <w:color w:val="1B3A5F"/>
          <w:sz w:val="22"/>
        </w:rPr>
        <w:t>Protein-access and residual totalVI-associated contrasts</w:t>
      </w:r>
    </w:p>
    <w:p>
      <w:pPr>
        <w:spacing w:before="0" w:after="120" w:line="240" w:lineRule="auto"/>
        <w:ind w:firstLine="0"/>
        <w:jc w:val="both"/>
      </w:pPr>
      <w:r>
        <w:rPr>
          <w:rFonts w:ascii="Times New Roman" w:hAnsi="Times New Roman" w:eastAsia="Times New Roman"/>
          <w:b w:val="0"/>
          <w:i w:val="0"/>
          <w:sz w:val="18"/>
        </w:rPr>
        <w:t>G_access = F1_concat - F1_RNA_PCA,quad G_assoc = F1_totalVI - F1_concat,quad Gap_total = F1_totalVI - F1_RNA_PCA,quad R_access = G_access / Gap_total.</w:t>
      </w:r>
    </w:p>
    <w:p>
      <w:pPr>
        <w:spacing w:before="0" w:after="120" w:line="240" w:lineRule="auto"/>
        <w:ind w:firstLine="0"/>
        <w:jc w:val="both"/>
      </w:pPr>
      <w:r>
        <w:rPr>
          <w:rFonts w:ascii="Times New Roman" w:hAnsi="Times New Roman" w:eastAsia="Times New Roman"/>
          <w:b w:val="0"/>
          <w:i w:val="0"/>
          <w:sz w:val="18"/>
        </w:rPr>
        <w:t xml:space="preserve">G_assoc is a </w:t>
      </w:r>
      <w:r>
        <w:rPr>
          <w:rFonts w:ascii="Times New Roman" w:hAnsi="Times New Roman" w:eastAsia="Times New Roman"/>
          <w:b/>
          <w:i w:val="0"/>
          <w:color w:val="1B3A5F"/>
          <w:sz w:val="18"/>
        </w:rPr>
        <w:t>descriptive residual totalVI-associated contrast</w:t>
      </w:r>
      <w:r>
        <w:rPr>
          <w:rFonts w:ascii="Times New Roman" w:hAnsi="Times New Roman" w:eastAsia="Times New Roman"/>
          <w:b w:val="0"/>
          <w:i w:val="0"/>
          <w:sz w:val="18"/>
        </w:rPr>
        <w:t>, not a causal architecture effect: totalVI and concatenated PCA differ in objective, optimization, and representation class. Because numerator and denominator of R_access are recomputed jointly across bootstrap resamples, R_access is not constrained to [0,1] and is not a causal fraction, variance-explained proportion, or mechanistic decomposition.</w:t>
      </w:r>
    </w:p>
    <w:p>
      <w:pPr>
        <w:spacing w:before="0" w:after="120" w:line="240" w:lineRule="auto"/>
        <w:ind w:firstLine="0"/>
        <w:jc w:val="both"/>
      </w:pPr>
      <w:r>
        <w:rPr>
          <w:rFonts w:ascii="Times New Roman" w:hAnsi="Times New Roman" w:eastAsia="Times New Roman"/>
          <w:b w:val="0"/>
          <w:i w:val="0"/>
          <w:sz w:val="18"/>
        </w:rPr>
        <w:t>Point estimates: RNA PCA 0.666, concat 0.745, totalVI 0.779; G_access=+0.079, G_assoc=+0.034, Gap_total=+0.113, R_accessapprox.0.70.</w:t>
      </w:r>
    </w:p>
    <w:p>
      <w:pPr>
        <w:spacing w:before="0" w:after="160" w:line="240" w:lineRule="auto"/>
        <w:ind w:firstLine="0"/>
        <w:jc w:val="left"/>
      </w:pPr>
      <w:r>
        <w:rPr>
          <w:rFonts w:ascii="Times New Roman" w:hAnsi="Times New Roman" w:eastAsia="Times New Roman"/>
          <w:b/>
          <w:i w:val="0"/>
          <w:color w:val="1B3A5F"/>
          <w:sz w:val="22"/>
        </w:rPr>
        <w:t>Conditional paired bootstrap</w:t>
      </w:r>
    </w:p>
    <w:p>
      <w:pPr>
        <w:spacing w:before="0" w:after="120" w:line="240" w:lineRule="auto"/>
        <w:ind w:firstLine="0"/>
        <w:jc w:val="both"/>
      </w:pPr>
      <w:r>
        <w:rPr>
          <w:rFonts w:ascii="Times New Roman" w:hAnsi="Times New Roman" w:eastAsia="Times New Roman"/>
          <w:b w:val="0"/>
          <w:i w:val="0"/>
          <w:sz w:val="18"/>
        </w:rPr>
        <w:t xml:space="preserve">Primary intervals used a </w:t>
      </w:r>
      <w:r>
        <w:rPr>
          <w:rFonts w:ascii="Times New Roman" w:hAnsi="Times New Roman" w:eastAsia="Times New Roman"/>
          <w:b/>
          <w:i w:val="0"/>
          <w:color w:val="1B3A5F"/>
          <w:sz w:val="18"/>
        </w:rPr>
        <w:t>cell-level conditional paired bootstrap</w:t>
      </w:r>
      <w:r>
        <w:rPr>
          <w:rFonts w:ascii="Times New Roman" w:hAnsi="Times New Roman" w:eastAsia="Times New Roman"/>
          <w:b w:val="0"/>
          <w:i w:val="0"/>
          <w:sz w:val="18"/>
        </w:rPr>
        <w:t xml:space="preserve"> (</w:t>
      </w:r>
      <w:r>
        <w:rPr>
          <w:rFonts w:ascii="Times New Roman" w:hAnsi="Times New Roman" w:eastAsia="Times New Roman"/>
          <w:b w:val="0"/>
          <w:i/>
          <w:sz w:val="18"/>
        </w:rPr>
        <w:t>B</w:t>
      </w:r>
      <w:r>
        <w:rPr>
          <w:rFonts w:ascii="Times New Roman" w:hAnsi="Times New Roman" w:eastAsia="Times New Roman"/>
          <w:b w:val="0"/>
          <w:i w:val="0"/>
          <w:sz w:val="18"/>
        </w:rPr>
        <w:t xml:space="preserve"> = </w:t>
      </w:r>
      <w:r>
        <w:rPr>
          <w:rFonts w:ascii="Times New Roman" w:hAnsi="Times New Roman" w:eastAsia="Times New Roman"/>
          <w:b/>
          <w:i w:val="0"/>
          <w:color w:val="1B3A5F"/>
          <w:sz w:val="18"/>
        </w:rPr>
        <w:t>10,000</w:t>
      </w:r>
      <w:r>
        <w:rPr>
          <w:rFonts w:ascii="Times New Roman" w:hAnsi="Times New Roman" w:eastAsia="Times New Roman"/>
          <w:b w:val="0"/>
          <w:i w:val="0"/>
          <w:sz w:val="18"/>
        </w:rPr>
        <w:t xml:space="preserve">; seed </w:t>
      </w:r>
      <w:r>
        <w:rPr>
          <w:rFonts w:ascii="Times New Roman" w:hAnsi="Times New Roman" w:eastAsia="Times New Roman"/>
          <w:b/>
          <w:i w:val="0"/>
          <w:color w:val="1B3A5F"/>
          <w:sz w:val="18"/>
        </w:rPr>
        <w:t>20260923</w:t>
      </w:r>
      <w:r>
        <w:rPr>
          <w:rFonts w:ascii="Times New Roman" w:hAnsi="Times New Roman" w:eastAsia="Times New Roman"/>
          <w:b w:val="0"/>
          <w:i w:val="0"/>
          <w:sz w:val="18"/>
        </w:rPr>
        <w:t xml:space="preserve">) over held-out cells with fixed prediction vectors for RNA PCA, concat, and totalVI. Each replicate resampled cells with replacement (global, not class-stratified), recomputed macro-F1 and contrasts, and formed </w:t>
      </w:r>
      <w:r>
        <w:rPr>
          <w:rFonts w:ascii="Times New Roman" w:hAnsi="Times New Roman" w:eastAsia="Times New Roman"/>
          <w:b/>
          <w:i w:val="0"/>
          <w:color w:val="1B3A5F"/>
          <w:sz w:val="18"/>
        </w:rPr>
        <w:t>percentile</w:t>
      </w:r>
      <w:r>
        <w:rPr>
          <w:rFonts w:ascii="Times New Roman" w:hAnsi="Times New Roman" w:eastAsia="Times New Roman"/>
          <w:b w:val="0"/>
          <w:i w:val="0"/>
          <w:sz w:val="18"/>
        </w:rPr>
        <w:t xml:space="preserve"> 2.5%/97.5% intervals. These are conditional on the evaluated cells and prediction vectors—not donor-level, cohort-generalization, or biological confidence intervals. A class-stratified paired-bootstrap sensitivity (within-class resampling) is reported in Supplementary Results; it does not replace the primary analysis.</w:t>
      </w:r>
    </w:p>
    <w:p>
      <w:pPr>
        <w:spacing w:before="0" w:after="160" w:line="240" w:lineRule="auto"/>
        <w:ind w:firstLine="0"/>
        <w:jc w:val="left"/>
      </w:pPr>
      <w:r>
        <w:rPr>
          <w:rFonts w:ascii="Times New Roman" w:hAnsi="Times New Roman" w:eastAsia="Times New Roman"/>
          <w:b/>
          <w:i w:val="0"/>
          <w:color w:val="1B3A5F"/>
          <w:sz w:val="22"/>
        </w:rPr>
        <w:t>Bidirectional transfer and feature-access-matched control</w:t>
      </w:r>
    </w:p>
    <w:p>
      <w:pPr>
        <w:spacing w:before="0" w:after="120" w:line="240" w:lineRule="auto"/>
        <w:ind w:firstLine="0"/>
        <w:jc w:val="both"/>
      </w:pPr>
      <w:r>
        <w:rPr>
          <w:rFonts w:ascii="Times New Roman" w:hAnsi="Times New Roman" w:eastAsia="Times New Roman"/>
          <w:b w:val="0"/>
          <w:i w:val="0"/>
          <w:sz w:val="18"/>
        </w:rPr>
        <w:t>Direction A: PBMC10k→PBMC5k; Direction B: PBMC5k→PBMC10k.</w:t>
      </w:r>
    </w:p>
    <w:p>
      <w:pPr>
        <w:spacing w:before="0" w:after="120" w:line="240" w:lineRule="auto"/>
        <w:ind w:firstLine="0"/>
        <w:jc w:val="both"/>
      </w:pPr>
      <w:r>
        <w:rPr>
          <w:rFonts w:ascii="Times New Roman" w:hAnsi="Times New Roman" w:eastAsia="Times New Roman"/>
          <w:b w:val="0"/>
          <w:i w:val="0"/>
          <w:sz w:val="18"/>
        </w:rPr>
        <w:t xml:space="preserve">1. </w:t>
      </w:r>
      <w:r>
        <w:rPr>
          <w:rFonts w:ascii="Times New Roman" w:hAnsi="Times New Roman" w:eastAsia="Times New Roman"/>
          <w:b/>
          <w:i w:val="0"/>
          <w:color w:val="1B3A5F"/>
          <w:sz w:val="18"/>
        </w:rPr>
        <w:t>Source-only inductive concat:</w:t>
      </w:r>
      <w:r>
        <w:rPr>
          <w:rFonts w:ascii="Times New Roman" w:hAnsi="Times New Roman" w:eastAsia="Times New Roman"/>
          <w:b w:val="0"/>
          <w:i w:val="0"/>
          <w:sz w:val="18"/>
        </w:rPr>
        <w:t xml:space="preserve"> fit HVG/RNA transform, RNA PCA, protein CLR/z/PCA, concat scaling, and classifier on source; apply unchanged to target. 2. </w:t>
      </w:r>
      <w:r>
        <w:rPr>
          <w:rFonts w:ascii="Times New Roman" w:hAnsi="Times New Roman" w:eastAsia="Times New Roman"/>
          <w:b/>
          <w:i w:val="0"/>
          <w:color w:val="1B3A5F"/>
          <w:sz w:val="18"/>
        </w:rPr>
        <w:t>Feature-access-matched transductive concat:</w:t>
      </w:r>
      <w:r>
        <w:rPr>
          <w:rFonts w:ascii="Times New Roman" w:hAnsi="Times New Roman" w:eastAsia="Times New Roman"/>
          <w:b w:val="0"/>
          <w:i w:val="0"/>
          <w:sz w:val="18"/>
        </w:rPr>
        <w:t xml:space="preserve"> fit unsupervised steps on source + unlabeled target features; classifier on source labels only. Matches </w:t>
      </w:r>
      <w:r>
        <w:rPr>
          <w:rFonts w:ascii="Times New Roman" w:hAnsi="Times New Roman" w:eastAsia="Times New Roman"/>
          <w:b/>
          <w:i w:val="0"/>
          <w:color w:val="1B3A5F"/>
          <w:sz w:val="18"/>
        </w:rPr>
        <w:t>feature access</w:t>
      </w:r>
      <w:r>
        <w:rPr>
          <w:rFonts w:ascii="Times New Roman" w:hAnsi="Times New Roman" w:eastAsia="Times New Roman"/>
          <w:b w:val="0"/>
          <w:i w:val="0"/>
          <w:sz w:val="18"/>
        </w:rPr>
        <w:t xml:space="preserve">, not scArches’ objective or neural adaptation. 3. </w:t>
      </w:r>
      <w:r>
        <w:rPr>
          <w:rFonts w:ascii="Times New Roman" w:hAnsi="Times New Roman" w:eastAsia="Times New Roman"/>
          <w:b/>
          <w:i w:val="0"/>
          <w:color w:val="1B3A5F"/>
          <w:sz w:val="18"/>
        </w:rPr>
        <w:t>scVI_matched / totalVI + scArches</w:t>
      </w:r>
      <w:r>
        <w:rPr>
          <w:rFonts w:ascii="Times New Roman" w:hAnsi="Times New Roman" w:eastAsia="Times New Roman"/>
          <w:b w:val="0"/>
          <w:i w:val="0"/>
          <w:sz w:val="18"/>
        </w:rPr>
        <w:t xml:space="preserve"> as above (20 seeds for primary summaries).</w:t>
      </w:r>
    </w:p>
    <w:p>
      <w:pPr>
        <w:spacing w:before="0" w:after="160" w:line="240" w:lineRule="auto"/>
        <w:ind w:firstLine="0"/>
        <w:jc w:val="left"/>
      </w:pPr>
      <w:r>
        <w:rPr>
          <w:rFonts w:ascii="Times New Roman" w:hAnsi="Times New Roman" w:eastAsia="Times New Roman"/>
          <w:b/>
          <w:i w:val="0"/>
          <w:color w:val="1B3A5F"/>
          <w:sz w:val="22"/>
        </w:rPr>
        <w:t>Protein degradation</w:t>
      </w:r>
    </w:p>
    <w:p>
      <w:pPr>
        <w:spacing w:before="0" w:after="120" w:line="240" w:lineRule="auto"/>
        <w:ind w:firstLine="0"/>
        <w:jc w:val="both"/>
      </w:pPr>
      <w:r>
        <w:rPr>
          <w:rFonts w:ascii="Times New Roman" w:hAnsi="Times New Roman" w:eastAsia="Times New Roman"/>
          <w:b/>
          <w:i w:val="0"/>
          <w:color w:val="1B3A5F"/>
          <w:sz w:val="18"/>
        </w:rPr>
        <w:t>Training-time:</w:t>
      </w:r>
      <w:r>
        <w:rPr>
          <w:rFonts w:ascii="Times New Roman" w:hAnsi="Times New Roman" w:eastAsia="Times New Roman"/>
          <w:b w:val="0"/>
          <w:i w:val="0"/>
          <w:sz w:val="18"/>
        </w:rPr>
        <w:t xml:space="preserve"> originally nonzero protein entries randomly set to zero (preexisting zeros unchanged) at fractions 0.00, 0.10, 0.25, 0.40, 0.55, 0.70, 0.85; totalVI retrained; five mask/retraining replicates at nonzero levels with `model_seed=0`; clean level </w:t>
      </w:r>
      <w:r>
        <w:rPr>
          <w:rFonts w:ascii="Times New Roman" w:hAnsi="Times New Roman" w:eastAsia="Times New Roman"/>
          <w:b w:val="0"/>
          <w:i/>
          <w:sz w:val="18"/>
        </w:rPr>
        <w:t>n</w:t>
      </w:r>
      <w:r>
        <w:rPr>
          <w:rFonts w:ascii="Times New Roman" w:hAnsi="Times New Roman" w:eastAsia="Times New Roman"/>
          <w:b w:val="0"/>
          <w:i w:val="0"/>
          <w:sz w:val="18"/>
        </w:rPr>
        <w:t>=1. Means are reported without forcing monotonicity; high-corruption rebound is interpreted within mask/retraining variability.</w:t>
      </w:r>
    </w:p>
    <w:p>
      <w:pPr>
        <w:spacing w:before="0" w:after="120" w:line="240" w:lineRule="auto"/>
        <w:ind w:firstLine="0"/>
        <w:jc w:val="both"/>
      </w:pPr>
      <w:r>
        <w:rPr>
          <w:rFonts w:ascii="Times New Roman" w:hAnsi="Times New Roman" w:eastAsia="Times New Roman"/>
          <w:b/>
          <w:i w:val="0"/>
          <w:color w:val="1B3A5F"/>
          <w:sz w:val="18"/>
        </w:rPr>
        <w:t>Post-adaptation:</w:t>
      </w:r>
      <w:r>
        <w:rPr>
          <w:rFonts w:ascii="Times New Roman" w:hAnsi="Times New Roman" w:eastAsia="Times New Roman"/>
          <w:b w:val="0"/>
          <w:i w:val="0"/>
          <w:sz w:val="18"/>
        </w:rPr>
        <w:t xml:space="preserve"> clean source training and clean query adaptation → classifier on clean post-adaptation source coordinates → freeze classifier → corrupt </w:t>
      </w:r>
      <w:r>
        <w:rPr>
          <w:rFonts w:ascii="Times New Roman" w:hAnsi="Times New Roman" w:eastAsia="Times New Roman"/>
          <w:b/>
          <w:i w:val="0"/>
          <w:color w:val="1B3A5F"/>
          <w:sz w:val="18"/>
        </w:rPr>
        <w:t>target</w:t>
      </w:r>
      <w:r>
        <w:rPr>
          <w:rFonts w:ascii="Times New Roman" w:hAnsi="Times New Roman" w:eastAsia="Times New Roman"/>
          <w:b w:val="0"/>
          <w:i w:val="0"/>
          <w:sz w:val="18"/>
        </w:rPr>
        <w:t xml:space="preserve"> proteins only → re-infer target → evaluate. Cell-type-specific Direction B results are summarized in Supplementary Results.</w:t>
      </w:r>
    </w:p>
    <w:p>
      <w:pPr>
        <w:spacing w:before="0" w:after="120" w:line="240" w:lineRule="auto"/>
        <w:ind w:firstLine="0"/>
        <w:jc w:val="both"/>
      </w:pPr>
      <w:r>
        <w:rPr>
          <w:rFonts w:ascii="Times New Roman" w:hAnsi="Times New Roman" w:eastAsia="Times New Roman"/>
          <w:b/>
          <w:i w:val="0"/>
          <w:color w:val="1B3A5F"/>
          <w:sz w:val="18"/>
        </w:rPr>
        <w:t>Marker-channel dropout (sensitivity):</w:t>
      </w:r>
      <w:r>
        <w:rPr>
          <w:rFonts w:ascii="Times New Roman" w:hAnsi="Times New Roman" w:eastAsia="Times New Roman"/>
          <w:b w:val="0"/>
          <w:i w:val="0"/>
          <w:sz w:val="18"/>
        </w:rPr>
        <w:t xml:space="preserve"> entire protein channels zeroed before protein PCA / concat on the development cohort (totalVI not retrained in this sensitivity); see Supplement.</w:t>
      </w:r>
    </w:p>
    <w:p>
      <w:pPr>
        <w:spacing w:before="0" w:after="160" w:line="240" w:lineRule="auto"/>
        <w:ind w:firstLine="0"/>
        <w:jc w:val="left"/>
      </w:pPr>
      <w:r>
        <w:rPr>
          <w:rFonts w:ascii="Times New Roman" w:hAnsi="Times New Roman" w:eastAsia="Times New Roman"/>
          <w:b/>
          <w:i w:val="0"/>
          <w:color w:val="1B3A5F"/>
          <w:sz w:val="22"/>
        </w:rPr>
        <w:t>Uncertainty, calibration, and selective prediction</w:t>
      </w:r>
    </w:p>
    <w:p>
      <w:pPr>
        <w:spacing w:before="0" w:after="120" w:line="240" w:lineRule="auto"/>
        <w:ind w:firstLine="0"/>
        <w:jc w:val="both"/>
      </w:pPr>
      <w:r>
        <w:rPr>
          <w:rFonts w:ascii="Times New Roman" w:hAnsi="Times New Roman" w:eastAsia="Times New Roman"/>
          <w:b w:val="0"/>
          <w:i w:val="0"/>
          <w:sz w:val="18"/>
        </w:rPr>
        <w:t xml:space="preserve">Predictive uncertainty: U_{mathrm{pred},i}=1-max_k p(y_i=kmid z_i) from the downstream logistic regression (not totalVI posterior uncertainty). Latent posterior dispersion: mean posterior variance across latent dimensions d (representation-level dispersion; </w:t>
      </w:r>
      <w:r>
        <w:rPr>
          <w:rFonts w:ascii="Times New Roman" w:hAnsi="Times New Roman" w:eastAsia="Times New Roman"/>
          <w:b/>
          <w:i w:val="0"/>
          <w:color w:val="1B3A5F"/>
          <w:sz w:val="18"/>
        </w:rPr>
        <w:t>not</w:t>
      </w:r>
      <w:r>
        <w:rPr>
          <w:rFonts w:ascii="Times New Roman" w:hAnsi="Times New Roman" w:eastAsia="Times New Roman"/>
          <w:b w:val="0"/>
          <w:i w:val="0"/>
          <w:sz w:val="18"/>
        </w:rPr>
        <w:t xml:space="preserve"> formal epistemic uncertainty). Diagnostics included error-detection AUROC/AUPRC, NLL, multiclass Brier score, ECE (equal-frequency and equal-width; equal-frequency treated as primary where both reported), full AURC, pAURC_[0.5,1.0], and E-AURC. Selective prediction ordered cells by increasing uncertainty and retained the lowest-uncertainty fraction; primary risk used accuracy-based risk among retained cells. Macro-F1 and balanced accuracy versus coverage are reported as Supplementary sensitivities because the primary selective metric is accuracy-based.</w:t>
      </w:r>
    </w:p>
    <w:p>
      <w:pPr>
        <w:spacing w:before="0" w:after="160" w:line="240" w:lineRule="auto"/>
        <w:ind w:firstLine="0"/>
        <w:jc w:val="left"/>
      </w:pPr>
      <w:r>
        <w:rPr>
          <w:rFonts w:ascii="Times New Roman" w:hAnsi="Times New Roman" w:eastAsia="Times New Roman"/>
          <w:b/>
          <w:i w:val="0"/>
          <w:color w:val="1B3A5F"/>
          <w:sz w:val="22"/>
        </w:rPr>
        <w:t>Training stochasticity and variance decomposition</w:t>
      </w:r>
    </w:p>
    <w:p>
      <w:pPr>
        <w:spacing w:before="0" w:after="120" w:line="240" w:lineRule="auto"/>
        <w:ind w:firstLine="0"/>
        <w:jc w:val="both"/>
      </w:pPr>
      <w:r>
        <w:rPr>
          <w:rFonts w:ascii="Times New Roman" w:hAnsi="Times New Roman" w:eastAsia="Times New Roman"/>
          <w:b w:val="0"/>
          <w:i w:val="0"/>
          <w:sz w:val="18"/>
        </w:rPr>
        <w:t xml:space="preserve">Balanced computational design: </w:t>
      </w:r>
      <w:r>
        <w:rPr>
          <w:rFonts w:ascii="Times New Roman" w:hAnsi="Times New Roman" w:eastAsia="Times New Roman"/>
          <w:b/>
          <w:i w:val="0"/>
          <w:color w:val="1B3A5F"/>
          <w:sz w:val="18"/>
        </w:rPr>
        <w:t>5</w:t>
      </w:r>
      <w:r>
        <w:rPr>
          <w:rFonts w:ascii="Times New Roman" w:hAnsi="Times New Roman" w:eastAsia="Times New Roman"/>
          <w:b w:val="0"/>
          <w:i w:val="0"/>
          <w:sz w:val="18"/>
        </w:rPr>
        <w:t xml:space="preserve"> source subsets × </w:t>
      </w:r>
      <w:r>
        <w:rPr>
          <w:rFonts w:ascii="Times New Roman" w:hAnsi="Times New Roman" w:eastAsia="Times New Roman"/>
          <w:b/>
          <w:i w:val="0"/>
          <w:color w:val="1B3A5F"/>
          <w:sz w:val="18"/>
        </w:rPr>
        <w:t>5</w:t>
      </w:r>
      <w:r>
        <w:rPr>
          <w:rFonts w:ascii="Times New Roman" w:hAnsi="Times New Roman" w:eastAsia="Times New Roman"/>
          <w:b w:val="0"/>
          <w:i w:val="0"/>
          <w:sz w:val="18"/>
        </w:rPr>
        <w:t xml:space="preserve"> model seeds × </w:t>
      </w:r>
      <w:r>
        <w:rPr>
          <w:rFonts w:ascii="Times New Roman" w:hAnsi="Times New Roman" w:eastAsia="Times New Roman"/>
          <w:b/>
          <w:i w:val="0"/>
          <w:color w:val="1B3A5F"/>
          <w:sz w:val="18"/>
        </w:rPr>
        <w:t>2</w:t>
      </w:r>
      <w:r>
        <w:rPr>
          <w:rFonts w:ascii="Times New Roman" w:hAnsi="Times New Roman" w:eastAsia="Times New Roman"/>
          <w:b w:val="0"/>
          <w:i w:val="0"/>
          <w:sz w:val="18"/>
        </w:rPr>
        <w:t xml:space="preserve"> run replicates (Direction A focus in PHASE 12A), with paired Δ = totalVI - scVI_matched. Variance components for source, seed, source×seed interaction, and residual run-level variation were estimated by method-of-moments expected mean squares. Residual denotes computational/run-level variation under this design, not biological variance.</w:t>
      </w:r>
    </w:p>
    <w:p>
      <w:pPr>
        <w:spacing w:before="0" w:after="160" w:line="240" w:lineRule="auto"/>
        <w:ind w:firstLine="0"/>
        <w:jc w:val="left"/>
      </w:pPr>
      <w:r>
        <w:rPr>
          <w:rFonts w:ascii="Times New Roman" w:hAnsi="Times New Roman" w:eastAsia="Times New Roman"/>
          <w:b/>
          <w:i w:val="0"/>
          <w:color w:val="1B3A5F"/>
          <w:sz w:val="22"/>
        </w:rPr>
        <w:t>Lawlor donor-level external validation</w:t>
      </w:r>
    </w:p>
    <w:p>
      <w:pPr>
        <w:spacing w:before="0" w:after="120" w:line="240" w:lineRule="auto"/>
        <w:ind w:firstLine="0"/>
        <w:jc w:val="both"/>
      </w:pPr>
      <w:r>
        <w:rPr>
          <w:rFonts w:ascii="Times New Roman" w:hAnsi="Times New Roman" w:eastAsia="Times New Roman"/>
          <w:b w:val="0"/>
          <w:i w:val="0"/>
          <w:sz w:val="18"/>
        </w:rPr>
        <w:t xml:space="preserve">Five deterministic folds held out </w:t>
      </w:r>
      <w:r>
        <w:rPr>
          <w:rFonts w:ascii="Times New Roman" w:hAnsi="Times New Roman" w:eastAsia="Times New Roman"/>
          <w:b/>
          <w:i w:val="0"/>
          <w:color w:val="1B3A5F"/>
          <w:sz w:val="18"/>
        </w:rPr>
        <w:t>two</w:t>
      </w:r>
      <w:r>
        <w:rPr>
          <w:rFonts w:ascii="Times New Roman" w:hAnsi="Times New Roman" w:eastAsia="Times New Roman"/>
          <w:b w:val="0"/>
          <w:i w:val="0"/>
          <w:sz w:val="18"/>
        </w:rPr>
        <w:t xml:space="preserve"> donors each so that every donor was a target exactly once; </w:t>
      </w:r>
      <w:r>
        <w:rPr>
          <w:rFonts w:ascii="Times New Roman" w:hAnsi="Times New Roman" w:eastAsia="Times New Roman"/>
          <w:b/>
          <w:i w:val="0"/>
          <w:color w:val="1B3A5F"/>
          <w:sz w:val="18"/>
        </w:rPr>
        <w:t>10</w:t>
      </w:r>
      <w:r>
        <w:rPr>
          <w:rFonts w:ascii="Times New Roman" w:hAnsi="Times New Roman" w:eastAsia="Times New Roman"/>
          <w:b w:val="0"/>
          <w:i w:val="0"/>
          <w:sz w:val="18"/>
        </w:rPr>
        <w:t xml:space="preserve"> computational seeds per deep-model fold yielded 50 matched scVI_matched-totalVI fold×seed comparisons (computational consistency, e.g. latent AUROC 38/50). Donor-level present-class macro-F1 used seed-averaged within-donor scores. Simple baselines (RNA/protein/concat PCA) used source-donor-only fits applied to held-out target donors. Donor summary statistics (mean/median/SD/IQR/min/max of paired Δ; exact sign test) are reported in Supplementary Results. Fold-mean protein PCA ≈ </w:t>
      </w:r>
      <w:r>
        <w:rPr>
          <w:rFonts w:ascii="Times New Roman" w:hAnsi="Times New Roman" w:eastAsia="Times New Roman"/>
          <w:b/>
          <w:i w:val="0"/>
          <w:color w:val="1B3A5F"/>
          <w:sz w:val="18"/>
        </w:rPr>
        <w:t>0.927</w:t>
      </w:r>
      <w:r>
        <w:rPr>
          <w:rFonts w:ascii="Times New Roman" w:hAnsi="Times New Roman" w:eastAsia="Times New Roman"/>
          <w:b w:val="0"/>
          <w:i w:val="0"/>
          <w:sz w:val="18"/>
        </w:rPr>
        <w:t xml:space="preserve"> and concat ≈ </w:t>
      </w:r>
      <w:r>
        <w:rPr>
          <w:rFonts w:ascii="Times New Roman" w:hAnsi="Times New Roman" w:eastAsia="Times New Roman"/>
          <w:b/>
          <w:i w:val="0"/>
          <w:color w:val="1B3A5F"/>
          <w:sz w:val="18"/>
        </w:rPr>
        <w:t>0.945</w:t>
      </w:r>
      <w:r>
        <w:rPr>
          <w:rFonts w:ascii="Times New Roman" w:hAnsi="Times New Roman" w:eastAsia="Times New Roman"/>
          <w:b w:val="0"/>
          <w:i w:val="0"/>
          <w:sz w:val="18"/>
        </w:rPr>
        <w:t xml:space="preserve">; donor-mean deep scores were </w:t>
      </w:r>
      <w:r>
        <w:rPr>
          <w:rFonts w:ascii="Times New Roman" w:hAnsi="Times New Roman" w:eastAsia="Times New Roman"/>
          <w:b/>
          <w:i w:val="0"/>
          <w:color w:val="1B3A5F"/>
          <w:sz w:val="18"/>
        </w:rPr>
        <w:t>0.794</w:t>
      </w:r>
      <w:r>
        <w:rPr>
          <w:rFonts w:ascii="Times New Roman" w:hAnsi="Times New Roman" w:eastAsia="Times New Roman"/>
          <w:b w:val="0"/>
          <w:i w:val="0"/>
          <w:sz w:val="18"/>
        </w:rPr>
        <w:t xml:space="preserve"> (scVI_matched) and </w:t>
      </w:r>
      <w:r>
        <w:rPr>
          <w:rFonts w:ascii="Times New Roman" w:hAnsi="Times New Roman" w:eastAsia="Times New Roman"/>
          <w:b/>
          <w:i w:val="0"/>
          <w:color w:val="1B3A5F"/>
          <w:sz w:val="18"/>
        </w:rPr>
        <w:t>0.884</w:t>
      </w:r>
      <w:r>
        <w:rPr>
          <w:rFonts w:ascii="Times New Roman" w:hAnsi="Times New Roman" w:eastAsia="Times New Roman"/>
          <w:b w:val="0"/>
          <w:i w:val="0"/>
          <w:sz w:val="18"/>
        </w:rPr>
        <w:t xml:space="preserve"> (totalVI), with mean paired Δ ≈ </w:t>
      </w:r>
      <w:r>
        <w:rPr>
          <w:rFonts w:ascii="Times New Roman" w:hAnsi="Times New Roman" w:eastAsia="Times New Roman"/>
          <w:b/>
          <w:i w:val="0"/>
          <w:color w:val="1B3A5F"/>
          <w:sz w:val="18"/>
        </w:rPr>
        <w:t>+0.090</w:t>
      </w:r>
      <w:r>
        <w:rPr>
          <w:rFonts w:ascii="Times New Roman" w:hAnsi="Times New Roman" w:eastAsia="Times New Roman"/>
          <w:b w:val="0"/>
          <w:i w:val="0"/>
          <w:sz w:val="18"/>
        </w:rPr>
        <w:t xml:space="preserve"> (SD ≈ 0.010; 10/10 donors).</w:t>
      </w:r>
    </w:p>
    <w:p>
      <w:pPr>
        <w:spacing w:before="0" w:after="160" w:line="240" w:lineRule="auto"/>
        <w:ind w:firstLine="0"/>
        <w:jc w:val="left"/>
      </w:pPr>
      <w:r>
        <w:rPr>
          <w:rFonts w:ascii="Times New Roman" w:hAnsi="Times New Roman" w:eastAsia="Times New Roman"/>
          <w:b/>
          <w:i w:val="0"/>
          <w:color w:val="1B3A5F"/>
          <w:sz w:val="22"/>
        </w:rPr>
        <w:t>Software and reproducibility</w:t>
      </w:r>
    </w:p>
    <w:p>
      <w:pPr>
        <w:spacing w:before="0" w:after="120" w:line="240" w:lineRule="auto"/>
        <w:ind w:firstLine="0"/>
        <w:jc w:val="both"/>
      </w:pPr>
      <w:r>
        <w:rPr>
          <w:rFonts w:ascii="Times New Roman" w:hAnsi="Times New Roman" w:eastAsia="Times New Roman"/>
          <w:b w:val="0"/>
          <w:i w:val="0"/>
          <w:sz w:val="18"/>
        </w:rPr>
        <w:t xml:space="preserve">Analyses used Python </w:t>
      </w:r>
      <w:r>
        <w:rPr>
          <w:rFonts w:ascii="Times New Roman" w:hAnsi="Times New Roman" w:eastAsia="Times New Roman"/>
          <w:b/>
          <w:i w:val="0"/>
          <w:color w:val="1B3A5F"/>
          <w:sz w:val="18"/>
        </w:rPr>
        <w:t>3.11.7</w:t>
      </w:r>
      <w:r>
        <w:rPr>
          <w:rFonts w:ascii="Times New Roman" w:hAnsi="Times New Roman" w:eastAsia="Times New Roman"/>
          <w:b w:val="0"/>
          <w:i w:val="0"/>
          <w:sz w:val="18"/>
        </w:rPr>
        <w:t xml:space="preserve">, scvi-tools </w:t>
      </w:r>
      <w:r>
        <w:rPr>
          <w:rFonts w:ascii="Times New Roman" w:hAnsi="Times New Roman" w:eastAsia="Times New Roman"/>
          <w:b/>
          <w:i w:val="0"/>
          <w:color w:val="1B3A5F"/>
          <w:sz w:val="18"/>
        </w:rPr>
        <w:t>1.3.3</w:t>
      </w:r>
      <w:r>
        <w:rPr>
          <w:rFonts w:ascii="Times New Roman" w:hAnsi="Times New Roman" w:eastAsia="Times New Roman"/>
          <w:b w:val="0"/>
          <w:i w:val="0"/>
          <w:sz w:val="18"/>
        </w:rPr>
        <w:t xml:space="preserve">, scikit-learn </w:t>
      </w:r>
      <w:r>
        <w:rPr>
          <w:rFonts w:ascii="Times New Roman" w:hAnsi="Times New Roman" w:eastAsia="Times New Roman"/>
          <w:b/>
          <w:i w:val="0"/>
          <w:color w:val="1B3A5F"/>
          <w:sz w:val="18"/>
        </w:rPr>
        <w:t>1.5.2</w:t>
      </w:r>
      <w:r>
        <w:rPr>
          <w:rFonts w:ascii="Times New Roman" w:hAnsi="Times New Roman" w:eastAsia="Times New Roman"/>
          <w:b w:val="0"/>
          <w:i w:val="0"/>
          <w:sz w:val="18"/>
        </w:rPr>
        <w:t xml:space="preserve">, scanpy </w:t>
      </w:r>
      <w:r>
        <w:rPr>
          <w:rFonts w:ascii="Times New Roman" w:hAnsi="Times New Roman" w:eastAsia="Times New Roman"/>
          <w:b/>
          <w:i w:val="0"/>
          <w:color w:val="1B3A5F"/>
          <w:sz w:val="18"/>
        </w:rPr>
        <w:t>1.10.3</w:t>
      </w:r>
      <w:r>
        <w:rPr>
          <w:rFonts w:ascii="Times New Roman" w:hAnsi="Times New Roman" w:eastAsia="Times New Roman"/>
          <w:b w:val="0"/>
          <w:i w:val="0"/>
          <w:sz w:val="18"/>
        </w:rPr>
        <w:t xml:space="preserve">, anndata </w:t>
      </w:r>
      <w:r>
        <w:rPr>
          <w:rFonts w:ascii="Times New Roman" w:hAnsi="Times New Roman" w:eastAsia="Times New Roman"/>
          <w:b/>
          <w:i w:val="0"/>
          <w:color w:val="1B3A5F"/>
          <w:sz w:val="18"/>
        </w:rPr>
        <w:t>0.11.4</w:t>
      </w:r>
      <w:r>
        <w:rPr>
          <w:rFonts w:ascii="Times New Roman" w:hAnsi="Times New Roman" w:eastAsia="Times New Roman"/>
          <w:b w:val="0"/>
          <w:i w:val="0"/>
          <w:sz w:val="18"/>
        </w:rPr>
        <w:t xml:space="preserve">, PyTorch </w:t>
      </w:r>
      <w:r>
        <w:rPr>
          <w:rFonts w:ascii="Times New Roman" w:hAnsi="Times New Roman" w:eastAsia="Times New Roman"/>
          <w:b/>
          <w:i w:val="0"/>
          <w:color w:val="1B3A5F"/>
          <w:sz w:val="18"/>
        </w:rPr>
        <w:t>2.14.0</w:t>
      </w:r>
      <w:r>
        <w:rPr>
          <w:rFonts w:ascii="Times New Roman" w:hAnsi="Times New Roman" w:eastAsia="Times New Roman"/>
          <w:b w:val="0"/>
          <w:i w:val="0"/>
          <w:sz w:val="18"/>
        </w:rPr>
        <w:t xml:space="preserve"> (CUDA builds used for PHASE 10 server runs). Environment files: `environment.yml`, `requirements.txt`. Code: https://github.com/Jizhuy/robust-multiomics-integration. An immutable archival release and DOI will accompany the submitted version.</w:t>
      </w:r>
    </w:p>
    <w:p>
      <w:pPr>
        <w:spacing w:before="0" w:after="160" w:line="240" w:lineRule="auto"/>
        <w:ind w:firstLine="0"/>
        <w:jc w:val="left"/>
      </w:pPr>
      <w:r>
        <w:rPr>
          <w:rFonts w:ascii="Times New Roman" w:hAnsi="Times New Roman" w:eastAsia="Times New Roman"/>
          <w:b/>
          <w:i w:val="0"/>
          <w:color w:val="1B3A5F"/>
          <w:sz w:val="24"/>
        </w:rPr>
        <w:t>Data Availability</w:t>
      </w:r>
    </w:p>
    <w:p>
      <w:pPr>
        <w:spacing w:before="0" w:after="120" w:line="240" w:lineRule="auto"/>
        <w:ind w:firstLine="0"/>
        <w:jc w:val="both"/>
      </w:pPr>
      <w:r>
        <w:rPr>
          <w:rFonts w:ascii="Times New Roman" w:hAnsi="Times New Roman" w:eastAsia="Times New Roman"/>
          <w:b w:val="0"/>
          <w:i w:val="0"/>
          <w:sz w:val="20"/>
        </w:rPr>
        <w:t>The Lawlor Human Cell Atlas dataset is available under HCA project efea6426-510a-4b60-9a19-277e52bfa815 and ENA accessions PRJEB40376 / ERP124005 [13].</w:t>
      </w:r>
    </w:p>
    <w:p>
      <w:pPr>
        <w:spacing w:before="0" w:after="120" w:line="240" w:lineRule="auto"/>
        <w:ind w:firstLine="0"/>
        <w:jc w:val="both"/>
      </w:pPr>
      <w:r>
        <w:rPr>
          <w:rFonts w:ascii="Times New Roman" w:hAnsi="Times New Roman" w:eastAsia="Times New Roman"/>
          <w:b w:val="0"/>
          <w:i w:val="0"/>
          <w:sz w:val="20"/>
        </w:rPr>
        <w:t>PBMC10k/PBMC5k analyses used the public scvi-tools CITE-seq example AnnData files `pbmc_10k_protein_v3.h5ad` and `pbmc_5k_protein_v3.h5ad` (scverse exampledata URLs; YosefLab/scVI-data fallback). No GEO/SRA accession is claimed.</w:t>
      </w:r>
    </w:p>
    <w:p>
      <w:pPr>
        <w:spacing w:before="0" w:after="160" w:line="240" w:lineRule="auto"/>
        <w:ind w:firstLine="0"/>
        <w:jc w:val="left"/>
      </w:pPr>
      <w:r>
        <w:rPr>
          <w:rFonts w:ascii="Times New Roman" w:hAnsi="Times New Roman" w:eastAsia="Times New Roman"/>
          <w:b/>
          <w:i w:val="0"/>
          <w:color w:val="1B3A5F"/>
          <w:sz w:val="24"/>
        </w:rPr>
        <w:t>Code Availability</w:t>
      </w:r>
    </w:p>
    <w:p>
      <w:pPr>
        <w:spacing w:before="0" w:after="120" w:line="240" w:lineRule="auto"/>
        <w:ind w:firstLine="0"/>
        <w:jc w:val="both"/>
      </w:pPr>
      <w:r>
        <w:rPr>
          <w:rFonts w:ascii="Times New Roman" w:hAnsi="Times New Roman" w:eastAsia="Times New Roman"/>
          <w:b w:val="0"/>
          <w:i w:val="0"/>
          <w:sz w:val="20"/>
        </w:rPr>
        <w:t>Analysis code and reproducible workflows are publicly available at https://github.com/Jizhuy/robust-multiomics-integration.git. An immutable archival release and DOI will accompany the submitted version of the manuscript.</w:t>
      </w:r>
    </w:p>
    <w:p>
      <w:pPr>
        <w:spacing w:before="0" w:after="160" w:line="240" w:lineRule="auto"/>
        <w:ind w:firstLine="0"/>
        <w:jc w:val="left"/>
      </w:pPr>
      <w:r>
        <w:rPr>
          <w:rFonts w:ascii="Times New Roman" w:hAnsi="Times New Roman" w:eastAsia="Times New Roman"/>
          <w:b/>
          <w:i w:val="0"/>
          <w:color w:val="1B3A5F"/>
          <w:sz w:val="24"/>
        </w:rPr>
        <w:t>Acknowledgements</w:t>
      </w:r>
    </w:p>
    <w:p>
      <w:pPr>
        <w:spacing w:before="0" w:after="120" w:line="240" w:lineRule="auto"/>
        <w:ind w:firstLine="0"/>
        <w:jc w:val="both"/>
      </w:pPr>
      <w:r>
        <w:rPr>
          <w:rFonts w:ascii="Times New Roman" w:hAnsi="Times New Roman" w:eastAsia="Times New Roman"/>
          <w:b w:val="0"/>
          <w:i w:val="0"/>
          <w:sz w:val="20"/>
        </w:rPr>
        <w:t>I thank Bo Li for valuable discussions, methodological suggestions, and constructive feedback on the framing and interpretation of this work.</w:t>
      </w:r>
    </w:p>
    <w:p>
      <w:pPr>
        <w:spacing w:before="0" w:after="160" w:line="240" w:lineRule="auto"/>
        <w:ind w:firstLine="0"/>
        <w:jc w:val="left"/>
      </w:pPr>
      <w:r>
        <w:rPr>
          <w:rFonts w:ascii="Times New Roman" w:hAnsi="Times New Roman" w:eastAsia="Times New Roman"/>
          <w:b/>
          <w:i w:val="0"/>
          <w:color w:val="1B3A5F"/>
          <w:sz w:val="24"/>
        </w:rPr>
        <w:t>Tables</w:t>
      </w:r>
    </w:p>
    <w:p>
      <w:pPr>
        <w:spacing w:before="0" w:after="160" w:line="240" w:lineRule="auto"/>
        <w:ind w:firstLine="0"/>
        <w:jc w:val="left"/>
      </w:pPr>
      <w:r>
        <w:rPr>
          <w:rFonts w:ascii="Times New Roman" w:hAnsi="Times New Roman" w:eastAsia="Times New Roman"/>
          <w:b/>
          <w:i w:val="0"/>
          <w:color w:val="1B3A5F"/>
          <w:sz w:val="22"/>
        </w:rPr>
        <w:t>Table 1. Internal development-cohort methods</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pPr>
              <w:spacing w:after="0"/>
              <w:ind w:firstLine="0"/>
            </w:pPr>
            <w:r>
              <w:rPr>
                <w:rFonts w:ascii="Times New Roman" w:hAnsi="Times New Roman" w:eastAsia="Times New Roman"/>
                <w:b/>
                <w:i w:val="0"/>
                <w:color w:val="1B3A5F"/>
                <w:sz w:val="14"/>
              </w:rPr>
              <w:t>Representation</w:t>
            </w:r>
          </w:p>
        </w:tc>
        <w:tc>
          <w:tcPr>
            <w:tcW w:type="dxa" w:w="2409"/>
          </w:tcPr>
          <w:p>
            <w:pPr>
              <w:spacing w:after="0"/>
              <w:ind w:firstLine="0"/>
            </w:pPr>
            <w:r>
              <w:rPr>
                <w:rFonts w:ascii="Times New Roman" w:hAnsi="Times New Roman" w:eastAsia="Times New Roman"/>
                <w:b/>
                <w:i w:val="0"/>
                <w:color w:val="1B3A5F"/>
                <w:sz w:val="14"/>
              </w:rPr>
              <w:t>Modalities</w:t>
            </w:r>
          </w:p>
        </w:tc>
        <w:tc>
          <w:tcPr>
            <w:tcW w:type="dxa" w:w="2409"/>
          </w:tcPr>
          <w:p>
            <w:pPr>
              <w:spacing w:after="0"/>
              <w:ind w:firstLine="0"/>
            </w:pPr>
            <w:r>
              <w:rPr>
                <w:rFonts w:ascii="Times New Roman" w:hAnsi="Times New Roman" w:eastAsia="Times New Roman"/>
                <w:b/>
                <w:i w:val="0"/>
                <w:color w:val="1B3A5F"/>
                <w:sz w:val="14"/>
              </w:rPr>
              <w:t>Macro-F1</w:t>
            </w:r>
          </w:p>
        </w:tc>
        <w:tc>
          <w:tcPr>
            <w:tcW w:type="dxa" w:w="2409"/>
          </w:tcPr>
          <w:p>
            <w:pPr>
              <w:spacing w:after="0"/>
              <w:ind w:firstLine="0"/>
            </w:pPr>
            <w:r>
              <w:rPr>
                <w:rFonts w:ascii="Times New Roman" w:hAnsi="Times New Roman" w:eastAsia="Times New Roman"/>
                <w:b/>
                <w:i w:val="0"/>
                <w:color w:val="1B3A5F"/>
                <w:sz w:val="14"/>
              </w:rPr>
              <w:t>Role</w:t>
            </w:r>
          </w:p>
        </w:tc>
      </w:tr>
      <w:tr>
        <w:tc>
          <w:tcPr>
            <w:tcW w:type="dxa" w:w="2409"/>
          </w:tcPr>
          <w:p>
            <w:pPr>
              <w:spacing w:after="0"/>
              <w:ind w:firstLine="0"/>
            </w:pPr>
            <w:r>
              <w:rPr>
                <w:rFonts w:ascii="Times New Roman" w:hAnsi="Times New Roman" w:eastAsia="Times New Roman"/>
                <w:b w:val="0"/>
                <w:i w:val="0"/>
                <w:sz w:val="14"/>
              </w:rPr>
              <w:t>RNA PCA</w:t>
            </w:r>
          </w:p>
        </w:tc>
        <w:tc>
          <w:tcPr>
            <w:tcW w:type="dxa" w:w="2409"/>
          </w:tcPr>
          <w:p>
            <w:pPr>
              <w:spacing w:after="0"/>
              <w:ind w:firstLine="0"/>
            </w:pPr>
            <w:r>
              <w:rPr>
                <w:rFonts w:ascii="Times New Roman" w:hAnsi="Times New Roman" w:eastAsia="Times New Roman"/>
                <w:b w:val="0"/>
                <w:i w:val="0"/>
                <w:sz w:val="14"/>
              </w:rPr>
              <w:t>RNA</w:t>
            </w:r>
          </w:p>
        </w:tc>
        <w:tc>
          <w:tcPr>
            <w:tcW w:type="dxa" w:w="2409"/>
          </w:tcPr>
          <w:p>
            <w:pPr>
              <w:spacing w:after="0"/>
              <w:ind w:firstLine="0"/>
            </w:pPr>
            <w:r>
              <w:rPr>
                <w:rFonts w:ascii="Times New Roman" w:hAnsi="Times New Roman" w:eastAsia="Times New Roman"/>
                <w:b w:val="0"/>
                <w:i w:val="0"/>
                <w:sz w:val="14"/>
              </w:rPr>
              <w:t>0.666</w:t>
            </w:r>
          </w:p>
        </w:tc>
        <w:tc>
          <w:tcPr>
            <w:tcW w:type="dxa" w:w="2409"/>
          </w:tcPr>
          <w:p>
            <w:pPr>
              <w:spacing w:after="0"/>
              <w:ind w:firstLine="0"/>
            </w:pPr>
            <w:r>
              <w:rPr>
                <w:rFonts w:ascii="Times New Roman" w:hAnsi="Times New Roman" w:eastAsia="Times New Roman"/>
                <w:b w:val="0"/>
                <w:i w:val="0"/>
                <w:sz w:val="14"/>
              </w:rPr>
              <w:t>RNA-only reference</w:t>
            </w:r>
          </w:p>
        </w:tc>
      </w:tr>
      <w:tr>
        <w:tc>
          <w:tcPr>
            <w:tcW w:type="dxa" w:w="2409"/>
          </w:tcPr>
          <w:p>
            <w:pPr>
              <w:spacing w:after="0"/>
              <w:ind w:firstLine="0"/>
            </w:pPr>
            <w:r>
              <w:rPr>
                <w:rFonts w:ascii="Times New Roman" w:hAnsi="Times New Roman" w:eastAsia="Times New Roman"/>
                <w:b w:val="0"/>
                <w:i w:val="0"/>
                <w:sz w:val="14"/>
              </w:rPr>
              <w:t>Protein PCA</w:t>
            </w:r>
          </w:p>
        </w:tc>
        <w:tc>
          <w:tcPr>
            <w:tcW w:type="dxa" w:w="2409"/>
          </w:tcPr>
          <w:p>
            <w:pPr>
              <w:spacing w:after="0"/>
              <w:ind w:firstLine="0"/>
            </w:pPr>
            <w:r>
              <w:rPr>
                <w:rFonts w:ascii="Times New Roman" w:hAnsi="Times New Roman" w:eastAsia="Times New Roman"/>
                <w:b w:val="0"/>
                <w:i w:val="0"/>
                <w:sz w:val="14"/>
              </w:rPr>
              <w:t>Protein</w:t>
            </w:r>
          </w:p>
        </w:tc>
        <w:tc>
          <w:tcPr>
            <w:tcW w:type="dxa" w:w="2409"/>
          </w:tcPr>
          <w:p>
            <w:pPr>
              <w:spacing w:after="0"/>
              <w:ind w:firstLine="0"/>
            </w:pPr>
            <w:r>
              <w:rPr>
                <w:rFonts w:ascii="Times New Roman" w:hAnsi="Times New Roman" w:eastAsia="Times New Roman"/>
                <w:b w:val="0"/>
                <w:i w:val="0"/>
                <w:sz w:val="14"/>
              </w:rPr>
              <w:t>0.512</w:t>
            </w:r>
          </w:p>
        </w:tc>
        <w:tc>
          <w:tcPr>
            <w:tcW w:type="dxa" w:w="2409"/>
          </w:tcPr>
          <w:p>
            <w:pPr>
              <w:spacing w:after="0"/>
              <w:ind w:firstLine="0"/>
            </w:pPr>
            <w:r>
              <w:rPr>
                <w:rFonts w:ascii="Times New Roman" w:hAnsi="Times New Roman" w:eastAsia="Times New Roman"/>
                <w:b w:val="0"/>
                <w:i w:val="0"/>
                <w:sz w:val="14"/>
              </w:rPr>
              <w:t>Protein-only secondary baseline</w:t>
            </w:r>
          </w:p>
        </w:tc>
      </w:tr>
      <w:tr>
        <w:tc>
          <w:tcPr>
            <w:tcW w:type="dxa" w:w="2409"/>
          </w:tcPr>
          <w:p>
            <w:pPr>
              <w:spacing w:after="0"/>
              <w:ind w:firstLine="0"/>
            </w:pPr>
            <w:r>
              <w:rPr>
                <w:rFonts w:ascii="Times New Roman" w:hAnsi="Times New Roman" w:eastAsia="Times New Roman"/>
                <w:b w:val="0"/>
                <w:i w:val="0"/>
                <w:sz w:val="14"/>
              </w:rPr>
              <w:t>Concatenated RNA-protein PCA</w:t>
            </w:r>
          </w:p>
        </w:tc>
        <w:tc>
          <w:tcPr>
            <w:tcW w:type="dxa" w:w="2409"/>
          </w:tcPr>
          <w:p>
            <w:pPr>
              <w:spacing w:after="0"/>
              <w:ind w:firstLine="0"/>
            </w:pPr>
            <w:r>
              <w:rPr>
                <w:rFonts w:ascii="Times New Roman" w:hAnsi="Times New Roman" w:eastAsia="Times New Roman"/>
                <w:b w:val="0"/>
                <w:i w:val="0"/>
                <w:sz w:val="14"/>
              </w:rPr>
              <w:t>RNA + protein</w:t>
            </w:r>
          </w:p>
        </w:tc>
        <w:tc>
          <w:tcPr>
            <w:tcW w:type="dxa" w:w="2409"/>
          </w:tcPr>
          <w:p>
            <w:pPr>
              <w:spacing w:after="0"/>
              <w:ind w:firstLine="0"/>
            </w:pPr>
            <w:r>
              <w:rPr>
                <w:rFonts w:ascii="Times New Roman" w:hAnsi="Times New Roman" w:eastAsia="Times New Roman"/>
                <w:b w:val="0"/>
                <w:i w:val="0"/>
                <w:sz w:val="14"/>
              </w:rPr>
              <w:t>0.745</w:t>
            </w:r>
          </w:p>
        </w:tc>
        <w:tc>
          <w:tcPr>
            <w:tcW w:type="dxa" w:w="2409"/>
          </w:tcPr>
          <w:p>
            <w:pPr>
              <w:spacing w:after="0"/>
              <w:ind w:firstLine="0"/>
            </w:pPr>
            <w:r>
              <w:rPr>
                <w:rFonts w:ascii="Times New Roman" w:hAnsi="Times New Roman" w:eastAsia="Times New Roman"/>
                <w:b w:val="0"/>
                <w:i w:val="0"/>
                <w:sz w:val="14"/>
              </w:rPr>
              <w:t>Simple multimodal protein-access reference</w:t>
            </w:r>
          </w:p>
        </w:tc>
      </w:tr>
      <w:tr>
        <w:tc>
          <w:tcPr>
            <w:tcW w:type="dxa" w:w="2409"/>
          </w:tcPr>
          <w:p>
            <w:pPr>
              <w:spacing w:after="0"/>
              <w:ind w:firstLine="0"/>
            </w:pPr>
            <w:r>
              <w:rPr>
                <w:rFonts w:ascii="Times New Roman" w:hAnsi="Times New Roman" w:eastAsia="Times New Roman"/>
                <w:b w:val="0"/>
                <w:i w:val="0"/>
                <w:sz w:val="14"/>
              </w:rPr>
              <w:t>MOFA+</w:t>
            </w:r>
          </w:p>
        </w:tc>
        <w:tc>
          <w:tcPr>
            <w:tcW w:type="dxa" w:w="2409"/>
          </w:tcPr>
          <w:p>
            <w:pPr>
              <w:spacing w:after="0"/>
              <w:ind w:firstLine="0"/>
            </w:pPr>
            <w:r>
              <w:rPr>
                <w:rFonts w:ascii="Times New Roman" w:hAnsi="Times New Roman" w:eastAsia="Times New Roman"/>
                <w:b w:val="0"/>
                <w:i w:val="0"/>
                <w:sz w:val="14"/>
              </w:rPr>
              <w:t>RNA + protein</w:t>
            </w:r>
          </w:p>
        </w:tc>
        <w:tc>
          <w:tcPr>
            <w:tcW w:type="dxa" w:w="2409"/>
          </w:tcPr>
          <w:p>
            <w:pPr>
              <w:spacing w:after="0"/>
              <w:ind w:firstLine="0"/>
            </w:pPr>
            <w:r>
              <w:rPr>
                <w:rFonts w:ascii="Times New Roman" w:hAnsi="Times New Roman" w:eastAsia="Times New Roman"/>
                <w:b w:val="0"/>
                <w:i w:val="0"/>
                <w:sz w:val="14"/>
              </w:rPr>
              <w:t>0.549</w:t>
            </w:r>
          </w:p>
        </w:tc>
        <w:tc>
          <w:tcPr>
            <w:tcW w:type="dxa" w:w="2409"/>
          </w:tcPr>
          <w:p>
            <w:pPr>
              <w:spacing w:after="0"/>
              <w:ind w:firstLine="0"/>
            </w:pPr>
            <w:r>
              <w:rPr>
                <w:rFonts w:ascii="Times New Roman" w:hAnsi="Times New Roman" w:eastAsia="Times New Roman"/>
                <w:b w:val="0"/>
                <w:i w:val="0"/>
                <w:sz w:val="14"/>
              </w:rPr>
              <w:t>Multimodal factor-analysis secondary baseline</w:t>
            </w:r>
          </w:p>
        </w:tc>
      </w:tr>
      <w:tr>
        <w:tc>
          <w:tcPr>
            <w:tcW w:type="dxa" w:w="2409"/>
          </w:tcPr>
          <w:p>
            <w:pPr>
              <w:spacing w:after="0"/>
              <w:ind w:firstLine="0"/>
            </w:pPr>
            <w:r>
              <w:rPr>
                <w:rFonts w:ascii="Times New Roman" w:hAnsi="Times New Roman" w:eastAsia="Times New Roman"/>
                <w:b w:val="0"/>
                <w:i w:val="0"/>
                <w:sz w:val="14"/>
              </w:rPr>
              <w:t>scVI</w:t>
            </w:r>
          </w:p>
        </w:tc>
        <w:tc>
          <w:tcPr>
            <w:tcW w:type="dxa" w:w="2409"/>
          </w:tcPr>
          <w:p>
            <w:pPr>
              <w:spacing w:after="0"/>
              <w:ind w:firstLine="0"/>
            </w:pPr>
            <w:r>
              <w:rPr>
                <w:rFonts w:ascii="Times New Roman" w:hAnsi="Times New Roman" w:eastAsia="Times New Roman"/>
                <w:b w:val="0"/>
                <w:i w:val="0"/>
                <w:sz w:val="14"/>
              </w:rPr>
              <w:t>RNA</w:t>
            </w:r>
          </w:p>
        </w:tc>
        <w:tc>
          <w:tcPr>
            <w:tcW w:type="dxa" w:w="2409"/>
          </w:tcPr>
          <w:p>
            <w:pPr>
              <w:spacing w:after="0"/>
              <w:ind w:firstLine="0"/>
            </w:pPr>
            <w:r>
              <w:rPr>
                <w:rFonts w:ascii="Times New Roman" w:hAnsi="Times New Roman" w:eastAsia="Times New Roman"/>
                <w:b w:val="0"/>
                <w:i w:val="0"/>
                <w:sz w:val="14"/>
              </w:rPr>
              <w:t>0.722</w:t>
            </w:r>
          </w:p>
        </w:tc>
        <w:tc>
          <w:tcPr>
            <w:tcW w:type="dxa" w:w="2409"/>
          </w:tcPr>
          <w:p>
            <w:pPr>
              <w:spacing w:after="0"/>
              <w:ind w:firstLine="0"/>
            </w:pPr>
            <w:r>
              <w:rPr>
                <w:rFonts w:ascii="Times New Roman" w:hAnsi="Times New Roman" w:eastAsia="Times New Roman"/>
                <w:b w:val="0"/>
                <w:i w:val="0"/>
                <w:sz w:val="14"/>
              </w:rPr>
              <w:t>RNA-only deep representation</w:t>
            </w:r>
          </w:p>
        </w:tc>
      </w:tr>
      <w:tr>
        <w:tc>
          <w:tcPr>
            <w:tcW w:type="dxa" w:w="2409"/>
          </w:tcPr>
          <w:p>
            <w:pPr>
              <w:spacing w:after="0"/>
              <w:ind w:firstLine="0"/>
            </w:pPr>
            <w:r>
              <w:rPr>
                <w:rFonts w:ascii="Times New Roman" w:hAnsi="Times New Roman" w:eastAsia="Times New Roman"/>
                <w:b w:val="0"/>
                <w:i w:val="0"/>
                <w:sz w:val="14"/>
              </w:rPr>
              <w:t>totalVI</w:t>
            </w:r>
          </w:p>
        </w:tc>
        <w:tc>
          <w:tcPr>
            <w:tcW w:type="dxa" w:w="2409"/>
          </w:tcPr>
          <w:p>
            <w:pPr>
              <w:spacing w:after="0"/>
              <w:ind w:firstLine="0"/>
            </w:pPr>
            <w:r>
              <w:rPr>
                <w:rFonts w:ascii="Times New Roman" w:hAnsi="Times New Roman" w:eastAsia="Times New Roman"/>
                <w:b w:val="0"/>
                <w:i w:val="0"/>
                <w:sz w:val="14"/>
              </w:rPr>
              <w:t>RNA + protein</w:t>
            </w:r>
          </w:p>
        </w:tc>
        <w:tc>
          <w:tcPr>
            <w:tcW w:type="dxa" w:w="2409"/>
          </w:tcPr>
          <w:p>
            <w:pPr>
              <w:spacing w:after="0"/>
              <w:ind w:firstLine="0"/>
            </w:pPr>
            <w:r>
              <w:rPr>
                <w:rFonts w:ascii="Times New Roman" w:hAnsi="Times New Roman" w:eastAsia="Times New Roman"/>
                <w:b w:val="0"/>
                <w:i w:val="0"/>
                <w:sz w:val="14"/>
              </w:rPr>
              <w:t>0.779</w:t>
            </w:r>
          </w:p>
        </w:tc>
        <w:tc>
          <w:tcPr>
            <w:tcW w:type="dxa" w:w="2409"/>
          </w:tcPr>
          <w:p>
            <w:pPr>
              <w:spacing w:after="0"/>
              <w:ind w:firstLine="0"/>
            </w:pPr>
            <w:r>
              <w:rPr>
                <w:rFonts w:ascii="Times New Roman" w:hAnsi="Times New Roman" w:eastAsia="Times New Roman"/>
                <w:b w:val="0"/>
                <w:i w:val="0"/>
                <w:sz w:val="14"/>
              </w:rPr>
              <w:t>Multimodal deep representation</w:t>
            </w:r>
          </w:p>
        </w:tc>
      </w:tr>
    </w:tbl>
    <w:p/>
    <w:p>
      <w:pPr>
        <w:spacing w:before="0" w:after="160" w:line="240" w:lineRule="auto"/>
        <w:ind w:firstLine="0"/>
        <w:jc w:val="left"/>
      </w:pPr>
      <w:r>
        <w:rPr>
          <w:rFonts w:ascii="Times New Roman" w:hAnsi="Times New Roman" w:eastAsia="Times New Roman"/>
          <w:b/>
          <w:i w:val="0"/>
          <w:color w:val="1B3A5F"/>
          <w:sz w:val="22"/>
        </w:rPr>
        <w:t>Table 2. Core internal contrasts with bootstrap intervals</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pPr>
              <w:spacing w:after="0"/>
              <w:ind w:firstLine="0"/>
            </w:pPr>
            <w:r>
              <w:rPr>
                <w:rFonts w:ascii="Times New Roman" w:hAnsi="Times New Roman" w:eastAsia="Times New Roman"/>
                <w:b/>
                <w:i w:val="0"/>
                <w:color w:val="1B3A5F"/>
                <w:sz w:val="14"/>
              </w:rPr>
              <w:t>Contrast</w:t>
            </w:r>
          </w:p>
        </w:tc>
        <w:tc>
          <w:tcPr>
            <w:tcW w:type="dxa" w:w="1606"/>
          </w:tcPr>
          <w:p>
            <w:pPr>
              <w:spacing w:after="0"/>
              <w:ind w:firstLine="0"/>
            </w:pPr>
            <w:r>
              <w:rPr>
                <w:rFonts w:ascii="Times New Roman" w:hAnsi="Times New Roman" w:eastAsia="Times New Roman"/>
                <w:b/>
                <w:i w:val="0"/>
                <w:color w:val="1B3A5F"/>
                <w:sz w:val="14"/>
              </w:rPr>
              <w:t>Definition</w:t>
            </w:r>
          </w:p>
        </w:tc>
        <w:tc>
          <w:tcPr>
            <w:tcW w:type="dxa" w:w="1606"/>
          </w:tcPr>
          <w:p>
            <w:pPr>
              <w:spacing w:after="0"/>
              <w:ind w:firstLine="0"/>
            </w:pPr>
            <w:r>
              <w:rPr>
                <w:rFonts w:ascii="Times New Roman" w:hAnsi="Times New Roman" w:eastAsia="Times New Roman"/>
                <w:b/>
                <w:i w:val="0"/>
                <w:color w:val="1B3A5F"/>
                <w:sz w:val="14"/>
              </w:rPr>
              <w:t>Estimate</w:t>
            </w:r>
          </w:p>
        </w:tc>
        <w:tc>
          <w:tcPr>
            <w:tcW w:type="dxa" w:w="1606"/>
          </w:tcPr>
          <w:p>
            <w:pPr>
              <w:spacing w:after="0"/>
              <w:ind w:firstLine="0"/>
            </w:pPr>
            <w:r>
              <w:rPr>
                <w:rFonts w:ascii="Times New Roman" w:hAnsi="Times New Roman" w:eastAsia="Times New Roman"/>
                <w:b/>
                <w:i w:val="0"/>
                <w:color w:val="1B3A5F"/>
                <w:sz w:val="14"/>
              </w:rPr>
              <w:t>95% interval</w:t>
            </w:r>
          </w:p>
        </w:tc>
        <w:tc>
          <w:tcPr>
            <w:tcW w:type="dxa" w:w="1606"/>
          </w:tcPr>
          <w:p>
            <w:pPr>
              <w:spacing w:after="0"/>
              <w:ind w:firstLine="0"/>
            </w:pPr>
            <w:r>
              <w:rPr>
                <w:rFonts w:ascii="Times New Roman" w:hAnsi="Times New Roman" w:eastAsia="Times New Roman"/>
                <w:b/>
                <w:i w:val="0"/>
                <w:color w:val="1B3A5F"/>
                <w:sz w:val="14"/>
              </w:rPr>
              <w:t>prop&gt;0</w:t>
            </w:r>
          </w:p>
        </w:tc>
        <w:tc>
          <w:tcPr>
            <w:tcW w:type="dxa" w:w="1606"/>
          </w:tcPr>
          <w:p>
            <w:pPr>
              <w:spacing w:after="0"/>
              <w:ind w:firstLine="0"/>
            </w:pPr>
            <w:r>
              <w:rPr>
                <w:rFonts w:ascii="Times New Roman" w:hAnsi="Times New Roman" w:eastAsia="Times New Roman"/>
                <w:b/>
                <w:i w:val="0"/>
                <w:color w:val="1B3A5F"/>
                <w:sz w:val="14"/>
              </w:rPr>
              <w:t>Interpretation</w:t>
            </w:r>
          </w:p>
        </w:tc>
      </w:tr>
      <w:tr>
        <w:tc>
          <w:tcPr>
            <w:tcW w:type="dxa" w:w="1606"/>
          </w:tcPr>
          <w:p>
            <w:pPr>
              <w:spacing w:after="0"/>
              <w:ind w:firstLine="0"/>
            </w:pPr>
            <w:r>
              <w:rPr>
                <w:rFonts w:ascii="Times New Roman" w:hAnsi="Times New Roman" w:eastAsia="Times New Roman"/>
                <w:b w:val="0"/>
                <w:i w:val="0"/>
                <w:sz w:val="14"/>
              </w:rPr>
              <w:t>G_access</w:t>
            </w:r>
          </w:p>
        </w:tc>
        <w:tc>
          <w:tcPr>
            <w:tcW w:type="dxa" w:w="1606"/>
          </w:tcPr>
          <w:p>
            <w:pPr>
              <w:spacing w:after="0"/>
              <w:ind w:firstLine="0"/>
            </w:pPr>
            <w:r>
              <w:rPr>
                <w:rFonts w:ascii="Times New Roman" w:hAnsi="Times New Roman" w:eastAsia="Times New Roman"/>
                <w:b w:val="0"/>
                <w:i w:val="0"/>
                <w:sz w:val="14"/>
              </w:rPr>
              <w:t>F1_concat - F1_RNA_PCA</w:t>
            </w:r>
          </w:p>
        </w:tc>
        <w:tc>
          <w:tcPr>
            <w:tcW w:type="dxa" w:w="1606"/>
          </w:tcPr>
          <w:p>
            <w:pPr>
              <w:spacing w:after="0"/>
              <w:ind w:firstLine="0"/>
            </w:pPr>
            <w:r>
              <w:rPr>
                <w:rFonts w:ascii="Times New Roman" w:hAnsi="Times New Roman" w:eastAsia="Times New Roman"/>
                <w:b w:val="0"/>
                <w:i w:val="0"/>
                <w:sz w:val="14"/>
              </w:rPr>
              <w:t>+0.079</w:t>
            </w:r>
          </w:p>
        </w:tc>
        <w:tc>
          <w:tcPr>
            <w:tcW w:type="dxa" w:w="1606"/>
          </w:tcPr>
          <w:p>
            <w:pPr>
              <w:spacing w:after="0"/>
              <w:ind w:firstLine="0"/>
            </w:pPr>
            <w:r>
              <w:rPr>
                <w:rFonts w:ascii="Times New Roman" w:hAnsi="Times New Roman" w:eastAsia="Times New Roman"/>
                <w:b w:val="0"/>
                <w:i w:val="0"/>
                <w:sz w:val="14"/>
              </w:rPr>
              <w:t>[0.043, 0.132]</w:t>
            </w:r>
          </w:p>
        </w:tc>
        <w:tc>
          <w:tcPr>
            <w:tcW w:type="dxa" w:w="1606"/>
          </w:tcPr>
          <w:p>
            <w:pPr>
              <w:spacing w:after="0"/>
              <w:ind w:firstLine="0"/>
            </w:pPr>
            <w:r>
              <w:rPr>
                <w:rFonts w:ascii="Times New Roman" w:hAnsi="Times New Roman" w:eastAsia="Times New Roman"/>
                <w:b w:val="0"/>
                <w:i w:val="0"/>
                <w:sz w:val="14"/>
              </w:rPr>
              <w:t>1.0</w:t>
            </w:r>
          </w:p>
        </w:tc>
        <w:tc>
          <w:tcPr>
            <w:tcW w:type="dxa" w:w="1606"/>
          </w:tcPr>
          <w:p>
            <w:pPr>
              <w:spacing w:after="0"/>
              <w:ind w:firstLine="0"/>
            </w:pPr>
            <w:r>
              <w:rPr>
                <w:rFonts w:ascii="Times New Roman" w:hAnsi="Times New Roman" w:eastAsia="Times New Roman"/>
                <w:b w:val="0"/>
                <w:i w:val="0"/>
                <w:sz w:val="14"/>
              </w:rPr>
              <w:t>Protein-access gain</w:t>
            </w:r>
          </w:p>
        </w:tc>
      </w:tr>
      <w:tr>
        <w:tc>
          <w:tcPr>
            <w:tcW w:type="dxa" w:w="1606"/>
          </w:tcPr>
          <w:p>
            <w:pPr>
              <w:spacing w:after="0"/>
              <w:ind w:firstLine="0"/>
            </w:pPr>
            <w:r>
              <w:rPr>
                <w:rFonts w:ascii="Times New Roman" w:hAnsi="Times New Roman" w:eastAsia="Times New Roman"/>
                <w:b w:val="0"/>
                <w:i w:val="0"/>
                <w:sz w:val="14"/>
              </w:rPr>
              <w:t>G_assoc</w:t>
            </w:r>
          </w:p>
        </w:tc>
        <w:tc>
          <w:tcPr>
            <w:tcW w:type="dxa" w:w="1606"/>
          </w:tcPr>
          <w:p>
            <w:pPr>
              <w:spacing w:after="0"/>
              <w:ind w:firstLine="0"/>
            </w:pPr>
            <w:r>
              <w:rPr>
                <w:rFonts w:ascii="Times New Roman" w:hAnsi="Times New Roman" w:eastAsia="Times New Roman"/>
                <w:b w:val="0"/>
                <w:i w:val="0"/>
                <w:sz w:val="14"/>
              </w:rPr>
              <w:t>F1_totalVI - F1_concat</w:t>
            </w:r>
          </w:p>
        </w:tc>
        <w:tc>
          <w:tcPr>
            <w:tcW w:type="dxa" w:w="1606"/>
          </w:tcPr>
          <w:p>
            <w:pPr>
              <w:spacing w:after="0"/>
              <w:ind w:firstLine="0"/>
            </w:pPr>
            <w:r>
              <w:rPr>
                <w:rFonts w:ascii="Times New Roman" w:hAnsi="Times New Roman" w:eastAsia="Times New Roman"/>
                <w:b w:val="0"/>
                <w:i w:val="0"/>
                <w:sz w:val="14"/>
              </w:rPr>
              <w:t>+0.034</w:t>
            </w:r>
          </w:p>
        </w:tc>
        <w:tc>
          <w:tcPr>
            <w:tcW w:type="dxa" w:w="1606"/>
          </w:tcPr>
          <w:p>
            <w:pPr>
              <w:spacing w:after="0"/>
              <w:ind w:firstLine="0"/>
            </w:pPr>
            <w:r>
              <w:rPr>
                <w:rFonts w:ascii="Times New Roman" w:hAnsi="Times New Roman" w:eastAsia="Times New Roman"/>
                <w:b w:val="0"/>
                <w:i w:val="0"/>
                <w:sz w:val="14"/>
              </w:rPr>
              <w:t>[-0.012, 0.073]</w:t>
            </w:r>
          </w:p>
        </w:tc>
        <w:tc>
          <w:tcPr>
            <w:tcW w:type="dxa" w:w="1606"/>
          </w:tcPr>
          <w:p>
            <w:pPr>
              <w:spacing w:after="0"/>
              <w:ind w:firstLine="0"/>
            </w:pPr>
            <w:r>
              <w:rPr>
                <w:rFonts w:ascii="Times New Roman" w:hAnsi="Times New Roman" w:eastAsia="Times New Roman"/>
                <w:b w:val="0"/>
                <w:i w:val="0"/>
                <w:sz w:val="14"/>
              </w:rPr>
              <w:t>0.9045</w:t>
            </w:r>
          </w:p>
        </w:tc>
        <w:tc>
          <w:tcPr>
            <w:tcW w:type="dxa" w:w="1606"/>
          </w:tcPr>
          <w:p>
            <w:pPr>
              <w:spacing w:after="0"/>
              <w:ind w:firstLine="0"/>
            </w:pPr>
            <w:r>
              <w:rPr>
                <w:rFonts w:ascii="Times New Roman" w:hAnsi="Times New Roman" w:eastAsia="Times New Roman"/>
                <w:b w:val="0"/>
                <w:i w:val="0"/>
                <w:sz w:val="14"/>
              </w:rPr>
              <w:t>Residual totalVI-associated contrast; interval crosses zero</w:t>
            </w:r>
          </w:p>
        </w:tc>
      </w:tr>
      <w:tr>
        <w:tc>
          <w:tcPr>
            <w:tcW w:type="dxa" w:w="1606"/>
          </w:tcPr>
          <w:p>
            <w:pPr>
              <w:spacing w:after="0"/>
              <w:ind w:firstLine="0"/>
            </w:pPr>
            <w:r>
              <w:rPr>
                <w:rFonts w:ascii="Times New Roman" w:hAnsi="Times New Roman" w:eastAsia="Times New Roman"/>
                <w:b w:val="0"/>
                <w:i w:val="0"/>
                <w:sz w:val="14"/>
              </w:rPr>
              <w:t>Gap_total</w:t>
            </w:r>
          </w:p>
        </w:tc>
        <w:tc>
          <w:tcPr>
            <w:tcW w:type="dxa" w:w="1606"/>
          </w:tcPr>
          <w:p>
            <w:pPr>
              <w:spacing w:after="0"/>
              <w:ind w:firstLine="0"/>
            </w:pPr>
            <w:r>
              <w:rPr>
                <w:rFonts w:ascii="Times New Roman" w:hAnsi="Times New Roman" w:eastAsia="Times New Roman"/>
                <w:b w:val="0"/>
                <w:i w:val="0"/>
                <w:sz w:val="14"/>
              </w:rPr>
              <w:t>F1_totalVI - F1_RNA_PCA</w:t>
            </w:r>
          </w:p>
        </w:tc>
        <w:tc>
          <w:tcPr>
            <w:tcW w:type="dxa" w:w="1606"/>
          </w:tcPr>
          <w:p>
            <w:pPr>
              <w:spacing w:after="0"/>
              <w:ind w:firstLine="0"/>
            </w:pPr>
            <w:r>
              <w:rPr>
                <w:rFonts w:ascii="Times New Roman" w:hAnsi="Times New Roman" w:eastAsia="Times New Roman"/>
                <w:b w:val="0"/>
                <w:i w:val="0"/>
                <w:sz w:val="14"/>
              </w:rPr>
              <w:t>+0.113</w:t>
            </w:r>
          </w:p>
        </w:tc>
        <w:tc>
          <w:tcPr>
            <w:tcW w:type="dxa" w:w="1606"/>
          </w:tcPr>
          <w:p>
            <w:pPr>
              <w:spacing w:after="0"/>
              <w:ind w:firstLine="0"/>
            </w:pPr>
            <w:r>
              <w:rPr>
                <w:rFonts w:ascii="Times New Roman" w:hAnsi="Times New Roman" w:eastAsia="Times New Roman"/>
                <w:b w:val="0"/>
                <w:i w:val="0"/>
                <w:sz w:val="14"/>
              </w:rPr>
              <w:t>[0.084, 0.154]</w:t>
            </w:r>
          </w:p>
        </w:tc>
        <w:tc>
          <w:tcPr>
            <w:tcW w:type="dxa" w:w="1606"/>
          </w:tcPr>
          <w:p>
            <w:pPr>
              <w:spacing w:after="0"/>
              <w:ind w:firstLine="0"/>
            </w:pPr>
            <w:r>
              <w:rPr>
                <w:rFonts w:ascii="Times New Roman" w:hAnsi="Times New Roman" w:eastAsia="Times New Roman"/>
                <w:b w:val="0"/>
                <w:i w:val="0"/>
                <w:sz w:val="14"/>
              </w:rPr>
              <w:t>NA</w:t>
            </w:r>
          </w:p>
        </w:tc>
        <w:tc>
          <w:tcPr>
            <w:tcW w:type="dxa" w:w="1606"/>
          </w:tcPr>
          <w:p>
            <w:pPr>
              <w:spacing w:after="0"/>
              <w:ind w:firstLine="0"/>
            </w:pPr>
            <w:r>
              <w:rPr>
                <w:rFonts w:ascii="Times New Roman" w:hAnsi="Times New Roman" w:eastAsia="Times New Roman"/>
                <w:b w:val="0"/>
                <w:i w:val="0"/>
                <w:sz w:val="14"/>
              </w:rPr>
              <w:t>Total RNA-to-totalVI gap</w:t>
            </w:r>
          </w:p>
        </w:tc>
      </w:tr>
      <w:tr>
        <w:tc>
          <w:tcPr>
            <w:tcW w:type="dxa" w:w="1606"/>
          </w:tcPr>
          <w:p>
            <w:pPr>
              <w:spacing w:after="0"/>
              <w:ind w:firstLine="0"/>
            </w:pPr>
            <w:r>
              <w:rPr>
                <w:rFonts w:ascii="Times New Roman" w:hAnsi="Times New Roman" w:eastAsia="Times New Roman"/>
                <w:b w:val="0"/>
                <w:i w:val="0"/>
                <w:sz w:val="14"/>
              </w:rPr>
              <w:t>R_access</w:t>
            </w:r>
          </w:p>
        </w:tc>
        <w:tc>
          <w:tcPr>
            <w:tcW w:type="dxa" w:w="1606"/>
          </w:tcPr>
          <w:p>
            <w:pPr>
              <w:spacing w:after="0"/>
              <w:ind w:firstLine="0"/>
            </w:pPr>
            <w:r>
              <w:rPr>
                <w:rFonts w:ascii="Times New Roman" w:hAnsi="Times New Roman" w:eastAsia="Times New Roman"/>
                <w:b w:val="0"/>
                <w:i w:val="0"/>
                <w:sz w:val="14"/>
              </w:rPr>
              <w:t>G_access / Gap_total</w:t>
            </w:r>
          </w:p>
        </w:tc>
        <w:tc>
          <w:tcPr>
            <w:tcW w:type="dxa" w:w="1606"/>
          </w:tcPr>
          <w:p>
            <w:pPr>
              <w:spacing w:after="0"/>
              <w:ind w:firstLine="0"/>
            </w:pPr>
            <w:r>
              <w:rPr>
                <w:rFonts w:ascii="Times New Roman" w:hAnsi="Times New Roman" w:eastAsia="Times New Roman"/>
                <w:b w:val="0"/>
                <w:i w:val="0"/>
                <w:sz w:val="14"/>
              </w:rPr>
              <w:t>~0.70</w:t>
            </w:r>
          </w:p>
        </w:tc>
        <w:tc>
          <w:tcPr>
            <w:tcW w:type="dxa" w:w="1606"/>
          </w:tcPr>
          <w:p>
            <w:pPr>
              <w:spacing w:after="0"/>
              <w:ind w:firstLine="0"/>
            </w:pPr>
            <w:r>
              <w:rPr>
                <w:rFonts w:ascii="Times New Roman" w:hAnsi="Times New Roman" w:eastAsia="Times New Roman"/>
                <w:b w:val="0"/>
                <w:i w:val="0"/>
                <w:sz w:val="14"/>
              </w:rPr>
              <w:t>[0.405, 1.114]</w:t>
            </w:r>
          </w:p>
        </w:tc>
        <w:tc>
          <w:tcPr>
            <w:tcW w:type="dxa" w:w="1606"/>
          </w:tcPr>
          <w:p>
            <w:pPr>
              <w:spacing w:after="0"/>
              <w:ind w:firstLine="0"/>
            </w:pPr>
            <w:r>
              <w:rPr>
                <w:rFonts w:ascii="Times New Roman" w:hAnsi="Times New Roman" w:eastAsia="Times New Roman"/>
                <w:b w:val="0"/>
                <w:i w:val="0"/>
                <w:sz w:val="14"/>
              </w:rPr>
              <w:t>NA</w:t>
            </w:r>
          </w:p>
        </w:tc>
        <w:tc>
          <w:tcPr>
            <w:tcW w:type="dxa" w:w="1606"/>
          </w:tcPr>
          <w:p>
            <w:pPr>
              <w:spacing w:after="0"/>
              <w:ind w:firstLine="0"/>
            </w:pPr>
            <w:r>
              <w:rPr>
                <w:rFonts w:ascii="Times New Roman" w:hAnsi="Times New Roman" w:eastAsia="Times New Roman"/>
                <w:b w:val="0"/>
                <w:i w:val="0"/>
                <w:sz w:val="14"/>
              </w:rPr>
              <w:t>Descriptive recovery ratio</w:t>
            </w:r>
          </w:p>
        </w:tc>
      </w:tr>
    </w:tbl>
    <w:p/>
    <w:p>
      <w:pPr>
        <w:spacing w:before="0" w:after="120" w:line="240" w:lineRule="auto"/>
        <w:ind w:firstLine="0"/>
        <w:jc w:val="both"/>
      </w:pPr>
      <w:r>
        <w:rPr>
          <w:rFonts w:ascii="Times New Roman" w:hAnsi="Times New Roman" w:eastAsia="Times New Roman"/>
          <w:b w:val="0"/>
          <w:i w:val="0"/>
          <w:sz w:val="18"/>
        </w:rPr>
        <w:t>Footnote: Intervals are cell-level conditional paired-bootstrap 95% intervals with n=10000 resamples over evaluated cells. They are not biological confidence intervals. The R_access denominator was stable, with minimum gap 0.056 and never ≤0.</w:t>
      </w:r>
    </w:p>
    <w:p>
      <w:pPr>
        <w:spacing w:before="0" w:after="160" w:line="240" w:lineRule="auto"/>
        <w:ind w:firstLine="0"/>
        <w:jc w:val="left"/>
      </w:pPr>
      <w:r>
        <w:rPr>
          <w:rFonts w:ascii="Times New Roman" w:hAnsi="Times New Roman" w:eastAsia="Times New Roman"/>
          <w:b/>
          <w:i w:val="0"/>
          <w:color w:val="1B3A5F"/>
          <w:sz w:val="22"/>
        </w:rPr>
        <w:t>Table 3. Transfer contrasts</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after="0"/>
              <w:ind w:firstLine="0"/>
            </w:pPr>
            <w:r>
              <w:rPr>
                <w:rFonts w:ascii="Times New Roman" w:hAnsi="Times New Roman" w:eastAsia="Times New Roman"/>
                <w:b/>
                <w:i w:val="0"/>
                <w:color w:val="1B3A5F"/>
                <w:sz w:val="14"/>
              </w:rPr>
              <w:t>Direction</w:t>
            </w:r>
          </w:p>
        </w:tc>
        <w:tc>
          <w:tcPr>
            <w:tcW w:type="dxa" w:w="1377"/>
          </w:tcPr>
          <w:p>
            <w:pPr>
              <w:spacing w:after="0"/>
              <w:ind w:firstLine="0"/>
            </w:pPr>
            <w:r>
              <w:rPr>
                <w:rFonts w:ascii="Times New Roman" w:hAnsi="Times New Roman" w:eastAsia="Times New Roman"/>
                <w:b/>
                <w:i w:val="0"/>
                <w:color w:val="1B3A5F"/>
                <w:sz w:val="14"/>
              </w:rPr>
              <w:t>Inductive concat</w:t>
            </w:r>
          </w:p>
        </w:tc>
        <w:tc>
          <w:tcPr>
            <w:tcW w:type="dxa" w:w="1377"/>
          </w:tcPr>
          <w:p>
            <w:pPr>
              <w:spacing w:after="0"/>
              <w:ind w:firstLine="0"/>
            </w:pPr>
            <w:r>
              <w:rPr>
                <w:rFonts w:ascii="Times New Roman" w:hAnsi="Times New Roman" w:eastAsia="Times New Roman"/>
                <w:b/>
                <w:i w:val="0"/>
                <w:color w:val="1B3A5F"/>
                <w:sz w:val="14"/>
              </w:rPr>
              <w:t>Feature-access transductive concat</w:t>
            </w:r>
          </w:p>
        </w:tc>
        <w:tc>
          <w:tcPr>
            <w:tcW w:type="dxa" w:w="1377"/>
          </w:tcPr>
          <w:p>
            <w:pPr>
              <w:spacing w:after="0"/>
              <w:ind w:firstLine="0"/>
            </w:pPr>
            <w:r>
              <w:rPr>
                <w:rFonts w:ascii="Times New Roman" w:hAnsi="Times New Roman" w:eastAsia="Times New Roman"/>
                <w:b/>
                <w:i w:val="0"/>
                <w:color w:val="1B3A5F"/>
                <w:sz w:val="14"/>
              </w:rPr>
              <w:t>scVI</w:t>
            </w:r>
          </w:p>
        </w:tc>
        <w:tc>
          <w:tcPr>
            <w:tcW w:type="dxa" w:w="1377"/>
          </w:tcPr>
          <w:p>
            <w:pPr>
              <w:spacing w:after="0"/>
              <w:ind w:firstLine="0"/>
            </w:pPr>
            <w:r>
              <w:rPr>
                <w:rFonts w:ascii="Times New Roman" w:hAnsi="Times New Roman" w:eastAsia="Times New Roman"/>
                <w:b/>
                <w:i w:val="0"/>
                <w:color w:val="1B3A5F"/>
                <w:sz w:val="14"/>
              </w:rPr>
              <w:t>totalVI</w:t>
            </w:r>
          </w:p>
        </w:tc>
        <w:tc>
          <w:tcPr>
            <w:tcW w:type="dxa" w:w="1377"/>
          </w:tcPr>
          <w:p>
            <w:pPr>
              <w:spacing w:after="0"/>
              <w:ind w:firstLine="0"/>
            </w:pPr>
            <w:r>
              <w:rPr>
                <w:rFonts w:ascii="Times New Roman" w:hAnsi="Times New Roman" w:eastAsia="Times New Roman"/>
                <w:b/>
                <w:i w:val="0"/>
                <w:color w:val="1B3A5F"/>
                <w:sz w:val="14"/>
              </w:rPr>
              <w:t>totalVI - scVI</w:t>
            </w:r>
          </w:p>
        </w:tc>
        <w:tc>
          <w:tcPr>
            <w:tcW w:type="dxa" w:w="1377"/>
          </w:tcPr>
          <w:p>
            <w:pPr>
              <w:spacing w:after="0"/>
              <w:ind w:firstLine="0"/>
            </w:pPr>
            <w:r>
              <w:rPr>
                <w:rFonts w:ascii="Times New Roman" w:hAnsi="Times New Roman" w:eastAsia="Times New Roman"/>
                <w:b/>
                <w:i w:val="0"/>
                <w:color w:val="1B3A5F"/>
                <w:sz w:val="14"/>
              </w:rPr>
              <w:t>totalVI - transductive concat</w:t>
            </w:r>
          </w:p>
        </w:tc>
      </w:tr>
      <w:tr>
        <w:tc>
          <w:tcPr>
            <w:tcW w:type="dxa" w:w="1377"/>
          </w:tcPr>
          <w:p>
            <w:pPr>
              <w:spacing w:after="0"/>
              <w:ind w:firstLine="0"/>
            </w:pPr>
            <w:r>
              <w:rPr>
                <w:rFonts w:ascii="Times New Roman" w:hAnsi="Times New Roman" w:eastAsia="Times New Roman"/>
                <w:b w:val="0"/>
                <w:i w:val="0"/>
                <w:sz w:val="14"/>
              </w:rPr>
              <w:t>A</w:t>
            </w:r>
          </w:p>
        </w:tc>
        <w:tc>
          <w:tcPr>
            <w:tcW w:type="dxa" w:w="1377"/>
          </w:tcPr>
          <w:p>
            <w:pPr>
              <w:spacing w:after="0"/>
              <w:ind w:firstLine="0"/>
            </w:pPr>
            <w:r>
              <w:rPr>
                <w:rFonts w:ascii="Times New Roman" w:hAnsi="Times New Roman" w:eastAsia="Times New Roman"/>
                <w:b w:val="0"/>
                <w:i w:val="0"/>
                <w:sz w:val="14"/>
              </w:rPr>
              <w:t>0.735</w:t>
            </w:r>
          </w:p>
        </w:tc>
        <w:tc>
          <w:tcPr>
            <w:tcW w:type="dxa" w:w="1377"/>
          </w:tcPr>
          <w:p>
            <w:pPr>
              <w:spacing w:after="0"/>
              <w:ind w:firstLine="0"/>
            </w:pPr>
            <w:r>
              <w:rPr>
                <w:rFonts w:ascii="Times New Roman" w:hAnsi="Times New Roman" w:eastAsia="Times New Roman"/>
                <w:b w:val="0"/>
                <w:i w:val="0"/>
                <w:sz w:val="14"/>
              </w:rPr>
              <w:t>0.636</w:t>
            </w:r>
          </w:p>
        </w:tc>
        <w:tc>
          <w:tcPr>
            <w:tcW w:type="dxa" w:w="1377"/>
          </w:tcPr>
          <w:p>
            <w:pPr>
              <w:spacing w:after="0"/>
              <w:ind w:firstLine="0"/>
            </w:pPr>
            <w:r>
              <w:rPr>
                <w:rFonts w:ascii="Times New Roman" w:hAnsi="Times New Roman" w:eastAsia="Times New Roman"/>
                <w:b w:val="0"/>
                <w:i w:val="0"/>
                <w:sz w:val="14"/>
              </w:rPr>
              <w:t>0.656</w:t>
            </w:r>
          </w:p>
        </w:tc>
        <w:tc>
          <w:tcPr>
            <w:tcW w:type="dxa" w:w="1377"/>
          </w:tcPr>
          <w:p>
            <w:pPr>
              <w:spacing w:after="0"/>
              <w:ind w:firstLine="0"/>
            </w:pPr>
            <w:r>
              <w:rPr>
                <w:rFonts w:ascii="Times New Roman" w:hAnsi="Times New Roman" w:eastAsia="Times New Roman"/>
                <w:b w:val="0"/>
                <w:i w:val="0"/>
                <w:sz w:val="14"/>
              </w:rPr>
              <w:t>0.652</w:t>
            </w:r>
          </w:p>
        </w:tc>
        <w:tc>
          <w:tcPr>
            <w:tcW w:type="dxa" w:w="1377"/>
          </w:tcPr>
          <w:p>
            <w:pPr>
              <w:spacing w:after="0"/>
              <w:ind w:firstLine="0"/>
            </w:pPr>
            <w:r>
              <w:rPr>
                <w:rFonts w:ascii="Times New Roman" w:hAnsi="Times New Roman" w:eastAsia="Times New Roman"/>
                <w:b w:val="0"/>
                <w:i w:val="0"/>
                <w:sz w:val="14"/>
              </w:rPr>
              <w:t>-0.004</w:t>
            </w:r>
          </w:p>
        </w:tc>
        <w:tc>
          <w:tcPr>
            <w:tcW w:type="dxa" w:w="1377"/>
          </w:tcPr>
          <w:p>
            <w:pPr>
              <w:spacing w:after="0"/>
              <w:ind w:firstLine="0"/>
            </w:pPr>
            <w:r>
              <w:rPr>
                <w:rFonts w:ascii="Times New Roman" w:hAnsi="Times New Roman" w:eastAsia="Times New Roman"/>
                <w:b w:val="0"/>
                <w:i w:val="0"/>
                <w:sz w:val="14"/>
              </w:rPr>
              <w:t>+0.016</w:t>
            </w:r>
          </w:p>
        </w:tc>
      </w:tr>
      <w:tr>
        <w:tc>
          <w:tcPr>
            <w:tcW w:type="dxa" w:w="1377"/>
          </w:tcPr>
          <w:p>
            <w:pPr>
              <w:spacing w:after="0"/>
              <w:ind w:firstLine="0"/>
            </w:pPr>
            <w:r>
              <w:rPr>
                <w:rFonts w:ascii="Times New Roman" w:hAnsi="Times New Roman" w:eastAsia="Times New Roman"/>
                <w:b w:val="0"/>
                <w:i w:val="0"/>
                <w:sz w:val="14"/>
              </w:rPr>
              <w:t>B</w:t>
            </w:r>
          </w:p>
        </w:tc>
        <w:tc>
          <w:tcPr>
            <w:tcW w:type="dxa" w:w="1377"/>
          </w:tcPr>
          <w:p>
            <w:pPr>
              <w:spacing w:after="0"/>
              <w:ind w:firstLine="0"/>
            </w:pPr>
            <w:r>
              <w:rPr>
                <w:rFonts w:ascii="Times New Roman" w:hAnsi="Times New Roman" w:eastAsia="Times New Roman"/>
                <w:b w:val="0"/>
                <w:i w:val="0"/>
                <w:sz w:val="14"/>
              </w:rPr>
              <w:t>0.734</w:t>
            </w:r>
          </w:p>
        </w:tc>
        <w:tc>
          <w:tcPr>
            <w:tcW w:type="dxa" w:w="1377"/>
          </w:tcPr>
          <w:p>
            <w:pPr>
              <w:spacing w:after="0"/>
              <w:ind w:firstLine="0"/>
            </w:pPr>
            <w:r>
              <w:rPr>
                <w:rFonts w:ascii="Times New Roman" w:hAnsi="Times New Roman" w:eastAsia="Times New Roman"/>
                <w:b w:val="0"/>
                <w:i w:val="0"/>
                <w:sz w:val="14"/>
              </w:rPr>
              <w:t>0.767</w:t>
            </w:r>
          </w:p>
        </w:tc>
        <w:tc>
          <w:tcPr>
            <w:tcW w:type="dxa" w:w="1377"/>
          </w:tcPr>
          <w:p>
            <w:pPr>
              <w:spacing w:after="0"/>
              <w:ind w:firstLine="0"/>
            </w:pPr>
            <w:r>
              <w:rPr>
                <w:rFonts w:ascii="Times New Roman" w:hAnsi="Times New Roman" w:eastAsia="Times New Roman"/>
                <w:b w:val="0"/>
                <w:i w:val="0"/>
                <w:sz w:val="14"/>
              </w:rPr>
              <w:t>0.601</w:t>
            </w:r>
          </w:p>
        </w:tc>
        <w:tc>
          <w:tcPr>
            <w:tcW w:type="dxa" w:w="1377"/>
          </w:tcPr>
          <w:p>
            <w:pPr>
              <w:spacing w:after="0"/>
              <w:ind w:firstLine="0"/>
            </w:pPr>
            <w:r>
              <w:rPr>
                <w:rFonts w:ascii="Times New Roman" w:hAnsi="Times New Roman" w:eastAsia="Times New Roman"/>
                <w:b w:val="0"/>
                <w:i w:val="0"/>
                <w:sz w:val="14"/>
              </w:rPr>
              <w:t>0.654</w:t>
            </w:r>
          </w:p>
        </w:tc>
        <w:tc>
          <w:tcPr>
            <w:tcW w:type="dxa" w:w="1377"/>
          </w:tcPr>
          <w:p>
            <w:pPr>
              <w:spacing w:after="0"/>
              <w:ind w:firstLine="0"/>
            </w:pPr>
            <w:r>
              <w:rPr>
                <w:rFonts w:ascii="Times New Roman" w:hAnsi="Times New Roman" w:eastAsia="Times New Roman"/>
                <w:b w:val="0"/>
                <w:i w:val="0"/>
                <w:sz w:val="14"/>
              </w:rPr>
              <w:t>+0.052</w:t>
            </w:r>
          </w:p>
        </w:tc>
        <w:tc>
          <w:tcPr>
            <w:tcW w:type="dxa" w:w="1377"/>
          </w:tcPr>
          <w:p>
            <w:pPr>
              <w:spacing w:after="0"/>
              <w:ind w:firstLine="0"/>
            </w:pPr>
            <w:r>
              <w:rPr>
                <w:rFonts w:ascii="Times New Roman" w:hAnsi="Times New Roman" w:eastAsia="Times New Roman"/>
                <w:b w:val="0"/>
                <w:i w:val="0"/>
                <w:sz w:val="14"/>
              </w:rPr>
              <w:t>-0.113</w:t>
            </w:r>
          </w:p>
        </w:tc>
      </w:tr>
    </w:tbl>
    <w:p/>
    <w:p>
      <w:pPr>
        <w:spacing w:before="0" w:after="160" w:line="240" w:lineRule="auto"/>
        <w:ind w:firstLine="0"/>
        <w:jc w:val="left"/>
      </w:pPr>
      <w:r>
        <w:rPr>
          <w:rFonts w:ascii="Times New Roman" w:hAnsi="Times New Roman" w:eastAsia="Times New Roman"/>
          <w:b/>
          <w:i w:val="0"/>
          <w:color w:val="1B3A5F"/>
          <w:sz w:val="22"/>
        </w:rPr>
        <w:t>Table 4. Protein degradation training-time results</w:t>
      </w:r>
    </w:p>
    <w:tbl>
      <w:tblPr>
        <w:tblStyle w:val="TableGrid"/>
        <w:tblW w:type="auto" w:w="0"/>
        <w:tblLook w:firstColumn="1" w:firstRow="1" w:lastColumn="0" w:lastRow="0" w:noHBand="0" w:noVBand="1" w:val="04A0"/>
      </w:tblPr>
      <w:tblGrid>
        <w:gridCol w:w="4819"/>
        <w:gridCol w:w="4819"/>
      </w:tblGrid>
      <w:tr>
        <w:tc>
          <w:tcPr>
            <w:tcW w:type="dxa" w:w="4819"/>
          </w:tcPr>
          <w:p>
            <w:pPr>
              <w:spacing w:after="0"/>
              <w:ind w:firstLine="0"/>
            </w:pPr>
            <w:r>
              <w:rPr>
                <w:rFonts w:ascii="Times New Roman" w:hAnsi="Times New Roman" w:eastAsia="Times New Roman"/>
                <w:b/>
                <w:i w:val="0"/>
                <w:color w:val="1B3A5F"/>
                <w:sz w:val="14"/>
              </w:rPr>
              <w:t>Protein corruption fraction</w:t>
            </w:r>
          </w:p>
        </w:tc>
        <w:tc>
          <w:tcPr>
            <w:tcW w:type="dxa" w:w="4819"/>
          </w:tcPr>
          <w:p>
            <w:pPr>
              <w:spacing w:after="0"/>
              <w:ind w:firstLine="0"/>
            </w:pPr>
            <w:r>
              <w:rPr>
                <w:rFonts w:ascii="Times New Roman" w:hAnsi="Times New Roman" w:eastAsia="Times New Roman"/>
                <w:b/>
                <w:i w:val="0"/>
                <w:color w:val="1B3A5F"/>
                <w:sz w:val="14"/>
              </w:rPr>
              <w:t>totalVI macro-F1</w:t>
            </w:r>
          </w:p>
        </w:tc>
      </w:tr>
      <w:tr>
        <w:tc>
          <w:tcPr>
            <w:tcW w:type="dxa" w:w="4819"/>
          </w:tcPr>
          <w:p>
            <w:pPr>
              <w:spacing w:after="0"/>
              <w:ind w:firstLine="0"/>
            </w:pPr>
            <w:r>
              <w:rPr>
                <w:rFonts w:ascii="Times New Roman" w:hAnsi="Times New Roman" w:eastAsia="Times New Roman"/>
                <w:b w:val="0"/>
                <w:i w:val="0"/>
                <w:sz w:val="14"/>
              </w:rPr>
              <w:t>0.00</w:t>
            </w:r>
          </w:p>
        </w:tc>
        <w:tc>
          <w:tcPr>
            <w:tcW w:type="dxa" w:w="4819"/>
          </w:tcPr>
          <w:p>
            <w:pPr>
              <w:spacing w:after="0"/>
              <w:ind w:firstLine="0"/>
            </w:pPr>
            <w:r>
              <w:rPr>
                <w:rFonts w:ascii="Times New Roman" w:hAnsi="Times New Roman" w:eastAsia="Times New Roman"/>
                <w:b w:val="0"/>
                <w:i w:val="0"/>
                <w:sz w:val="14"/>
              </w:rPr>
              <w:t>0.779 (n=1)</w:t>
            </w:r>
          </w:p>
        </w:tc>
      </w:tr>
      <w:tr>
        <w:tc>
          <w:tcPr>
            <w:tcW w:type="dxa" w:w="4819"/>
          </w:tcPr>
          <w:p>
            <w:pPr>
              <w:spacing w:after="0"/>
              <w:ind w:firstLine="0"/>
            </w:pPr>
            <w:r>
              <w:rPr>
                <w:rFonts w:ascii="Times New Roman" w:hAnsi="Times New Roman" w:eastAsia="Times New Roman"/>
                <w:b w:val="0"/>
                <w:i w:val="0"/>
                <w:sz w:val="14"/>
              </w:rPr>
              <w:t>0.10</w:t>
            </w:r>
          </w:p>
        </w:tc>
        <w:tc>
          <w:tcPr>
            <w:tcW w:type="dxa" w:w="4819"/>
          </w:tcPr>
          <w:p>
            <w:pPr>
              <w:spacing w:after="0"/>
              <w:ind w:firstLine="0"/>
            </w:pPr>
            <w:r>
              <w:rPr>
                <w:rFonts w:ascii="Times New Roman" w:hAnsi="Times New Roman" w:eastAsia="Times New Roman"/>
                <w:b w:val="0"/>
                <w:i w:val="0"/>
                <w:sz w:val="14"/>
              </w:rPr>
              <w:t>0.771±0.010</w:t>
            </w:r>
          </w:p>
        </w:tc>
      </w:tr>
      <w:tr>
        <w:tc>
          <w:tcPr>
            <w:tcW w:type="dxa" w:w="4819"/>
          </w:tcPr>
          <w:p>
            <w:pPr>
              <w:spacing w:after="0"/>
              <w:ind w:firstLine="0"/>
            </w:pPr>
            <w:r>
              <w:rPr>
                <w:rFonts w:ascii="Times New Roman" w:hAnsi="Times New Roman" w:eastAsia="Times New Roman"/>
                <w:b w:val="0"/>
                <w:i w:val="0"/>
                <w:sz w:val="14"/>
              </w:rPr>
              <w:t>0.25</w:t>
            </w:r>
          </w:p>
        </w:tc>
        <w:tc>
          <w:tcPr>
            <w:tcW w:type="dxa" w:w="4819"/>
          </w:tcPr>
          <w:p>
            <w:pPr>
              <w:spacing w:after="0"/>
              <w:ind w:firstLine="0"/>
            </w:pPr>
            <w:r>
              <w:rPr>
                <w:rFonts w:ascii="Times New Roman" w:hAnsi="Times New Roman" w:eastAsia="Times New Roman"/>
                <w:b w:val="0"/>
                <w:i w:val="0"/>
                <w:sz w:val="14"/>
              </w:rPr>
              <w:t>0.758±0.012</w:t>
            </w:r>
          </w:p>
        </w:tc>
      </w:tr>
      <w:tr>
        <w:tc>
          <w:tcPr>
            <w:tcW w:type="dxa" w:w="4819"/>
          </w:tcPr>
          <w:p>
            <w:pPr>
              <w:spacing w:after="0"/>
              <w:ind w:firstLine="0"/>
            </w:pPr>
            <w:r>
              <w:rPr>
                <w:rFonts w:ascii="Times New Roman" w:hAnsi="Times New Roman" w:eastAsia="Times New Roman"/>
                <w:b w:val="0"/>
                <w:i w:val="0"/>
                <w:sz w:val="14"/>
              </w:rPr>
              <w:t>0.40</w:t>
            </w:r>
          </w:p>
        </w:tc>
        <w:tc>
          <w:tcPr>
            <w:tcW w:type="dxa" w:w="4819"/>
          </w:tcPr>
          <w:p>
            <w:pPr>
              <w:spacing w:after="0"/>
              <w:ind w:firstLine="0"/>
            </w:pPr>
            <w:r>
              <w:rPr>
                <w:rFonts w:ascii="Times New Roman" w:hAnsi="Times New Roman" w:eastAsia="Times New Roman"/>
                <w:b w:val="0"/>
                <w:i w:val="0"/>
                <w:sz w:val="14"/>
              </w:rPr>
              <w:t>0.760±0.012</w:t>
            </w:r>
          </w:p>
        </w:tc>
      </w:tr>
      <w:tr>
        <w:tc>
          <w:tcPr>
            <w:tcW w:type="dxa" w:w="4819"/>
          </w:tcPr>
          <w:p>
            <w:pPr>
              <w:spacing w:after="0"/>
              <w:ind w:firstLine="0"/>
            </w:pPr>
            <w:r>
              <w:rPr>
                <w:rFonts w:ascii="Times New Roman" w:hAnsi="Times New Roman" w:eastAsia="Times New Roman"/>
                <w:b w:val="0"/>
                <w:i w:val="0"/>
                <w:sz w:val="14"/>
              </w:rPr>
              <w:t>0.55</w:t>
            </w:r>
          </w:p>
        </w:tc>
        <w:tc>
          <w:tcPr>
            <w:tcW w:type="dxa" w:w="4819"/>
          </w:tcPr>
          <w:p>
            <w:pPr>
              <w:spacing w:after="0"/>
              <w:ind w:firstLine="0"/>
            </w:pPr>
            <w:r>
              <w:rPr>
                <w:rFonts w:ascii="Times New Roman" w:hAnsi="Times New Roman" w:eastAsia="Times New Roman"/>
                <w:b w:val="0"/>
                <w:i w:val="0"/>
                <w:sz w:val="14"/>
              </w:rPr>
              <w:t>0.750±0.016</w:t>
            </w:r>
          </w:p>
        </w:tc>
      </w:tr>
      <w:tr>
        <w:tc>
          <w:tcPr>
            <w:tcW w:type="dxa" w:w="4819"/>
          </w:tcPr>
          <w:p>
            <w:pPr>
              <w:spacing w:after="0"/>
              <w:ind w:firstLine="0"/>
            </w:pPr>
            <w:r>
              <w:rPr>
                <w:rFonts w:ascii="Times New Roman" w:hAnsi="Times New Roman" w:eastAsia="Times New Roman"/>
                <w:b w:val="0"/>
                <w:i w:val="0"/>
                <w:sz w:val="14"/>
              </w:rPr>
              <w:t>0.70</w:t>
            </w:r>
          </w:p>
        </w:tc>
        <w:tc>
          <w:tcPr>
            <w:tcW w:type="dxa" w:w="4819"/>
          </w:tcPr>
          <w:p>
            <w:pPr>
              <w:spacing w:after="0"/>
              <w:ind w:firstLine="0"/>
            </w:pPr>
            <w:r>
              <w:rPr>
                <w:rFonts w:ascii="Times New Roman" w:hAnsi="Times New Roman" w:eastAsia="Times New Roman"/>
                <w:b w:val="0"/>
                <w:i w:val="0"/>
                <w:sz w:val="14"/>
              </w:rPr>
              <w:t>0.736±0.020</w:t>
            </w:r>
          </w:p>
        </w:tc>
      </w:tr>
      <w:tr>
        <w:tc>
          <w:tcPr>
            <w:tcW w:type="dxa" w:w="4819"/>
          </w:tcPr>
          <w:p>
            <w:pPr>
              <w:spacing w:after="0"/>
              <w:ind w:firstLine="0"/>
            </w:pPr>
            <w:r>
              <w:rPr>
                <w:rFonts w:ascii="Times New Roman" w:hAnsi="Times New Roman" w:eastAsia="Times New Roman"/>
                <w:b w:val="0"/>
                <w:i w:val="0"/>
                <w:sz w:val="14"/>
              </w:rPr>
              <w:t>0.85</w:t>
            </w:r>
          </w:p>
        </w:tc>
        <w:tc>
          <w:tcPr>
            <w:tcW w:type="dxa" w:w="4819"/>
          </w:tcPr>
          <w:p>
            <w:pPr>
              <w:spacing w:after="0"/>
              <w:ind w:firstLine="0"/>
            </w:pPr>
            <w:r>
              <w:rPr>
                <w:rFonts w:ascii="Times New Roman" w:hAnsi="Times New Roman" w:eastAsia="Times New Roman"/>
                <w:b w:val="0"/>
                <w:i w:val="0"/>
                <w:sz w:val="14"/>
              </w:rPr>
              <w:t>0.755±0.011</w:t>
            </w:r>
          </w:p>
        </w:tc>
      </w:tr>
    </w:tbl>
    <w:p/>
    <w:p>
      <w:pPr>
        <w:spacing w:before="0" w:after="160" w:line="240" w:lineRule="auto"/>
        <w:ind w:firstLine="0"/>
        <w:jc w:val="left"/>
      </w:pPr>
      <w:r>
        <w:rPr>
          <w:rFonts w:ascii="Times New Roman" w:hAnsi="Times New Roman" w:eastAsia="Times New Roman"/>
          <w:b/>
          <w:i w:val="0"/>
          <w:color w:val="1B3A5F"/>
          <w:sz w:val="22"/>
        </w:rPr>
        <w:t>Table 5. Uncertainty, stochasticity, and selective prediction</w:t>
      </w:r>
    </w:p>
    <w:tbl>
      <w:tblPr>
        <w:tblStyle w:val="TableGrid"/>
        <w:tblW w:type="auto" w:w="0"/>
        <w:tblLook w:firstColumn="1" w:firstRow="1" w:lastColumn="0" w:lastRow="0" w:noHBand="0" w:noVBand="1" w:val="04A0"/>
      </w:tblPr>
      <w:tblGrid>
        <w:gridCol w:w="4819"/>
        <w:gridCol w:w="4819"/>
      </w:tblGrid>
      <w:tr>
        <w:tc>
          <w:tcPr>
            <w:tcW w:type="dxa" w:w="4819"/>
          </w:tcPr>
          <w:p>
            <w:pPr>
              <w:spacing w:after="0"/>
              <w:ind w:firstLine="0"/>
            </w:pPr>
            <w:r>
              <w:rPr>
                <w:rFonts w:ascii="Times New Roman" w:hAnsi="Times New Roman" w:eastAsia="Times New Roman"/>
                <w:b/>
                <w:i w:val="0"/>
                <w:color w:val="1B3A5F"/>
                <w:sz w:val="14"/>
              </w:rPr>
              <w:t>Diagnostic</w:t>
            </w:r>
          </w:p>
        </w:tc>
        <w:tc>
          <w:tcPr>
            <w:tcW w:type="dxa" w:w="4819"/>
          </w:tcPr>
          <w:p>
            <w:pPr>
              <w:spacing w:after="0"/>
              <w:ind w:firstLine="0"/>
            </w:pPr>
            <w:r>
              <w:rPr>
                <w:rFonts w:ascii="Times New Roman" w:hAnsi="Times New Roman" w:eastAsia="Times New Roman"/>
                <w:b/>
                <w:i w:val="0"/>
                <w:color w:val="1B3A5F"/>
                <w:sz w:val="14"/>
              </w:rPr>
              <w:t>Value</w:t>
            </w:r>
          </w:p>
        </w:tc>
      </w:tr>
      <w:tr>
        <w:tc>
          <w:tcPr>
            <w:tcW w:type="dxa" w:w="4819"/>
          </w:tcPr>
          <w:p>
            <w:pPr>
              <w:spacing w:after="0"/>
              <w:ind w:firstLine="0"/>
            </w:pPr>
            <w:r>
              <w:rPr>
                <w:rFonts w:ascii="Times New Roman" w:hAnsi="Times New Roman" w:eastAsia="Times New Roman"/>
                <w:b w:val="0"/>
                <w:i w:val="0"/>
                <w:sz w:val="14"/>
              </w:rPr>
              <w:t>Predictive error AUROC in PBMC transfer</w:t>
            </w:r>
          </w:p>
        </w:tc>
        <w:tc>
          <w:tcPr>
            <w:tcW w:type="dxa" w:w="4819"/>
          </w:tcPr>
          <w:p>
            <w:pPr>
              <w:spacing w:after="0"/>
              <w:ind w:firstLine="0"/>
            </w:pPr>
            <w:r>
              <w:rPr>
                <w:rFonts w:ascii="Times New Roman" w:hAnsi="Times New Roman" w:eastAsia="Times New Roman"/>
                <w:b w:val="0"/>
                <w:i w:val="0"/>
                <w:sz w:val="14"/>
              </w:rPr>
              <w:t>~0.84-0.86</w:t>
            </w:r>
          </w:p>
        </w:tc>
      </w:tr>
      <w:tr>
        <w:tc>
          <w:tcPr>
            <w:tcW w:type="dxa" w:w="4819"/>
          </w:tcPr>
          <w:p>
            <w:pPr>
              <w:spacing w:after="0"/>
              <w:ind w:firstLine="0"/>
            </w:pPr>
            <w:r>
              <w:rPr>
                <w:rFonts w:ascii="Times New Roman" w:hAnsi="Times New Roman" w:eastAsia="Times New Roman"/>
                <w:b w:val="0"/>
                <w:i w:val="0"/>
                <w:sz w:val="14"/>
              </w:rPr>
              <w:t>Direction B predictive AUROC under corruption</w:t>
            </w:r>
          </w:p>
        </w:tc>
        <w:tc>
          <w:tcPr>
            <w:tcW w:type="dxa" w:w="4819"/>
          </w:tcPr>
          <w:p>
            <w:pPr>
              <w:spacing w:after="0"/>
              <w:ind w:firstLine="0"/>
            </w:pPr>
            <w:r>
              <w:rPr>
                <w:rFonts w:ascii="Times New Roman" w:hAnsi="Times New Roman" w:eastAsia="Times New Roman"/>
                <w:b w:val="0"/>
                <w:i w:val="0"/>
                <w:sz w:val="14"/>
              </w:rPr>
              <w:t>0.856 to 0.841</w:t>
            </w:r>
          </w:p>
        </w:tc>
      </w:tr>
      <w:tr>
        <w:tc>
          <w:tcPr>
            <w:tcW w:type="dxa" w:w="4819"/>
          </w:tcPr>
          <w:p>
            <w:pPr>
              <w:spacing w:after="0"/>
              <w:ind w:firstLine="0"/>
            </w:pPr>
            <w:r>
              <w:rPr>
                <w:rFonts w:ascii="Times New Roman" w:hAnsi="Times New Roman" w:eastAsia="Times New Roman"/>
                <w:b w:val="0"/>
                <w:i w:val="0"/>
                <w:sz w:val="14"/>
              </w:rPr>
              <w:t>Direction A latent AUROC, scVI / totalVI</w:t>
            </w:r>
          </w:p>
        </w:tc>
        <w:tc>
          <w:tcPr>
            <w:tcW w:type="dxa" w:w="4819"/>
          </w:tcPr>
          <w:p>
            <w:pPr>
              <w:spacing w:after="0"/>
              <w:ind w:firstLine="0"/>
            </w:pPr>
            <w:r>
              <w:rPr>
                <w:rFonts w:ascii="Times New Roman" w:hAnsi="Times New Roman" w:eastAsia="Times New Roman"/>
                <w:b w:val="0"/>
                <w:i w:val="0"/>
                <w:sz w:val="14"/>
              </w:rPr>
              <w:t>0.544±0.054 / 0.669±0.021</w:t>
            </w:r>
          </w:p>
        </w:tc>
      </w:tr>
      <w:tr>
        <w:tc>
          <w:tcPr>
            <w:tcW w:type="dxa" w:w="4819"/>
          </w:tcPr>
          <w:p>
            <w:pPr>
              <w:spacing w:after="0"/>
              <w:ind w:firstLine="0"/>
            </w:pPr>
            <w:r>
              <w:rPr>
                <w:rFonts w:ascii="Times New Roman" w:hAnsi="Times New Roman" w:eastAsia="Times New Roman"/>
                <w:b w:val="0"/>
                <w:i w:val="0"/>
                <w:sz w:val="14"/>
              </w:rPr>
              <w:t>Direction B latent AUROC, scVI / totalVI</w:t>
            </w:r>
          </w:p>
        </w:tc>
        <w:tc>
          <w:tcPr>
            <w:tcW w:type="dxa" w:w="4819"/>
          </w:tcPr>
          <w:p>
            <w:pPr>
              <w:spacing w:after="0"/>
              <w:ind w:firstLine="0"/>
            </w:pPr>
            <w:r>
              <w:rPr>
                <w:rFonts w:ascii="Times New Roman" w:hAnsi="Times New Roman" w:eastAsia="Times New Roman"/>
                <w:b w:val="0"/>
                <w:i w:val="0"/>
                <w:sz w:val="14"/>
              </w:rPr>
              <w:t>0.469±0.075 / 0.610±0.038</w:t>
            </w:r>
          </w:p>
        </w:tc>
      </w:tr>
      <w:tr>
        <w:tc>
          <w:tcPr>
            <w:tcW w:type="dxa" w:w="4819"/>
          </w:tcPr>
          <w:p>
            <w:pPr>
              <w:spacing w:after="0"/>
              <w:ind w:firstLine="0"/>
            </w:pPr>
            <w:r>
              <w:rPr>
                <w:rFonts w:ascii="Times New Roman" w:hAnsi="Times New Roman" w:eastAsia="Times New Roman"/>
                <w:b w:val="0"/>
                <w:i w:val="0"/>
                <w:sz w:val="14"/>
              </w:rPr>
              <w:t>Direction B full AURC under corruption</w:t>
            </w:r>
          </w:p>
        </w:tc>
        <w:tc>
          <w:tcPr>
            <w:tcW w:type="dxa" w:w="4819"/>
          </w:tcPr>
          <w:p>
            <w:pPr>
              <w:spacing w:after="0"/>
              <w:ind w:firstLine="0"/>
            </w:pPr>
            <w:r>
              <w:rPr>
                <w:rFonts w:ascii="Times New Roman" w:hAnsi="Times New Roman" w:eastAsia="Times New Roman"/>
                <w:b w:val="0"/>
                <w:i w:val="0"/>
                <w:sz w:val="14"/>
              </w:rPr>
              <w:t>0.060 to 0.079</w:t>
            </w:r>
          </w:p>
        </w:tc>
      </w:tr>
      <w:tr>
        <w:tc>
          <w:tcPr>
            <w:tcW w:type="dxa" w:w="4819"/>
          </w:tcPr>
          <w:p>
            <w:pPr>
              <w:spacing w:after="0"/>
              <w:ind w:firstLine="0"/>
            </w:pPr>
            <w:r>
              <w:rPr>
                <w:rFonts w:ascii="Times New Roman" w:hAnsi="Times New Roman" w:eastAsia="Times New Roman"/>
                <w:b w:val="0"/>
                <w:i w:val="0"/>
                <w:sz w:val="14"/>
              </w:rPr>
              <w:t>Direction B pAURC_[0.5,1.0] under corruption</w:t>
            </w:r>
          </w:p>
        </w:tc>
        <w:tc>
          <w:tcPr>
            <w:tcW w:type="dxa" w:w="4819"/>
          </w:tcPr>
          <w:p>
            <w:pPr>
              <w:spacing w:after="0"/>
              <w:ind w:firstLine="0"/>
            </w:pPr>
            <w:r>
              <w:rPr>
                <w:rFonts w:ascii="Times New Roman" w:hAnsi="Times New Roman" w:eastAsia="Times New Roman"/>
                <w:b w:val="0"/>
                <w:i w:val="0"/>
                <w:sz w:val="14"/>
              </w:rPr>
              <w:t>0.112 to 0.144</w:t>
            </w:r>
          </w:p>
        </w:tc>
      </w:tr>
      <w:tr>
        <w:tc>
          <w:tcPr>
            <w:tcW w:type="dxa" w:w="4819"/>
          </w:tcPr>
          <w:p>
            <w:pPr>
              <w:spacing w:after="0"/>
              <w:ind w:firstLine="0"/>
            </w:pPr>
            <w:r>
              <w:rPr>
                <w:rFonts w:ascii="Times New Roman" w:hAnsi="Times New Roman" w:eastAsia="Times New Roman"/>
                <w:b w:val="0"/>
                <w:i w:val="0"/>
                <w:sz w:val="14"/>
              </w:rPr>
              <w:t>Direction B E-AURC under corruption</w:t>
            </w:r>
          </w:p>
        </w:tc>
        <w:tc>
          <w:tcPr>
            <w:tcW w:type="dxa" w:w="4819"/>
          </w:tcPr>
          <w:p>
            <w:pPr>
              <w:spacing w:after="0"/>
              <w:ind w:firstLine="0"/>
            </w:pPr>
            <w:r>
              <w:rPr>
                <w:rFonts w:ascii="Times New Roman" w:hAnsi="Times New Roman" w:eastAsia="Times New Roman"/>
                <w:b w:val="0"/>
                <w:i w:val="0"/>
                <w:sz w:val="14"/>
              </w:rPr>
              <w:t>0.0350 to 0.0448</w:t>
            </w:r>
          </w:p>
        </w:tc>
      </w:tr>
      <w:tr>
        <w:tc>
          <w:tcPr>
            <w:tcW w:type="dxa" w:w="4819"/>
          </w:tcPr>
          <w:p>
            <w:pPr>
              <w:spacing w:after="0"/>
              <w:ind w:firstLine="0"/>
            </w:pPr>
            <w:r>
              <w:rPr>
                <w:rFonts w:ascii="Times New Roman" w:hAnsi="Times New Roman" w:eastAsia="Times New Roman"/>
                <w:b w:val="0"/>
                <w:i w:val="0"/>
                <w:sz w:val="14"/>
              </w:rPr>
              <w:t>PBMC 50% retention CV</w:t>
            </w:r>
          </w:p>
        </w:tc>
        <w:tc>
          <w:tcPr>
            <w:tcW w:type="dxa" w:w="4819"/>
          </w:tcPr>
          <w:p>
            <w:pPr>
              <w:spacing w:after="0"/>
              <w:ind w:firstLine="0"/>
            </w:pPr>
            <w:r>
              <w:rPr>
                <w:rFonts w:ascii="Times New Roman" w:hAnsi="Times New Roman" w:eastAsia="Times New Roman"/>
                <w:b w:val="0"/>
                <w:i w:val="0"/>
                <w:sz w:val="14"/>
              </w:rPr>
              <w:t>~0.88-1.02</w:t>
            </w:r>
          </w:p>
        </w:tc>
      </w:tr>
      <w:tr>
        <w:tc>
          <w:tcPr>
            <w:tcW w:type="dxa" w:w="4819"/>
          </w:tcPr>
          <w:p>
            <w:pPr>
              <w:spacing w:after="0"/>
              <w:ind w:firstLine="0"/>
            </w:pPr>
            <w:r>
              <w:rPr>
                <w:rFonts w:ascii="Times New Roman" w:hAnsi="Times New Roman" w:eastAsia="Times New Roman"/>
                <w:b w:val="0"/>
                <w:i w:val="0"/>
                <w:sz w:val="14"/>
              </w:rPr>
              <w:t>Lawlor 50% retention CV</w:t>
            </w:r>
          </w:p>
        </w:tc>
        <w:tc>
          <w:tcPr>
            <w:tcW w:type="dxa" w:w="4819"/>
          </w:tcPr>
          <w:p>
            <w:pPr>
              <w:spacing w:after="0"/>
              <w:ind w:firstLine="0"/>
            </w:pPr>
            <w:r>
              <w:rPr>
                <w:rFonts w:ascii="Times New Roman" w:hAnsi="Times New Roman" w:eastAsia="Times New Roman"/>
                <w:b w:val="0"/>
                <w:i w:val="0"/>
                <w:sz w:val="14"/>
              </w:rPr>
              <w:t>~0.57-0.59</w:t>
            </w:r>
          </w:p>
        </w:tc>
      </w:tr>
      <w:tr>
        <w:tc>
          <w:tcPr>
            <w:tcW w:type="dxa" w:w="4819"/>
          </w:tcPr>
          <w:p>
            <w:pPr>
              <w:spacing w:after="0"/>
              <w:ind w:firstLine="0"/>
            </w:pPr>
            <w:r>
              <w:rPr>
                <w:rFonts w:ascii="Times New Roman" w:hAnsi="Times New Roman" w:eastAsia="Times New Roman"/>
                <w:b w:val="0"/>
                <w:i w:val="0"/>
                <w:sz w:val="14"/>
              </w:rPr>
              <w:t>scVI variance fractions</w:t>
            </w:r>
          </w:p>
        </w:tc>
        <w:tc>
          <w:tcPr>
            <w:tcW w:type="dxa" w:w="4819"/>
          </w:tcPr>
          <w:p>
            <w:pPr>
              <w:spacing w:after="0"/>
              <w:ind w:firstLine="0"/>
            </w:pPr>
            <w:r>
              <w:rPr>
                <w:rFonts w:ascii="Times New Roman" w:hAnsi="Times New Roman" w:eastAsia="Times New Roman"/>
                <w:b w:val="0"/>
                <w:i w:val="0"/>
                <w:sz w:val="14"/>
              </w:rPr>
              <w:t>source 2.31%; seed 0.00%; interaction 35.45%; residual 62.23%</w:t>
            </w:r>
          </w:p>
        </w:tc>
      </w:tr>
      <w:tr>
        <w:tc>
          <w:tcPr>
            <w:tcW w:type="dxa" w:w="4819"/>
          </w:tcPr>
          <w:p>
            <w:pPr>
              <w:spacing w:after="0"/>
              <w:ind w:firstLine="0"/>
            </w:pPr>
            <w:r>
              <w:rPr>
                <w:rFonts w:ascii="Times New Roman" w:hAnsi="Times New Roman" w:eastAsia="Times New Roman"/>
                <w:b w:val="0"/>
                <w:i w:val="0"/>
                <w:sz w:val="14"/>
              </w:rPr>
              <w:t>totalVI variance fractions</w:t>
            </w:r>
          </w:p>
        </w:tc>
        <w:tc>
          <w:tcPr>
            <w:tcW w:type="dxa" w:w="4819"/>
          </w:tcPr>
          <w:p>
            <w:pPr>
              <w:spacing w:after="0"/>
              <w:ind w:firstLine="0"/>
            </w:pPr>
            <w:r>
              <w:rPr>
                <w:rFonts w:ascii="Times New Roman" w:hAnsi="Times New Roman" w:eastAsia="Times New Roman"/>
                <w:b w:val="0"/>
                <w:i w:val="0"/>
                <w:sz w:val="14"/>
              </w:rPr>
              <w:t>source 0.00%; seed 5.62%; interaction 3.24%; residual 91.13%</w:t>
            </w:r>
          </w:p>
        </w:tc>
      </w:tr>
      <w:tr>
        <w:tc>
          <w:tcPr>
            <w:tcW w:type="dxa" w:w="4819"/>
          </w:tcPr>
          <w:p>
            <w:pPr>
              <w:spacing w:after="0"/>
              <w:ind w:firstLine="0"/>
            </w:pPr>
            <w:r>
              <w:rPr>
                <w:rFonts w:ascii="Times New Roman" w:hAnsi="Times New Roman" w:eastAsia="Times New Roman"/>
                <w:b w:val="0"/>
                <w:i w:val="0"/>
                <w:sz w:val="14"/>
              </w:rPr>
              <w:t>totalVI-scVI variance fractions</w:t>
            </w:r>
          </w:p>
        </w:tc>
        <w:tc>
          <w:tcPr>
            <w:tcW w:type="dxa" w:w="4819"/>
          </w:tcPr>
          <w:p>
            <w:pPr>
              <w:spacing w:after="0"/>
              <w:ind w:firstLine="0"/>
            </w:pPr>
            <w:r>
              <w:rPr>
                <w:rFonts w:ascii="Times New Roman" w:hAnsi="Times New Roman" w:eastAsia="Times New Roman"/>
                <w:b w:val="0"/>
                <w:i w:val="0"/>
                <w:sz w:val="14"/>
              </w:rPr>
              <w:t>source 5.09%; seed 12.04%; interaction 14.11%; residual 68.75%</w:t>
            </w:r>
          </w:p>
        </w:tc>
      </w:tr>
    </w:tbl>
    <w:p/>
    <w:p>
      <w:pPr>
        <w:spacing w:before="0" w:after="160" w:line="240" w:lineRule="auto"/>
        <w:ind w:firstLine="0"/>
        <w:jc w:val="left"/>
      </w:pPr>
      <w:r>
        <w:rPr>
          <w:rFonts w:ascii="Times New Roman" w:hAnsi="Times New Roman" w:eastAsia="Times New Roman"/>
          <w:b/>
          <w:i w:val="0"/>
          <w:color w:val="1B3A5F"/>
          <w:sz w:val="22"/>
        </w:rPr>
        <w:t>Table 6. Lawlor donor-level validation</w:t>
      </w:r>
    </w:p>
    <w:tbl>
      <w:tblPr>
        <w:tblStyle w:val="TableGrid"/>
        <w:tblW w:type="auto" w:w="0"/>
        <w:tblLook w:firstColumn="1" w:firstRow="1" w:lastColumn="0" w:lastRow="0" w:noHBand="0" w:noVBand="1" w:val="04A0"/>
      </w:tblPr>
      <w:tblGrid>
        <w:gridCol w:w="4819"/>
        <w:gridCol w:w="4819"/>
      </w:tblGrid>
      <w:tr>
        <w:tc>
          <w:tcPr>
            <w:tcW w:type="dxa" w:w="4819"/>
          </w:tcPr>
          <w:p>
            <w:pPr>
              <w:spacing w:after="0"/>
              <w:ind w:firstLine="0"/>
            </w:pPr>
            <w:r>
              <w:rPr>
                <w:rFonts w:ascii="Times New Roman" w:hAnsi="Times New Roman" w:eastAsia="Times New Roman"/>
                <w:b/>
                <w:i w:val="0"/>
                <w:color w:val="1B3A5F"/>
                <w:sz w:val="14"/>
              </w:rPr>
              <w:t>Metric</w:t>
            </w:r>
          </w:p>
        </w:tc>
        <w:tc>
          <w:tcPr>
            <w:tcW w:type="dxa" w:w="4819"/>
          </w:tcPr>
          <w:p>
            <w:pPr>
              <w:spacing w:after="0"/>
              <w:ind w:firstLine="0"/>
            </w:pPr>
            <w:r>
              <w:rPr>
                <w:rFonts w:ascii="Times New Roman" w:hAnsi="Times New Roman" w:eastAsia="Times New Roman"/>
                <w:b/>
                <w:i w:val="0"/>
                <w:color w:val="1B3A5F"/>
                <w:sz w:val="14"/>
              </w:rPr>
              <w:t>Value</w:t>
            </w:r>
          </w:p>
        </w:tc>
      </w:tr>
      <w:tr>
        <w:tc>
          <w:tcPr>
            <w:tcW w:type="dxa" w:w="4819"/>
          </w:tcPr>
          <w:p>
            <w:pPr>
              <w:spacing w:after="0"/>
              <w:ind w:firstLine="0"/>
            </w:pPr>
            <w:r>
              <w:rPr>
                <w:rFonts w:ascii="Times New Roman" w:hAnsi="Times New Roman" w:eastAsia="Times New Roman"/>
                <w:b w:val="0"/>
                <w:i w:val="0"/>
                <w:sz w:val="14"/>
              </w:rPr>
              <w:t>Biological donors</w:t>
            </w:r>
          </w:p>
        </w:tc>
        <w:tc>
          <w:tcPr>
            <w:tcW w:type="dxa" w:w="4819"/>
          </w:tcPr>
          <w:p>
            <w:pPr>
              <w:spacing w:after="0"/>
              <w:ind w:firstLine="0"/>
            </w:pPr>
            <w:r>
              <w:rPr>
                <w:rFonts w:ascii="Times New Roman" w:hAnsi="Times New Roman" w:eastAsia="Times New Roman"/>
                <w:b w:val="0"/>
                <w:i w:val="0"/>
                <w:sz w:val="14"/>
              </w:rPr>
              <w:t>10</w:t>
            </w:r>
          </w:p>
        </w:tc>
      </w:tr>
      <w:tr>
        <w:tc>
          <w:tcPr>
            <w:tcW w:type="dxa" w:w="4819"/>
          </w:tcPr>
          <w:p>
            <w:pPr>
              <w:spacing w:after="0"/>
              <w:ind w:firstLine="0"/>
            </w:pPr>
            <w:r>
              <w:rPr>
                <w:rFonts w:ascii="Times New Roman" w:hAnsi="Times New Roman" w:eastAsia="Times New Roman"/>
                <w:b w:val="0"/>
                <w:i w:val="0"/>
                <w:sz w:val="14"/>
              </w:rPr>
              <w:t>totalVI - scVI donor-level difference</w:t>
            </w:r>
          </w:p>
        </w:tc>
        <w:tc>
          <w:tcPr>
            <w:tcW w:type="dxa" w:w="4819"/>
          </w:tcPr>
          <w:p>
            <w:pPr>
              <w:spacing w:after="0"/>
              <w:ind w:firstLine="0"/>
            </w:pPr>
            <w:r>
              <w:rPr>
                <w:rFonts w:ascii="Times New Roman" w:hAnsi="Times New Roman" w:eastAsia="Times New Roman"/>
                <w:b w:val="0"/>
                <w:i w:val="0"/>
                <w:sz w:val="14"/>
              </w:rPr>
              <w:t>~+0.090</w:t>
            </w:r>
          </w:p>
        </w:tc>
      </w:tr>
      <w:tr>
        <w:tc>
          <w:tcPr>
            <w:tcW w:type="dxa" w:w="4819"/>
          </w:tcPr>
          <w:p>
            <w:pPr>
              <w:spacing w:after="0"/>
              <w:ind w:firstLine="0"/>
            </w:pPr>
            <w:r>
              <w:rPr>
                <w:rFonts w:ascii="Times New Roman" w:hAnsi="Times New Roman" w:eastAsia="Times New Roman"/>
                <w:b w:val="0"/>
                <w:i w:val="0"/>
                <w:sz w:val="14"/>
              </w:rPr>
              <w:t>Donors favoring totalVI over scVI_matched</w:t>
            </w:r>
          </w:p>
        </w:tc>
        <w:tc>
          <w:tcPr>
            <w:tcW w:type="dxa" w:w="4819"/>
          </w:tcPr>
          <w:p>
            <w:pPr>
              <w:spacing w:after="0"/>
              <w:ind w:firstLine="0"/>
            </w:pPr>
            <w:r>
              <w:rPr>
                <w:rFonts w:ascii="Times New Roman" w:hAnsi="Times New Roman" w:eastAsia="Times New Roman"/>
                <w:b w:val="0"/>
                <w:i w:val="0"/>
                <w:sz w:val="14"/>
              </w:rPr>
              <w:t>10/10</w:t>
            </w:r>
          </w:p>
        </w:tc>
      </w:tr>
      <w:tr>
        <w:tc>
          <w:tcPr>
            <w:tcW w:type="dxa" w:w="4819"/>
          </w:tcPr>
          <w:p>
            <w:pPr>
              <w:spacing w:after="0"/>
              <w:ind w:firstLine="0"/>
            </w:pPr>
            <w:r>
              <w:rPr>
                <w:rFonts w:ascii="Times New Roman" w:hAnsi="Times New Roman" w:eastAsia="Times New Roman"/>
                <w:b w:val="0"/>
                <w:i w:val="0"/>
                <w:sz w:val="14"/>
              </w:rPr>
              <w:t>Exact two-sided donor-level sign test</w:t>
            </w:r>
          </w:p>
        </w:tc>
        <w:tc>
          <w:tcPr>
            <w:tcW w:type="dxa" w:w="4819"/>
          </w:tcPr>
          <w:p>
            <w:pPr>
              <w:spacing w:after="0"/>
              <w:ind w:firstLine="0"/>
            </w:pPr>
            <w:r>
              <w:rPr>
                <w:rFonts w:ascii="Times New Roman" w:hAnsi="Times New Roman" w:eastAsia="Times New Roman"/>
                <w:b w:val="0"/>
                <w:i w:val="0"/>
                <w:sz w:val="14"/>
              </w:rPr>
              <w:t>*P*=0.00195</w:t>
            </w:r>
          </w:p>
        </w:tc>
      </w:tr>
      <w:tr>
        <w:tc>
          <w:tcPr>
            <w:tcW w:type="dxa" w:w="4819"/>
          </w:tcPr>
          <w:p>
            <w:pPr>
              <w:spacing w:after="0"/>
              <w:ind w:firstLine="0"/>
            </w:pPr>
            <w:r>
              <w:rPr>
                <w:rFonts w:ascii="Times New Roman" w:hAnsi="Times New Roman" w:eastAsia="Times New Roman"/>
                <w:b w:val="0"/>
                <w:i w:val="0"/>
                <w:sz w:val="14"/>
              </w:rPr>
              <w:t>scVI_matched donor-mean present-class macro-F1</w:t>
            </w:r>
          </w:p>
        </w:tc>
        <w:tc>
          <w:tcPr>
            <w:tcW w:type="dxa" w:w="4819"/>
          </w:tcPr>
          <w:p>
            <w:pPr>
              <w:spacing w:after="0"/>
              <w:ind w:firstLine="0"/>
            </w:pPr>
            <w:r>
              <w:rPr>
                <w:rFonts w:ascii="Times New Roman" w:hAnsi="Times New Roman" w:eastAsia="Times New Roman"/>
                <w:b w:val="0"/>
                <w:i w:val="0"/>
                <w:sz w:val="14"/>
              </w:rPr>
              <w:t>0.794</w:t>
            </w:r>
          </w:p>
        </w:tc>
      </w:tr>
      <w:tr>
        <w:tc>
          <w:tcPr>
            <w:tcW w:type="dxa" w:w="4819"/>
          </w:tcPr>
          <w:p>
            <w:pPr>
              <w:spacing w:after="0"/>
              <w:ind w:firstLine="0"/>
            </w:pPr>
            <w:r>
              <w:rPr>
                <w:rFonts w:ascii="Times New Roman" w:hAnsi="Times New Roman" w:eastAsia="Times New Roman"/>
                <w:b w:val="0"/>
                <w:i w:val="0"/>
                <w:sz w:val="14"/>
              </w:rPr>
              <w:t>totalVI donor-mean present-class macro-F1</w:t>
            </w:r>
          </w:p>
        </w:tc>
        <w:tc>
          <w:tcPr>
            <w:tcW w:type="dxa" w:w="4819"/>
          </w:tcPr>
          <w:p>
            <w:pPr>
              <w:spacing w:after="0"/>
              <w:ind w:firstLine="0"/>
            </w:pPr>
            <w:r>
              <w:rPr>
                <w:rFonts w:ascii="Times New Roman" w:hAnsi="Times New Roman" w:eastAsia="Times New Roman"/>
                <w:b w:val="0"/>
                <w:i w:val="0"/>
                <w:sz w:val="14"/>
              </w:rPr>
              <w:t>0.884</w:t>
            </w:r>
          </w:p>
        </w:tc>
      </w:tr>
      <w:tr>
        <w:tc>
          <w:tcPr>
            <w:tcW w:type="dxa" w:w="4819"/>
          </w:tcPr>
          <w:p>
            <w:pPr>
              <w:spacing w:after="0"/>
              <w:ind w:firstLine="0"/>
            </w:pPr>
            <w:r>
              <w:rPr>
                <w:rFonts w:ascii="Times New Roman" w:hAnsi="Times New Roman" w:eastAsia="Times New Roman"/>
                <w:b w:val="0"/>
                <w:i w:val="0"/>
                <w:sz w:val="14"/>
              </w:rPr>
              <w:t>Protein PCA macro-F1</w:t>
            </w:r>
          </w:p>
        </w:tc>
        <w:tc>
          <w:tcPr>
            <w:tcW w:type="dxa" w:w="4819"/>
          </w:tcPr>
          <w:p>
            <w:pPr>
              <w:spacing w:after="0"/>
              <w:ind w:firstLine="0"/>
            </w:pPr>
            <w:r>
              <w:rPr>
                <w:rFonts w:ascii="Times New Roman" w:hAnsi="Times New Roman" w:eastAsia="Times New Roman"/>
                <w:b w:val="0"/>
                <w:i w:val="0"/>
                <w:sz w:val="14"/>
              </w:rPr>
              <w:t>~0.927</w:t>
            </w:r>
          </w:p>
        </w:tc>
      </w:tr>
      <w:tr>
        <w:tc>
          <w:tcPr>
            <w:tcW w:type="dxa" w:w="4819"/>
          </w:tcPr>
          <w:p>
            <w:pPr>
              <w:spacing w:after="0"/>
              <w:ind w:firstLine="0"/>
            </w:pPr>
            <w:r>
              <w:rPr>
                <w:rFonts w:ascii="Times New Roman" w:hAnsi="Times New Roman" w:eastAsia="Times New Roman"/>
                <w:b w:val="0"/>
                <w:i w:val="0"/>
                <w:sz w:val="14"/>
              </w:rPr>
              <w:t>Concat PCA macro-F1</w:t>
            </w:r>
          </w:p>
        </w:tc>
        <w:tc>
          <w:tcPr>
            <w:tcW w:type="dxa" w:w="4819"/>
          </w:tcPr>
          <w:p>
            <w:pPr>
              <w:spacing w:after="0"/>
              <w:ind w:firstLine="0"/>
            </w:pPr>
            <w:r>
              <w:rPr>
                <w:rFonts w:ascii="Times New Roman" w:hAnsi="Times New Roman" w:eastAsia="Times New Roman"/>
                <w:b w:val="0"/>
                <w:i w:val="0"/>
                <w:sz w:val="14"/>
              </w:rPr>
              <w:t>~0.945</w:t>
            </w:r>
          </w:p>
        </w:tc>
      </w:tr>
      <w:tr>
        <w:tc>
          <w:tcPr>
            <w:tcW w:type="dxa" w:w="4819"/>
          </w:tcPr>
          <w:p>
            <w:pPr>
              <w:spacing w:after="0"/>
              <w:ind w:firstLine="0"/>
            </w:pPr>
            <w:r>
              <w:rPr>
                <w:rFonts w:ascii="Times New Roman" w:hAnsi="Times New Roman" w:eastAsia="Times New Roman"/>
                <w:b w:val="0"/>
                <w:i w:val="0"/>
                <w:sz w:val="14"/>
              </w:rPr>
              <w:t>Latent consistency favoring totalVI</w:t>
            </w:r>
          </w:p>
        </w:tc>
        <w:tc>
          <w:tcPr>
            <w:tcW w:type="dxa" w:w="4819"/>
          </w:tcPr>
          <w:p>
            <w:pPr>
              <w:spacing w:after="0"/>
              <w:ind w:firstLine="0"/>
            </w:pPr>
            <w:r>
              <w:rPr>
                <w:rFonts w:ascii="Times New Roman" w:hAnsi="Times New Roman" w:eastAsia="Times New Roman"/>
                <w:b w:val="0"/>
                <w:i w:val="0"/>
                <w:sz w:val="14"/>
              </w:rPr>
              <w:t>38/50 computational comparisons</w:t>
            </w:r>
          </w:p>
        </w:tc>
      </w:tr>
    </w:tbl>
    <w:p/>
    <w:p>
      <w:pPr>
        <w:spacing w:before="0" w:after="160" w:line="240" w:lineRule="auto"/>
        <w:ind w:firstLine="0"/>
        <w:jc w:val="left"/>
      </w:pPr>
      <w:r>
        <w:rPr>
          <w:rFonts w:ascii="Times New Roman" w:hAnsi="Times New Roman" w:eastAsia="Times New Roman"/>
          <w:b/>
          <w:i w:val="0"/>
          <w:color w:val="1B3A5F"/>
          <w:sz w:val="24"/>
        </w:rPr>
        <w:t>References</w:t>
      </w:r>
    </w:p>
    <w:p>
      <w:pPr>
        <w:spacing w:before="0" w:after="80" w:line="240" w:lineRule="auto"/>
        <w:ind w:left="312" w:hanging="312"/>
        <w:jc w:val="both"/>
      </w:pPr>
      <w:r>
        <w:rPr>
          <w:rFonts w:ascii="Times New Roman" w:hAnsi="Times New Roman" w:eastAsia="Times New Roman"/>
          <w:b w:val="0"/>
          <w:i w:val="0"/>
          <w:sz w:val="18"/>
        </w:rPr>
        <w:t>1. Stoeckius M, Hafemeister C, Stephenson W, Houck-Loomis B, Chattopadhyay PK, Swerdlow H, et al. Simultaneous epitope and transcriptome measurement in single cells. Nat Methods. 2017;14:865-868. doi:10.1038/nmeth.4380.</w:t>
      </w:r>
    </w:p>
    <w:p>
      <w:pPr>
        <w:spacing w:before="0" w:after="80" w:line="240" w:lineRule="auto"/>
        <w:ind w:left="312" w:hanging="312"/>
        <w:jc w:val="both"/>
      </w:pPr>
      <w:r>
        <w:rPr>
          <w:rFonts w:ascii="Times New Roman" w:hAnsi="Times New Roman" w:eastAsia="Times New Roman"/>
          <w:b w:val="0"/>
          <w:i w:val="0"/>
          <w:sz w:val="18"/>
        </w:rPr>
        <w:t>2. Lopez R, Regier J, Cole MB, Jordan MI, Yosef N. Deep generative modeling for single-cell transcriptomics. Nat Methods. 2018;15:1053-1058. doi:10.1038/s41592-018-0229-2.</w:t>
      </w:r>
    </w:p>
    <w:p>
      <w:pPr>
        <w:spacing w:before="0" w:after="80" w:line="240" w:lineRule="auto"/>
        <w:ind w:left="312" w:hanging="312"/>
        <w:jc w:val="both"/>
      </w:pPr>
      <w:r>
        <w:rPr>
          <w:rFonts w:ascii="Times New Roman" w:hAnsi="Times New Roman" w:eastAsia="Times New Roman"/>
          <w:b w:val="0"/>
          <w:i w:val="0"/>
          <w:sz w:val="18"/>
        </w:rPr>
        <w:t>3. Gayoso A, Steier Z, Lopez R, Regier J, Nazor KL, Streets A, et al. Joint probabilistic modeling of single-cell multi-omic data with totalVI. Nat Methods. 2021;18:272-282. doi:10.1038/s41592-020-01050-x.</w:t>
      </w:r>
    </w:p>
    <w:p>
      <w:pPr>
        <w:spacing w:before="0" w:after="80" w:line="240" w:lineRule="auto"/>
        <w:ind w:left="312" w:hanging="312"/>
        <w:jc w:val="both"/>
      </w:pPr>
      <w:r>
        <w:rPr>
          <w:rFonts w:ascii="Times New Roman" w:hAnsi="Times New Roman" w:eastAsia="Times New Roman"/>
          <w:b w:val="0"/>
          <w:i w:val="0"/>
          <w:sz w:val="18"/>
        </w:rPr>
        <w:t>4. Argelaguet R, Arnol D, Bredikhin D, Deloro Y, Velten B, Marioni JC, et al. MOFA+: a statistical framework for comprehensive integration of multi-modal single-cell data. Genome Biol. 2020;21:111. doi:10.1186/s13059-020-02015-1.</w:t>
      </w:r>
    </w:p>
    <w:p>
      <w:pPr>
        <w:spacing w:before="0" w:after="80" w:line="240" w:lineRule="auto"/>
        <w:ind w:left="312" w:hanging="312"/>
        <w:jc w:val="both"/>
      </w:pPr>
      <w:r>
        <w:rPr>
          <w:rFonts w:ascii="Times New Roman" w:hAnsi="Times New Roman" w:eastAsia="Times New Roman"/>
          <w:b w:val="0"/>
          <w:i w:val="0"/>
          <w:sz w:val="18"/>
        </w:rPr>
        <w:t>5. Ashuach T, Gabitto MI, Koodli RV, Saldi GA, Jordan MI, Yosef N. MultiVI: deep generative model for the integration of multimodal data. Nat Methods. 2023;20:1222-1231. doi:10.1038/s41592-023-01909-9.</w:t>
      </w:r>
    </w:p>
    <w:p>
      <w:pPr>
        <w:spacing w:before="0" w:after="80" w:line="240" w:lineRule="auto"/>
        <w:ind w:left="312" w:hanging="312"/>
        <w:jc w:val="both"/>
      </w:pPr>
      <w:r>
        <w:rPr>
          <w:rFonts w:ascii="Times New Roman" w:hAnsi="Times New Roman" w:eastAsia="Times New Roman"/>
          <w:b w:val="0"/>
          <w:i w:val="0"/>
          <w:sz w:val="18"/>
        </w:rPr>
        <w:t>6. Gong B, Zhou Y, Purdom E. Cobolt: integrative analysis of multimodal single-cell sequencing data. Genome Biol. 2021;22:351. doi:10.1186/s13059-021-02556-z.</w:t>
      </w:r>
    </w:p>
    <w:p>
      <w:pPr>
        <w:spacing w:before="0" w:after="80" w:line="240" w:lineRule="auto"/>
        <w:ind w:left="312" w:hanging="312"/>
        <w:jc w:val="both"/>
      </w:pPr>
      <w:r>
        <w:rPr>
          <w:rFonts w:ascii="Times New Roman" w:hAnsi="Times New Roman" w:eastAsia="Times New Roman"/>
          <w:b w:val="0"/>
          <w:i w:val="0"/>
          <w:sz w:val="18"/>
        </w:rPr>
        <w:t>7. Jeong Y, Ronen J, Kopp W, Lutsik P, Akalin A. scMaui: a widely applicable deep learning framework for single-cell multiomics integration in the presence of batch effects and missing data. BMC Bioinformatics. 2024;25:257. doi:10.1186/s12859-024-05880-w.</w:t>
      </w:r>
    </w:p>
    <w:p>
      <w:pPr>
        <w:spacing w:before="0" w:after="80" w:line="240" w:lineRule="auto"/>
        <w:ind w:left="312" w:hanging="312"/>
        <w:jc w:val="both"/>
      </w:pPr>
      <w:r>
        <w:rPr>
          <w:rFonts w:ascii="Times New Roman" w:hAnsi="Times New Roman" w:eastAsia="Times New Roman"/>
          <w:b w:val="0"/>
          <w:i w:val="0"/>
          <w:sz w:val="18"/>
        </w:rPr>
        <w:t>8. Wu M, Goodman N. Multimodal generative models for scalable weakly-supervised learning. Adv Neural Inf Process Syst. 2018;31:5580-5590.</w:t>
      </w:r>
    </w:p>
    <w:p>
      <w:pPr>
        <w:spacing w:before="0" w:after="80" w:line="240" w:lineRule="auto"/>
        <w:ind w:left="312" w:hanging="312"/>
        <w:jc w:val="both"/>
      </w:pPr>
      <w:r>
        <w:rPr>
          <w:rFonts w:ascii="Times New Roman" w:hAnsi="Times New Roman" w:eastAsia="Times New Roman"/>
          <w:b w:val="0"/>
          <w:i w:val="0"/>
          <w:sz w:val="18"/>
        </w:rPr>
        <w:t>9. Luecken MD, Buttner M, Chaichoompu K, Danese A, Interlandi M, Mueller MF, Strobl DC, Zappia L, Dugas M, Colome-Tatche M, Theis FJ. Benchmarking atlas-level data integration in single-cell genomics. Nat Methods. 2022;19:41-50. doi:10.1038/s41592-021-01336-8.</w:t>
      </w:r>
    </w:p>
    <w:p>
      <w:pPr>
        <w:spacing w:before="0" w:after="80" w:line="240" w:lineRule="auto"/>
        <w:ind w:left="312" w:hanging="312"/>
        <w:jc w:val="both"/>
      </w:pPr>
      <w:r>
        <w:rPr>
          <w:rFonts w:ascii="Times New Roman" w:hAnsi="Times New Roman" w:eastAsia="Times New Roman"/>
          <w:b w:val="0"/>
          <w:i w:val="0"/>
          <w:sz w:val="18"/>
        </w:rPr>
        <w:t>10. Lotfollahi M, Naghipourfar M, Luecken MD, Khajavi M, Buttner M, Wagenstetter M, Avsec Z, Gayoso A, Yosef N, Interlandi M, et al. Mapping single-cell data to reference atlases by transfer learning. Nat Biotechnol. 2022;40:121-130. doi:10.1038/s41587-021-01001-7.</w:t>
      </w:r>
    </w:p>
    <w:p>
      <w:pPr>
        <w:spacing w:before="0" w:after="80" w:line="240" w:lineRule="auto"/>
        <w:ind w:left="312" w:hanging="312"/>
        <w:jc w:val="both"/>
      </w:pPr>
      <w:r>
        <w:rPr>
          <w:rFonts w:ascii="Times New Roman" w:hAnsi="Times New Roman" w:eastAsia="Times New Roman"/>
          <w:b w:val="0"/>
          <w:i w:val="0"/>
          <w:sz w:val="18"/>
        </w:rPr>
        <w:t>11. Guo C, Pleiss G, Sun Y, Weinberger KQ. On calibration of modern neural networks. Proc Mach Learn Res. 2017;70:1321-1330.</w:t>
      </w:r>
    </w:p>
    <w:p>
      <w:pPr>
        <w:spacing w:before="0" w:after="80" w:line="240" w:lineRule="auto"/>
        <w:ind w:left="312" w:hanging="312"/>
        <w:jc w:val="both"/>
      </w:pPr>
      <w:r>
        <w:rPr>
          <w:rFonts w:ascii="Times New Roman" w:hAnsi="Times New Roman" w:eastAsia="Times New Roman"/>
          <w:b w:val="0"/>
          <w:i w:val="0"/>
          <w:sz w:val="18"/>
        </w:rPr>
        <w:t>12. Geifman Y, El-Yaniv R. Selective classification for deep neural networks. Adv Neural Inf Process Syst. 2017;30:4878-4887.</w:t>
      </w:r>
    </w:p>
    <w:p>
      <w:pPr>
        <w:spacing w:before="0" w:after="80" w:line="240" w:lineRule="auto"/>
        <w:ind w:left="312" w:hanging="312"/>
        <w:jc w:val="both"/>
      </w:pPr>
      <w:r>
        <w:rPr>
          <w:rFonts w:ascii="Times New Roman" w:hAnsi="Times New Roman" w:eastAsia="Times New Roman"/>
          <w:b w:val="0"/>
          <w:i w:val="0"/>
          <w:sz w:val="18"/>
        </w:rPr>
        <w:t>13. Lawlor N, Nehar-Belaid D, Grassmann JDS, Stoeckius M, Smibert P, Stitzel ML, Pascual V, Banchereau J, Williams A, Ucar D. Single Cell Analysis of Blood Mononuclear Cells Stimulated Through Either LPS or Anti-CD3 and Anti-CD28. Front Immunol. 2021;12:636720. doi:10.3389/fimmu.2021.636720.</w:t>
      </w:r>
    </w:p>
    <w:p>
      <w:pPr>
        <w:spacing w:before="0" w:after="80" w:line="240" w:lineRule="auto"/>
        <w:ind w:left="312" w:hanging="312"/>
        <w:jc w:val="both"/>
      </w:pPr>
      <w:r>
        <w:rPr>
          <w:rFonts w:ascii="Times New Roman" w:hAnsi="Times New Roman" w:eastAsia="Times New Roman"/>
          <w:b w:val="0"/>
          <w:i w:val="0"/>
          <w:sz w:val="18"/>
        </w:rPr>
        <w:t>14. Hao Y, Hao S, Andersen-Nissen E, Mauck WM III, Zheng S, Butler A, Lee MJ, Wilk AJ, Darby C, Zager M, et al. Integrated analysis of multimodal single-cell data. Cell. 2021;184:3573-3587.e29. doi:10.1016/j.cell.2021.04.048.</w:t>
      </w:r>
    </w:p>
    <w:p>
      <w:pPr>
        <w:spacing w:before="0" w:after="80" w:line="240" w:lineRule="auto"/>
        <w:ind w:left="312" w:hanging="312"/>
        <w:jc w:val="both"/>
      </w:pPr>
      <w:r>
        <w:rPr>
          <w:rFonts w:ascii="Times New Roman" w:hAnsi="Times New Roman" w:eastAsia="Times New Roman"/>
          <w:b w:val="0"/>
          <w:i w:val="0"/>
          <w:sz w:val="18"/>
        </w:rPr>
        <w:t>15. Naeini MP, Cooper GF, Hauskrecht M. Obtaining well calibrated probabilities using Bayesian binning. Proc AAAI Conf Artif Intell. 2015;29:2901-2907.</w:t>
      </w:r>
    </w:p>
    <w:p>
      <w:pPr>
        <w:spacing w:before="0" w:after="80" w:line="240" w:lineRule="auto"/>
        <w:ind w:left="312" w:hanging="312"/>
        <w:jc w:val="both"/>
      </w:pPr>
      <w:r>
        <w:rPr>
          <w:rFonts w:ascii="Times New Roman" w:hAnsi="Times New Roman" w:eastAsia="Times New Roman"/>
          <w:b w:val="0"/>
          <w:i w:val="0"/>
          <w:sz w:val="18"/>
        </w:rPr>
        <w:t>16. Brier GW. Verification of forecasts expressed in terms of probability. Mon Weather Rev. 1950;78:1-3. doi:10.1175/1520-0493(1950)078&lt;0001:VOFEIT&gt;2.0.CO;2.</w:t>
      </w:r>
    </w:p>
    <w:sectPr w:rsidR="004E2B3A" w:rsidSect="00034616">
      <w:headerReference w:type="default" r:id="rId18"/>
      <w:footerReference w:type="default" r:id="rId19"/>
      <w:type w:val="continuous"/>
      <w:pgSz w:w="11906" w:h="16838"/>
      <w:pgMar w:top="1134" w:right="1134" w:bottom="1134" w:left="1134" w:header="346" w:footer="403" w:gutter="0"/>
      <w:cols w:num="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CD8086" w14:textId="77777777" w:rsidR="003149A7" w:rsidRDefault="003149A7">
      <w:pPr>
        <w:spacing w:after="0"/>
      </w:pPr>
      <w:r>
        <w:separator/>
      </w:r>
    </w:p>
  </w:endnote>
  <w:endnote w:type="continuationSeparator" w:id="0">
    <w:p w14:paraId="29218980" w14:textId="77777777" w:rsidR="003149A7" w:rsidRDefault="003149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14E88F" w14:textId="77777777" w:rsidR="004E2B3A" w:rsidRDefault="00000000">
    <w:pPr>
      <w:pStyle w:val="Footer"/>
      <w:jc w:val="center"/>
    </w:pPr>
    <w:r>
      <w:rPr>
        <w:color w:val="1B3A5F"/>
        <w:sz w:val="16"/>
      </w:rPr>
      <w:t xml:space="preserve">Jizhu Yang &amp; Bo Li — Research Manuscript — </w:t>
    </w:r>
    <w:r>
      <w:rPr>
        <w:color w:val="1B3A5F"/>
        <w:sz w:val="16"/>
      </w:rPr>
      <w:fldChar w:fldCharType="begin"/>
    </w:r>
    <w:r>
      <w:rPr>
        <w:color w:val="1B3A5F"/>
        <w:sz w:val="16"/>
      </w:rPr>
      <w:instrText xml:space="preserve"> PAGE </w:instrText>
    </w:r>
    <w:r w:rsidR="00BA59BC">
      <w:rPr>
        <w:color w:val="1B3A5F"/>
        <w:sz w:val="16"/>
      </w:rPr>
      <w:fldChar w:fldCharType="separate"/>
    </w:r>
    <w:r w:rsidR="00BA59BC">
      <w:rPr>
        <w:noProof/>
        <w:color w:val="1B3A5F"/>
        <w:sz w:val="16"/>
      </w:rPr>
      <w:t>1</w:t>
    </w:r>
    <w:r>
      <w:rPr>
        <w:color w:val="1B3A5F"/>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1B3A5F"/>
        <w:sz w:val="16"/>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FB39C6" w14:textId="77777777" w:rsidR="003149A7" w:rsidRDefault="003149A7">
      <w:pPr>
        <w:spacing w:after="0"/>
      </w:pPr>
      <w:r>
        <w:separator/>
      </w:r>
    </w:p>
  </w:footnote>
  <w:footnote w:type="continuationSeparator" w:id="0">
    <w:p w14:paraId="2630EEEE" w14:textId="77777777" w:rsidR="003149A7" w:rsidRDefault="003149A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EFFC47" w14:textId="77777777" w:rsidR="004E2B3A" w:rsidRDefault="00000000">
    <w:pPr>
      <w:pStyle w:val="Header"/>
      <w:tabs>
        <w:tab w:val="right" w:pos="9878"/>
      </w:tabs>
    </w:pPr>
    <w:r>
      <w:rPr>
        <w:rFonts w:ascii="Arial" w:hAnsi="Arial"/>
        <w:color w:val="6E6E6E"/>
        <w:sz w:val="16"/>
      </w:rPr>
      <w:t>RESEARCH MANUSCRIPT</w:t>
    </w:r>
    <w:r>
      <w:rPr>
        <w:rFonts w:ascii="Arial" w:hAnsi="Arial"/>
        <w:color w:val="6E6E6E"/>
        <w:sz w:val="16"/>
      </w:rPr>
      <w:tab/>
      <w:t>Information gain vs model-specific reliability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1B3A5F"/>
        <w:sz w:val="16"/>
      </w:rPr>
      <w:t>Jizhu Yang — Protein-access vs residual totalVI-associated contrast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9144471">
    <w:abstractNumId w:val="8"/>
  </w:num>
  <w:num w:numId="2" w16cid:durableId="452332009">
    <w:abstractNumId w:val="6"/>
  </w:num>
  <w:num w:numId="3" w16cid:durableId="1244753860">
    <w:abstractNumId w:val="5"/>
  </w:num>
  <w:num w:numId="4" w16cid:durableId="1025985256">
    <w:abstractNumId w:val="4"/>
  </w:num>
  <w:num w:numId="5" w16cid:durableId="14112478">
    <w:abstractNumId w:val="7"/>
  </w:num>
  <w:num w:numId="6" w16cid:durableId="1110323519">
    <w:abstractNumId w:val="3"/>
  </w:num>
  <w:num w:numId="7" w16cid:durableId="1074934376">
    <w:abstractNumId w:val="2"/>
  </w:num>
  <w:num w:numId="8" w16cid:durableId="1143503155">
    <w:abstractNumId w:val="1"/>
  </w:num>
  <w:num w:numId="9" w16cid:durableId="946003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99E"/>
    <w:rsid w:val="0015074B"/>
    <w:rsid w:val="0029639D"/>
    <w:rsid w:val="003149A7"/>
    <w:rsid w:val="00326F90"/>
    <w:rsid w:val="004E2B3A"/>
    <w:rsid w:val="00A92D12"/>
    <w:rsid w:val="00AA1D8D"/>
    <w:rsid w:val="00B47730"/>
    <w:rsid w:val="00BA59B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AC02C"/>
  <w14:defaultImageDpi w14:val="300"/>
  <w15:docId w15:val="{BA527B94-C156-C445-B7D4-D2451F631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6" w:line="240" w:lineRule="auto"/>
    </w:pPr>
    <w:rPr>
      <w:rFonts w:ascii="Times New Roman" w:hAnsi="Times New Roman" w:eastAsia="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B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B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6420</Words>
  <Characters>36596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protein-information gain and model-specific reliability in CITE-seq representation learning</dc:title>
  <dc:subject>Research Manuscript</dc:subject>
  <dc:creator>Jizhu Yang</dc:creator>
  <cp:keywords/>
  <dc:description>generated by python-docx</dc:description>
  <cp:lastModifiedBy>济竹 杨</cp:lastModifiedBy>
  <cp:revision>3</cp:revision>
  <dcterms:created xsi:type="dcterms:W3CDTF">2013-12-23T23:15:00Z</dcterms:created>
  <dcterms:modified xsi:type="dcterms:W3CDTF">2026-09-22T16:20:00Z</dcterms:modified>
  <cp:category/>
</cp:coreProperties>
</file>