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Arial" w:hAnsi="Arial" w:eastAsia="Arial"/>
          <w:b/>
          <w:i w:val="0"/>
          <w:sz w:val="32"/>
        </w:rPr>
        <w:t>Reviewer Response Plan (pre-submission)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This plan anticipates likely Genome Biology reviewer concerns. No experiments are currently required.</w:t>
      </w:r>
    </w:p>
    <w:p>
      <w:pPr>
        <w:spacing w:before="200" w:after="120"/>
      </w:pPr>
      <w:r>
        <w:rPr>
          <w:rFonts w:ascii="Arial" w:hAnsi="Arial" w:eastAsia="Arial"/>
          <w:b/>
          <w:i w:val="0"/>
          <w:sz w:val="28"/>
        </w:rPr>
        <w:t>Anticipated concern → planned response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1. Broader biological scope / stimulation conditions → Reserve Baseline→LPS/CD3_CD28 Lawlor shift as contingency (NOT currently required).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2. Protein-panel sensitivity → 39-ADT sensitivity contingency (NOT currently required).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3. Why not more multimodal methods → Emphasize controlled scVI_matched vs totalVI reliability design with PCA/MOFA+ baselines; MultiVI/Cobolt/scMaui cited as context.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4. Is selective prediction novel? → Explicitly no; diagnostic baseline citing Geifman &amp; El-Yaniv.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5. Are 50 pairs overinterpreted? → Hierarchical fold vs seed reporting already in manuscript; reinforce in rebuttal.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6. Missing modality → Explain totalVI 1.3.3 limitation; entry-wise corruption definition.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7. Code/data availability → Complete public archival before submission.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