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120" w:line="360" w:lineRule="auto"/>
      </w:pPr>
      <w:r>
        <w:rPr>
          <w:rFonts w:ascii="Arial" w:hAnsi="Arial" w:eastAsia="Arial"/>
          <w:b/>
          <w:i w:val="0"/>
          <w:sz w:val="32"/>
        </w:rPr>
        <w:t>Cover Letter — Genome Biology (DRAFT — DO NOT SEND)</w:t>
      </w:r>
    </w:p>
    <w:p>
      <w:pPr>
        <w:spacing w:after="120" w:line="360" w:lineRule="auto"/>
      </w:pPr>
      <w:r>
        <w:rPr>
          <w:rFonts w:ascii="Arial" w:hAnsi="Arial" w:eastAsia="Arial"/>
          <w:b w:val="0"/>
          <w:i w:val="0"/>
          <w:sz w:val="22"/>
        </w:rPr>
        <w:t>Dear Editor,</w:t>
      </w:r>
    </w:p>
    <w:p>
      <w:pPr>
        <w:spacing w:after="120" w:line="360" w:lineRule="auto"/>
      </w:pPr>
      <w:r>
        <w:rPr>
          <w:rFonts w:ascii="Arial" w:hAnsi="Arial" w:eastAsia="Arial"/>
          <w:b w:val="0"/>
          <w:i w:val="0"/>
          <w:sz w:val="22"/>
        </w:rPr>
        <w:t>Please consider our manuscript, “Reliability of scVI and totalVI for CITE-seq under distribution shift and uncertainty-guided prediction,” for publication as a Research article in Genome Biology.</w:t>
      </w:r>
    </w:p>
    <w:p>
      <w:pPr>
        <w:spacing w:after="120" w:line="360" w:lineRule="auto"/>
      </w:pPr>
      <w:r>
        <w:rPr>
          <w:rFonts w:ascii="Arial" w:hAnsi="Arial" w:eastAsia="Arial"/>
          <w:b w:val="0"/>
          <w:i w:val="0"/>
          <w:sz w:val="22"/>
        </w:rPr>
        <w:t>Deep generative models such as scVI and totalVI are widely used to integrate CITE-seq RNA and protein measurements. In practice, reliability under protein-entry degradation, dataset or donor shift, training stochasticity, and uncertainty-based filtering is less systematically characterized than average predictive accuracy. Our study addresses this gap through a structured reliability evaluation of architecture-matched scVI and totalVI (with PCA and MOFA+ baselines).</w:t>
      </w:r>
    </w:p>
    <w:p>
      <w:pPr>
        <w:spacing w:after="120" w:line="360" w:lineRule="auto"/>
      </w:pPr>
      <w:r>
        <w:rPr>
          <w:rFonts w:ascii="Arial" w:hAnsi="Arial" w:eastAsia="Arial"/>
          <w:b w:val="0"/>
          <w:i w:val="0"/>
          <w:sz w:val="22"/>
        </w:rPr>
        <w:t>We evaluate representation quality, entry-wise protein corruption, reciprocal cross-dataset transfer, predictive and latent uncertainty, replicated stochastic variability, and selective prediction with cell-type retention reporting. We then test central findings on an independent Lawlor Baseline CITE-seq cohort using author labels only under donor-held-out validation (100 model runs).</w:t>
      </w:r>
    </w:p>
    <w:p>
      <w:pPr>
        <w:spacing w:after="120" w:line="360" w:lineRule="auto"/>
      </w:pPr>
      <w:r>
        <w:rPr>
          <w:rFonts w:ascii="Arial" w:hAnsi="Arial" w:eastAsia="Arial"/>
          <w:b w:val="0"/>
          <w:i w:val="0"/>
          <w:sz w:val="22"/>
        </w:rPr>
        <w:t>Quantitatively, totalVI improved independent donor-held-out macro-F1 from 0.800 to 0.888 (paired Δ = +0.088; 50/50 fold×seed pairs). Predictive uncertainty remained strongly error-informative, latent posterior variance tracked error in a model-dependent manner, and confidence abstention reduced retained-set risk while creating substantial cell-type retention imbalance. We do not claim a novel fusion architecture; the contribution is systematic reliability characterization with external validation.</w:t>
      </w:r>
    </w:p>
    <w:p>
      <w:pPr>
        <w:spacing w:after="120" w:line="360" w:lineRule="auto"/>
      </w:pPr>
      <w:r>
        <w:rPr>
          <w:rFonts w:ascii="Arial" w:hAnsi="Arial" w:eastAsia="Arial"/>
          <w:b w:val="0"/>
          <w:i w:val="0"/>
          <w:sz w:val="22"/>
        </w:rPr>
        <w:t>All authors approve submission. The work is not under consideration elsewhere. Data and code availability statements are included with placeholders for public archival identifiers pending release. We declare competing interests as stated in the manuscript declarations.</w:t>
      </w:r>
    </w:p>
    <w:p>
      <w:pPr>
        <w:spacing w:after="120" w:line="360" w:lineRule="auto"/>
      </w:pPr>
      <w:r>
        <w:rPr>
          <w:rFonts w:ascii="Arial" w:hAnsi="Arial" w:eastAsia="Arial"/>
          <w:b w:val="0"/>
          <w:i w:val="0"/>
          <w:sz w:val="22"/>
        </w:rPr>
        <w:t>Thank you for your consideration.</w:t>
      </w:r>
    </w:p>
    <w:p>
      <w:pPr>
        <w:spacing w:after="120" w:line="360" w:lineRule="auto"/>
      </w:pPr>
      <w:r>
        <w:rPr>
          <w:rFonts w:ascii="Arial" w:hAnsi="Arial" w:eastAsia="Arial"/>
          <w:b w:val="0"/>
          <w:i w:val="0"/>
          <w:sz w:val="22"/>
        </w:rPr>
        <w:t>Sincerely,</w:t>
      </w:r>
    </w:p>
    <w:p>
      <w:pPr>
        <w:spacing w:after="120" w:line="360" w:lineRule="auto"/>
      </w:pPr>
      <w:r>
        <w:rPr>
          <w:rFonts w:ascii="Arial" w:hAnsi="Arial" w:eastAsia="Arial"/>
          <w:b w:val="0"/>
          <w:i w:val="0"/>
          <w:sz w:val="22"/>
        </w:rPr>
        <w:t>[Corresponding author — HUMAN CONFIRMATION REQUIRED]</w:t>
      </w:r>
    </w:p>
    <w:p>
      <w:pPr>
        <w:spacing w:after="120" w:line="360" w:lineRule="auto"/>
      </w:pPr>
      <w:r>
        <w:rPr>
          <w:rFonts w:ascii="Arial" w:hAnsi="Arial" w:eastAsia="Arial"/>
          <w:b w:val="0"/>
          <w:i w:val="0"/>
          <w:sz w:val="22"/>
        </w:rPr>
        <w:t>[Institution]</w:t>
      </w:r>
    </w:p>
    <w:p>
      <w:pPr>
        <w:spacing w:after="120" w:line="360" w:lineRule="auto"/>
      </w:pPr>
      <w:r>
        <w:rPr>
          <w:rFonts w:ascii="Arial" w:hAnsi="Arial" w:eastAsia="Arial"/>
          <w:b w:val="0"/>
          <w:i w:val="0"/>
          <w:sz w:val="22"/>
        </w:rPr>
        <w:t>[Email]</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Arial" w:hAnsi="Arial" w:eastAsia="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