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32"/>
        </w:rPr>
        <w:t>Supervisor Summary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TITLE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Reliability of scVI and totalVI for CITE-seq under distribution shift and uncertainty-guided prediction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RESEARCH QUESTION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How reliable are probabilistic deep generative representations (scVI_matched vs totalVI) for CITE-seq when protein measurements are degraded, datasets or donors shift, stochastic training varies, and uncertainty is used for selective prediction?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WHY IT MATTERS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Average accuracy is insufficient for trustworthy multi-omics analysis. Reliability under shift, stochasticity, and abstention-induced biological coverage loss is what users need in practice.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DATASETS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PBMC10k / PBMC5k (development)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- Lawlor Baseline CITE-seq (independent external; author labels; HCA/ENA accessions)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MODELS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PCA, MOFA+, scVI_matched, totalVI (scvi-tools 1.3.3); scArches adaptation with post-adaptation coordinate rule.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EXPERIMENTAL PROGRAMME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Representation → entry-wise protein corruption → reciprocal transfer → predictive/latent uncertainty → replicated variance → selective prediction/retention → Lawlor donor-held-out validation.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STRONGEST FINDINGS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Lawlor macro-F1 0.800 → 0.888 (Δ +0.088; 50/50). Predictive AUROC internal ≈0.84–0.86; Lawlor 0.801 vs 0.838. Latent AUROC internal totalVI ≈0.61–0.67 vs scVI ≈0.47–0.54; Lawlor 0.650 vs 0.605. AURC Lawlor 0.036 vs 0.087.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EXTERNAL VALIDATION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Independent Lawlor Baseline; author labels only; 5 folds × 10 seeds = 100 runs; hierarchical fold vs seed variability reported.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NEGATIVE FINDINGS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Direction A near-null transfer; ECE not decisive; selective prediction creates cell-type retention imbalance; residual run-level variability dominates variance decomposition.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LIMITATIONS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PBMC-only; partial Lawlor labels; 12/14 protein overlap; no stimulation/39-ADT/external source-composition in primary package; no honest cell-wise missing-modality experiment under totalVI 1.3.3.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TARGET JOURNAL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Genome Biology — Research (backup: Bioinformatics Original Paper)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OPTIONAL REVIEWER-CONTINGENCY EXPERIMENTS (NOT CURRENTLY REQUIRED)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A. Baseline→LPS/CD3_CD28 shift. B. 39-ADT sensitivity. C. External source-composition perturbation.</w:t>
      </w:r>
    </w:p>
    <w:p>
      <w:pPr>
        <w:spacing w:before="200" w:after="120" w:line="360" w:lineRule="auto"/>
      </w:pPr>
      <w:r>
        <w:rPr>
          <w:rFonts w:ascii="Arial" w:hAnsi="Arial" w:eastAsia="Arial"/>
          <w:b/>
          <w:i w:val="0"/>
          <w:sz w:val="28"/>
        </w:rPr>
        <w:t>QUESTIONS FOR SUPERVISOR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1. Is reliability framing strong enough for Genome Biology?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2. Add stimulation shift proactively or reserve for reviewers?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3. Are six main figures appropriate?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4. Keep variance decomposition in main text or move partly to Supplement?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5. Is Lawlor prominence sufficient?</w:t>
      </w:r>
    </w:p>
    <w:p>
      <w:pPr>
        <w:spacing w:after="120" w:line="360" w:lineRule="auto"/>
      </w:pPr>
      <w:r>
        <w:rPr>
          <w:rFonts w:ascii="Arial" w:hAnsi="Arial" w:eastAsia="Arial"/>
          <w:b w:val="0"/>
          <w:i w:val="0"/>
          <w:sz w:val="22"/>
        </w:rPr>
        <w:t>6. Reliability study vs benchmarking study framing?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