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Table2 primary results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Setting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Model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Metric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Mean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SD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/>
                <w:i w:val="0"/>
                <w:sz w:val="18"/>
              </w:rPr>
              <w:t>n / unit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Transfer Dir A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0.656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0.018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20 seeds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Transfer Dir A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0.652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20 seeds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Transfer Dir B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0.601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20 seeds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Transfer Dir B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0.654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0.025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20 seeds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0.800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0.015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 fold×seed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macro-F1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0.888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0.012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 fold×seed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predictive AUROC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0.801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0.020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predictive AUROC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0.838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0.018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latent AUROC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0.605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0.049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latent AUROC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0.650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0.026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scVI_matched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AURC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0.087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0.018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Lawlor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totalVI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AURC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0.036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0.007</w:t>
            </w:r>
          </w:p>
        </w:tc>
        <w:tc>
          <w:tcPr>
            <w:tcW w:type="dxa" w:w="1504"/>
          </w:tcPr>
          <w:p>
            <w:r>
              <w:rPr>
                <w:rFonts w:ascii="Arial" w:hAnsi="Arial" w:eastAsia="Arial"/>
                <w:b w:val="0"/>
                <w:i w:val="0"/>
                <w:sz w:val="18"/>
              </w:rPr>
              <w:t>50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