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lastRenderedPageBreak/>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02EDA127" w:rsidR="009A332E" w:rsidRPr="00A265C4" w:rsidRDefault="006B3219"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w:t>
      </w:r>
      <w:r w:rsidR="009564F3">
        <w:rPr>
          <w:rFonts w:eastAsia="Verdana"/>
          <w:color w:val="000000" w:themeColor="text1"/>
        </w:rPr>
        <w:t>{</w:t>
      </w:r>
      <w:r w:rsidR="00A265C4">
        <w:rPr>
          <w:rFonts w:eastAsia="Verdana"/>
          <w:color w:val="000000" w:themeColor="text1"/>
        </w:rPr>
        <w:t>{texto_4}</w:t>
      </w:r>
      <w:r w:rsidR="009564F3">
        <w:rPr>
          <w:rFonts w:eastAsia="Verdana"/>
          <w:color w:val="000000" w:themeColor="text1"/>
        </w:rPr>
        <w:t>}</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w:t>
      </w:r>
      <w:r w:rsidRPr="66A40557">
        <w:rPr>
          <w:rFonts w:eastAsia="Verdana"/>
          <w:color w:val="000000" w:themeColor="text1"/>
        </w:rPr>
        <w:lastRenderedPageBreak/>
        <w:t xml:space="preserve">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016303F4"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w:t>
      </w:r>
      <w:r w:rsidR="00EA66EB">
        <w:rPr>
          <w:rFonts w:eastAsia="Verdana"/>
          <w:color w:val="000000" w:themeColor="text1"/>
        </w:rPr>
        <w:t>{{texto_5}}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lastRenderedPageBreak/>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lastRenderedPageBreak/>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w:t>
      </w:r>
      <w:r>
        <w:lastRenderedPageBreak/>
        <w:t>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 xml:space="preserve">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w:t>
      </w:r>
      <w:r w:rsidRPr="50FB7DD5">
        <w:rPr>
          <w:rFonts w:ascii="Calibri" w:eastAsia="Calibri" w:hAnsi="Calibri" w:cs="Calibri"/>
          <w:color w:val="000000" w:themeColor="text1"/>
        </w:rPr>
        <w:lastRenderedPageBreak/>
        <w:t>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lastRenderedPageBreak/>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lastRenderedPageBreak/>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lastRenderedPageBreak/>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w:t>
      </w:r>
      <w:r w:rsidRPr="194A9FA4">
        <w:rPr>
          <w:rFonts w:eastAsia="Verdana"/>
          <w:color w:val="000000"/>
          <w:spacing w:val="-1"/>
        </w:rPr>
        <w:lastRenderedPageBreak/>
        <w:t xml:space="preserve">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lastRenderedPageBreak/>
        <w:t xml:space="preserve">Lima, </w:t>
      </w:r>
      <w:r w:rsidR="009564F3">
        <w:rPr>
          <w:rFonts w:eastAsia="Verdana" w:cstheme="minorHAnsi"/>
          <w:color w:val="000000"/>
        </w:rPr>
        <w:t>{{</w:t>
      </w:r>
      <w:r w:rsidR="005222BD">
        <w:rPr>
          <w:rFonts w:eastAsia="Verdana" w:cstheme="minorHAnsi"/>
          <w:color w:val="000000"/>
        </w:rPr>
        <w:t>day</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{month</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{year</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217645D6" w:rsidR="00C87A48" w:rsidRPr="00174B07" w:rsidRDefault="00272090"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72C159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272090">
              <w:rPr>
                <w:rFonts w:asciiTheme="minorHAnsi" w:hAnsiTheme="minorHAnsi" w:cstheme="minorHAnsi"/>
              </w:rPr>
              <w:t>{{dni_1}}</w:t>
            </w:r>
          </w:p>
          <w:p w14:paraId="5A5C3068" w14:textId="77777777" w:rsidR="00C87A48" w:rsidRPr="00174B07" w:rsidRDefault="00C87A48" w:rsidP="00294F54">
            <w:pPr>
              <w:pStyle w:val="TableParagraph"/>
              <w:jc w:val="center"/>
              <w:rPr>
                <w:rFonts w:asciiTheme="minorHAnsi" w:hAnsiTheme="minorHAnsi" w:cstheme="minorHAnsi"/>
              </w:rPr>
            </w:pPr>
          </w:p>
          <w:p w14:paraId="4367D37D" w14:textId="77777777" w:rsidR="00C87A48" w:rsidRDefault="00C87A48" w:rsidP="00C87A48">
            <w:pPr>
              <w:pStyle w:val="TableParagraph"/>
              <w:jc w:val="center"/>
              <w:rPr>
                <w:rFonts w:asciiTheme="minorHAnsi" w:hAnsiTheme="minorHAnsi" w:cstheme="minorHAnsi"/>
                <w:b/>
              </w:rPr>
            </w:pPr>
          </w:p>
          <w:p w14:paraId="25372C33" w14:textId="77777777" w:rsidR="00EC4FFB" w:rsidRDefault="00EC4FFB" w:rsidP="00EC4FFB">
            <w:pPr>
              <w:pStyle w:val="TableParagraph"/>
              <w:rPr>
                <w:rFonts w:asciiTheme="minorHAnsi" w:hAnsiTheme="minorHAnsi" w:cstheme="minorHAnsi"/>
                <w:b/>
              </w:rPr>
            </w:pPr>
            <w:r>
              <w:rPr>
                <w:rFonts w:asciiTheme="minorHAnsi" w:hAnsiTheme="minorHAnsi" w:cstheme="minorHAnsi"/>
                <w:b/>
              </w:rPr>
              <w:t>________________________________________</w:t>
            </w:r>
          </w:p>
          <w:p w14:paraId="41D5E829" w14:textId="77777777" w:rsidR="00EC4FFB" w:rsidRDefault="00EC4FFB" w:rsidP="00EC4FFB">
            <w:pPr>
              <w:pStyle w:val="TableParagraph"/>
              <w:rPr>
                <w:rFonts w:asciiTheme="minorHAnsi" w:hAnsiTheme="minorHAnsi" w:cstheme="minorHAnsi"/>
                <w:b/>
              </w:rPr>
            </w:pPr>
            <w:r>
              <w:rPr>
                <w:rFonts w:asciiTheme="minorHAnsi" w:hAnsiTheme="minorHAnsi" w:cstheme="minorHAnsi"/>
                <w:b/>
              </w:rPr>
              <w:t xml:space="preserve">                                  {{name_2}}</w:t>
            </w:r>
          </w:p>
          <w:p w14:paraId="5DF26D0E" w14:textId="3EF8AAFE" w:rsidR="00EC4FFB" w:rsidRPr="00174B07" w:rsidRDefault="00EC4FFB" w:rsidP="00EC4FFB">
            <w:pPr>
              <w:pStyle w:val="TableParagraph"/>
              <w:rPr>
                <w:rFonts w:asciiTheme="minorHAnsi" w:hAnsiTheme="minorHAnsi" w:cstheme="minorHAnsi"/>
                <w:b/>
              </w:rPr>
            </w:pPr>
            <w:r>
              <w:rPr>
                <w:rFonts w:asciiTheme="minorHAnsi" w:hAnsiTheme="minorHAnsi" w:cstheme="minorHAnsi"/>
                <w:b/>
              </w:rPr>
              <w:t xml:space="preserve">                              DNI N° {{dni_2}}</w:t>
            </w: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EC4FFB" w:rsidRPr="00143466" w14:paraId="0FF7FED2" w14:textId="77777777" w:rsidTr="00C3661F">
              <w:tc>
                <w:tcPr>
                  <w:tcW w:w="760" w:type="dxa"/>
                </w:tcPr>
                <w:p w14:paraId="0050FA12"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3D964235"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4876C889" w14:textId="77777777" w:rsidR="00EC4FFB" w:rsidRPr="00CF7B85" w:rsidRDefault="00EC4FFB" w:rsidP="00EC4FF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{{name_2}}</w:t>
                  </w:r>
                </w:p>
              </w:tc>
            </w:tr>
            <w:tr w:rsidR="00EC4FFB" w:rsidRPr="00143466" w14:paraId="5CB8C5EC" w14:textId="77777777" w:rsidTr="00C3661F">
              <w:tc>
                <w:tcPr>
                  <w:tcW w:w="760" w:type="dxa"/>
                </w:tcPr>
                <w:p w14:paraId="37F789F8"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2E74B41B"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4E2E2E73"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{{dni_2}}</w:t>
                  </w:r>
                </w:p>
              </w:tc>
            </w:tr>
            <w:tr w:rsidR="00EC4FFB" w:rsidRPr="00143466" w14:paraId="481F2CA5" w14:textId="77777777" w:rsidTr="00C3661F">
              <w:tc>
                <w:tcPr>
                  <w:tcW w:w="760" w:type="dxa"/>
                </w:tcPr>
                <w:p w14:paraId="378DC7E6"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553AA23D"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456ED647"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{{ocupation_2}}</w:t>
                  </w:r>
                </w:p>
              </w:tc>
            </w:tr>
            <w:tr w:rsidR="00EC4FFB" w:rsidRPr="00143466" w14:paraId="5A6CCA07" w14:textId="77777777" w:rsidTr="00C3661F">
              <w:tc>
                <w:tcPr>
                  <w:tcW w:w="760" w:type="dxa"/>
                </w:tcPr>
                <w:p w14:paraId="6F00A163"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063C3EF1"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50474D49"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{{marital_status_2}}</w:t>
                  </w:r>
                </w:p>
              </w:tc>
            </w:tr>
            <w:tr w:rsidR="00EC4FFB" w:rsidRPr="00143466" w14:paraId="3D24B0A6" w14:textId="77777777" w:rsidTr="00C3661F">
              <w:tc>
                <w:tcPr>
                  <w:tcW w:w="760" w:type="dxa"/>
                </w:tcPr>
                <w:p w14:paraId="1A8F4696"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0593AC62"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48CE72"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{{address_2}}</w:t>
                  </w:r>
                </w:p>
              </w:tc>
            </w:tr>
            <w:tr w:rsidR="00EC4FFB" w:rsidRPr="00143466" w14:paraId="188F255E" w14:textId="77777777" w:rsidTr="00C3661F">
              <w:tc>
                <w:tcPr>
                  <w:tcW w:w="760" w:type="dxa"/>
                </w:tcPr>
                <w:p w14:paraId="4399A3DA"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782FA9F9"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5798B61C"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{{mail_2}}</w:t>
                  </w:r>
                </w:p>
              </w:tc>
            </w:tr>
            <w:tr w:rsidR="00EC4FFB" w:rsidRPr="00143466" w14:paraId="3608A746" w14:textId="77777777" w:rsidTr="00C3661F">
              <w:tc>
                <w:tcPr>
                  <w:tcW w:w="760" w:type="dxa"/>
                </w:tcPr>
                <w:p w14:paraId="46994EC8"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02701B03"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21C8F917"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{{phone_2}}</w:t>
                  </w:r>
                </w:p>
              </w:tc>
            </w:tr>
          </w:tbl>
          <w:p w14:paraId="33D9A966" w14:textId="77777777" w:rsidR="003D1567"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02227E39" w14:textId="77777777" w:rsidR="00EC4FFB" w:rsidRPr="00CF7B85" w:rsidRDefault="00EC4FFB"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3B28C091" w:rsidR="00BE5775" w:rsidRPr="005A79B1" w:rsidRDefault="009564F3" w:rsidP="00DB3C8C">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r w:rsidR="00DB3C8C" w:rsidRPr="00DB3C8C">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25A7E6B9" w14:textId="30F856FE" w:rsidR="00EC4FFB" w:rsidRDefault="00652FD5" w:rsidP="00EC4FFB">
                  <w:pPr>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US$ </w:t>
                  </w:r>
                  <w:r w:rsidR="00F87315">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r w:rsidR="00D66A72">
                    <w:rPr>
                      <w:rFonts w:asciiTheme="minorHAnsi" w:eastAsia="Verdana" w:hAnsiTheme="minorHAnsi" w:cstheme="minorHAnsi"/>
                      <w:color w:val="000000"/>
                      <w:spacing w:val="-2"/>
                      <w:lang w:val="es-PE"/>
                    </w:rPr>
                    <w:t>monto</w:t>
                  </w:r>
                  <w:r>
                    <w:rPr>
                      <w:rFonts w:asciiTheme="minorHAnsi" w:eastAsia="Verdana" w:hAnsiTheme="minorHAnsi" w:cstheme="minorHAnsi"/>
                      <w:color w:val="000000"/>
                      <w:spacing w:val="-2"/>
                      <w:lang w:val="es-PE"/>
                    </w:rPr>
                    <w:t>_venta}</w:t>
                  </w:r>
                  <w:r w:rsidR="00F87315">
                    <w:rPr>
                      <w:rFonts w:asciiTheme="minorHAnsi" w:eastAsia="Verdana" w:hAnsiTheme="minorHAnsi" w:cstheme="minorHAnsi"/>
                      <w:color w:val="000000"/>
                      <w:spacing w:val="-2"/>
                      <w:lang w:val="es-PE"/>
                    </w:rPr>
                    <w:t>}</w:t>
                  </w:r>
                  <w:r w:rsidR="001A1AD6">
                    <w:rPr>
                      <w:rFonts w:asciiTheme="minorHAnsi" w:eastAsia="Verdana" w:hAnsiTheme="minorHAnsi" w:cstheme="minorHAnsi"/>
                      <w:color w:val="000000"/>
                      <w:spacing w:val="-2"/>
                      <w:lang w:val="es-PE"/>
                    </w:rPr>
                    <w:t xml:space="preserve"> {{monto_letras}}</w:t>
                  </w:r>
                  <w:r w:rsidR="00EC4FFB">
                    <w:rPr>
                      <w:rFonts w:asciiTheme="minorHAnsi" w:eastAsia="Verdana" w:hAnsiTheme="minorHAnsi" w:cstheme="minorHAnsi"/>
                      <w:color w:val="000000"/>
                      <w:spacing w:val="-2"/>
                      <w:lang w:val="es-PE"/>
                    </w:rPr>
                    <w:t xml:space="preserve"> </w:t>
                  </w:r>
                  <w:r w:rsidR="00EC4FFB" w:rsidRPr="00F91D4D">
                    <w:rPr>
                      <w:rFonts w:asciiTheme="minorHAnsi" w:eastAsia="Verdana" w:hAnsiTheme="minorHAnsi" w:cstheme="minorHAnsi"/>
                      <w:color w:val="000000"/>
                      <w:spacing w:val="-2"/>
                      <w:lang w:val="es-PE"/>
                    </w:rPr>
                    <w:t>con 00/100 dólares americanos)</w:t>
                  </w:r>
                  <w:r w:rsidR="006B7AC1">
                    <w:rPr>
                      <w:rFonts w:asciiTheme="minorHAnsi" w:eastAsia="Verdana" w:hAnsiTheme="minorHAnsi" w:cstheme="minorHAnsi"/>
                      <w:color w:val="000000"/>
                      <w:spacing w:val="-2"/>
                      <w:lang w:val="es-PE"/>
                    </w:rPr>
                    <w:t>.</w:t>
                  </w:r>
                </w:p>
                <w:p w14:paraId="149EC947" w14:textId="77777777" w:rsidR="00EC4FFB" w:rsidRDefault="00EC4FFB" w:rsidP="00EC4FFB">
                  <w:pPr>
                    <w:contextualSpacing/>
                    <w:jc w:val="both"/>
                    <w:textAlignment w:val="baseline"/>
                    <w:rPr>
                      <w:rFonts w:asciiTheme="minorHAnsi" w:eastAsia="Verdana" w:hAnsiTheme="minorHAnsi" w:cstheme="minorHAnsi"/>
                      <w:color w:val="000000"/>
                      <w:spacing w:val="-2"/>
                      <w:lang w:val="es-PE"/>
                    </w:rPr>
                  </w:pPr>
                </w:p>
                <w:p w14:paraId="3FE5F95D" w14:textId="77777777" w:rsidR="00EC4FFB" w:rsidRPr="00F91D4D" w:rsidRDefault="00EC4FFB" w:rsidP="00EC4FFB">
                  <w:pPr>
                    <w:contextualSpacing/>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Se deja expresamente establecido que, la transferencia del inmueble que realiza la Vendedora a favor de los compradores se distribuirá de la siguiente manera:</w:t>
                  </w:r>
                </w:p>
                <w:p w14:paraId="4B6A164A" w14:textId="77777777" w:rsidR="00EC4FFB" w:rsidRPr="00F91D4D" w:rsidRDefault="00EC4FFB" w:rsidP="00EC4FFB">
                  <w:pPr>
                    <w:contextualSpacing/>
                    <w:jc w:val="both"/>
                    <w:textAlignment w:val="baseline"/>
                    <w:rPr>
                      <w:rFonts w:asciiTheme="minorHAnsi" w:eastAsia="Verdana" w:hAnsiTheme="minorHAnsi" w:cstheme="minorHAnsi"/>
                      <w:color w:val="000000"/>
                      <w:spacing w:val="-2"/>
                      <w:lang w:val="es-PE"/>
                    </w:rPr>
                  </w:pPr>
                </w:p>
                <w:p w14:paraId="479CFCF8" w14:textId="77777777" w:rsidR="00EC4FFB" w:rsidRPr="00EC4FFB" w:rsidRDefault="00EC4FFB" w:rsidP="00EC4FFB">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A favor del señor</w:t>
                  </w:r>
                  <w:r w:rsidRPr="00F91D4D">
                    <w:rPr>
                      <w:rFonts w:asciiTheme="minorHAnsi" w:hAnsiTheme="minorHAnsi" w:cstheme="minorHAnsi"/>
                      <w:b/>
                    </w:rPr>
                    <w:t xml:space="preserve"> </w:t>
                  </w:r>
                  <w:r>
                    <w:rPr>
                      <w:rFonts w:asciiTheme="minorHAnsi" w:hAnsiTheme="minorHAnsi" w:cstheme="minorHAnsi"/>
                      <w:b/>
                    </w:rPr>
                    <w:t>{{name_1}}</w:t>
                  </w:r>
                  <w:r w:rsidRPr="00F91D4D">
                    <w:rPr>
                      <w:rFonts w:asciiTheme="minorHAnsi" w:hAnsiTheme="minorHAnsi" w:cstheme="minorHAnsi"/>
                      <w:b/>
                    </w:rPr>
                    <w:t xml:space="preserve">, </w:t>
                  </w:r>
                  <w:r w:rsidRPr="00F91D4D">
                    <w:rPr>
                      <w:rFonts w:asciiTheme="minorHAnsi" w:hAnsiTheme="minorHAnsi" w:cstheme="minorHAnsi"/>
                      <w:bCs/>
                    </w:rPr>
                    <w:t>quien</w:t>
                  </w:r>
                  <w:r w:rsidRPr="00F91D4D">
                    <w:rPr>
                      <w:rFonts w:asciiTheme="minorHAnsi" w:hAnsiTheme="minorHAnsi" w:cstheme="minorHAnsi"/>
                      <w:b/>
                    </w:rPr>
                    <w:t xml:space="preserve"> </w:t>
                  </w:r>
                  <w:r w:rsidRPr="00F91D4D">
                    <w:rPr>
                      <w:rFonts w:asciiTheme="minorHAnsi" w:hAnsiTheme="minorHAnsi" w:cstheme="minorHAnsi"/>
                      <w:bCs/>
                    </w:rPr>
                    <w:t>adquiere</w:t>
                  </w:r>
                  <w:r w:rsidRPr="00F91D4D">
                    <w:rPr>
                      <w:rFonts w:asciiTheme="minorHAnsi" w:hAnsiTheme="minorHAnsi" w:cstheme="minorHAnsi"/>
                      <w:b/>
                    </w:rPr>
                    <w:t xml:space="preserve"> </w:t>
                  </w:r>
                  <w:r w:rsidRPr="00F91D4D">
                    <w:rPr>
                      <w:rFonts w:asciiTheme="minorHAnsi" w:hAnsiTheme="minorHAnsi" w:cstheme="minorHAnsi"/>
                      <w:bCs/>
                    </w:rPr>
                    <w:t xml:space="preserve">el cincuenta por ciento (50%) de la totalidad de las acciones y derechos del Lote, equivalente a US$ </w:t>
                  </w:r>
                  <w:r>
                    <w:rPr>
                      <w:rFonts w:asciiTheme="minorHAnsi" w:hAnsiTheme="minorHAnsi" w:cstheme="minorHAnsi"/>
                      <w:bCs/>
                    </w:rPr>
                    <w:t>{{precio_mitad_1}}</w:t>
                  </w:r>
                  <w:r w:rsidRPr="00F91D4D">
                    <w:rPr>
                      <w:rFonts w:asciiTheme="minorHAnsi" w:hAnsiTheme="minorHAnsi" w:cstheme="minorHAnsi"/>
                      <w:bCs/>
                    </w:rPr>
                    <w:t xml:space="preserve"> (</w:t>
                  </w:r>
                  <w:r>
                    <w:rPr>
                      <w:rFonts w:asciiTheme="minorHAnsi" w:hAnsiTheme="minorHAnsi" w:cstheme="minorHAnsi"/>
                      <w:bCs/>
                    </w:rPr>
                    <w:t>{{precio_mitad_letras_1}}</w:t>
                  </w:r>
                  <w:r w:rsidRPr="00F91D4D">
                    <w:rPr>
                      <w:rFonts w:asciiTheme="minorHAnsi" w:hAnsiTheme="minorHAnsi" w:cstheme="minorHAnsi"/>
                      <w:bCs/>
                    </w:rPr>
                    <w:t xml:space="preserve"> mil con 00/100 dólares americanos).</w:t>
                  </w:r>
                </w:p>
                <w:p w14:paraId="38DA36D4" w14:textId="3DB263B8" w:rsidR="003D1567" w:rsidRPr="00EC4FFB" w:rsidRDefault="00EC4FFB" w:rsidP="00EC4FFB">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lastRenderedPageBreak/>
                    <w:t xml:space="preserve">A favor de la señorita </w:t>
                  </w:r>
                  <w:r>
                    <w:rPr>
                      <w:rFonts w:asciiTheme="minorHAnsi" w:hAnsiTheme="minorHAnsi" w:cstheme="minorHAnsi"/>
                      <w:b/>
                      <w:bCs/>
                    </w:rPr>
                    <w:t>{{name_2}}</w:t>
                  </w:r>
                  <w:r w:rsidRPr="00F91D4D">
                    <w:rPr>
                      <w:rFonts w:asciiTheme="minorHAnsi" w:hAnsiTheme="minorHAnsi" w:cstheme="minorHAnsi"/>
                      <w:b/>
                    </w:rPr>
                    <w:t xml:space="preserve">, </w:t>
                  </w:r>
                  <w:r w:rsidRPr="00F91D4D">
                    <w:rPr>
                      <w:rFonts w:asciiTheme="minorHAnsi" w:hAnsiTheme="minorHAnsi" w:cstheme="minorHAnsi"/>
                      <w:bCs/>
                    </w:rPr>
                    <w:t>quien</w:t>
                  </w:r>
                  <w:r w:rsidRPr="00F91D4D">
                    <w:rPr>
                      <w:rFonts w:asciiTheme="minorHAnsi" w:hAnsiTheme="minorHAnsi" w:cstheme="minorHAnsi"/>
                      <w:b/>
                    </w:rPr>
                    <w:t xml:space="preserve"> </w:t>
                  </w:r>
                  <w:r w:rsidRPr="00F91D4D">
                    <w:rPr>
                      <w:rFonts w:asciiTheme="minorHAnsi" w:hAnsiTheme="minorHAnsi" w:cstheme="minorHAnsi"/>
                      <w:bCs/>
                    </w:rPr>
                    <w:t>adquiere</w:t>
                  </w:r>
                  <w:r w:rsidRPr="00F91D4D">
                    <w:rPr>
                      <w:rFonts w:asciiTheme="minorHAnsi" w:hAnsiTheme="minorHAnsi" w:cstheme="minorHAnsi"/>
                      <w:b/>
                    </w:rPr>
                    <w:t xml:space="preserve"> </w:t>
                  </w:r>
                  <w:r w:rsidRPr="00F91D4D">
                    <w:rPr>
                      <w:rFonts w:asciiTheme="minorHAnsi" w:hAnsiTheme="minorHAnsi" w:cstheme="minorHAnsi"/>
                      <w:bCs/>
                    </w:rPr>
                    <w:t xml:space="preserve">el cincuenta por ciento (50%) de la totalidad de las acciones y derechos del Lote, equivalente a US$ </w:t>
                  </w:r>
                  <w:r>
                    <w:rPr>
                      <w:rFonts w:asciiTheme="minorHAnsi" w:hAnsiTheme="minorHAnsi" w:cstheme="minorHAnsi"/>
                      <w:bCs/>
                    </w:rPr>
                    <w:t>{{precio_mitad_2}}</w:t>
                  </w:r>
                  <w:r w:rsidRPr="00F91D4D">
                    <w:rPr>
                      <w:rFonts w:asciiTheme="minorHAnsi" w:hAnsiTheme="minorHAnsi" w:cstheme="minorHAnsi"/>
                      <w:bCs/>
                    </w:rPr>
                    <w:t xml:space="preserve"> (</w:t>
                  </w:r>
                  <w:r>
                    <w:rPr>
                      <w:rFonts w:asciiTheme="minorHAnsi" w:hAnsiTheme="minorHAnsi" w:cstheme="minorHAnsi"/>
                      <w:bCs/>
                    </w:rPr>
                    <w:t>{{precio_mitad_letras_2}}</w:t>
                  </w:r>
                  <w:r w:rsidRPr="00F91D4D">
                    <w:rPr>
                      <w:rFonts w:asciiTheme="minorHAnsi" w:hAnsiTheme="minorHAnsi" w:cstheme="minorHAnsi"/>
                      <w:bCs/>
                    </w:rPr>
                    <w:t xml:space="preserve"> mil con 00/100 dólares americanos).</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lastRenderedPageBreak/>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3A0F1D4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r w:rsidR="001A1AD6">
                    <w:rPr>
                      <w:rFonts w:asciiTheme="minorHAnsi" w:eastAsia="Arial" w:hAnsiTheme="minorHAnsi" w:cstheme="minorHAnsi"/>
                      <w:lang w:val="es-ES_tradnl"/>
                    </w:rPr>
                    <w:t>monto_reserva</w:t>
                  </w:r>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w:t>
                  </w:r>
                  <w:r w:rsidR="001A1AD6">
                    <w:rPr>
                      <w:rFonts w:asciiTheme="minorHAnsi" w:eastAsia="Arial" w:hAnsiTheme="minorHAnsi" w:cstheme="minorHAnsi"/>
                      <w:lang w:val="es-ES_tradnl"/>
                    </w:rPr>
                    <w:t>reserva</w:t>
                  </w:r>
                  <w:r w:rsidR="00F87315">
                    <w:rPr>
                      <w:rFonts w:asciiTheme="minorHAnsi" w:eastAsia="Arial" w:hAnsiTheme="minorHAnsi" w:cstheme="minorHAnsi"/>
                      <w:lang w:val="es-ES_tradnl"/>
                    </w:rPr>
                    <w:t xml:space="preserve">_letras}} </w:t>
                  </w:r>
                  <w:r w:rsidRPr="003B5632">
                    <w:rPr>
                      <w:rFonts w:asciiTheme="minorHAnsi" w:eastAsia="Arial" w:hAnsiTheme="minorHAnsi" w:cstheme="minorHAnsi"/>
                      <w:lang w:val="es-ES_tradnl"/>
                    </w:rPr>
                    <w:t>con 00/100 dólares americanos), cancelados el</w:t>
                  </w:r>
                  <w:r w:rsidR="006F12D0">
                    <w:rPr>
                      <w:rFonts w:asciiTheme="minorHAnsi" w:eastAsia="Arial" w:hAnsiTheme="minorHAnsi" w:cstheme="minorHAnsi"/>
                      <w:lang w:val="es-ES_tradnl"/>
                    </w:rPr>
                    <w:t xml:space="preserve"> {{day_c}}</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{{month_c}}</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{{year_c}}</w:t>
                  </w:r>
                  <w:r w:rsidRPr="003B5632">
                    <w:rPr>
                      <w:rFonts w:asciiTheme="minorHAnsi" w:eastAsia="Arial" w:hAnsiTheme="minorHAnsi" w:cstheme="minorHAnsi"/>
                      <w:lang w:val="es-ES_tradnl"/>
                    </w:rPr>
                    <w:t>, según consta en el comprobante de pago que se adjunta.</w:t>
                  </w:r>
                </w:p>
                <w:p w14:paraId="6DF25084" w14:textId="1113D511"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r w:rsidR="00D66A72">
                    <w:rPr>
                      <w:rFonts w:asciiTheme="minorHAnsi" w:eastAsia="Arial" w:hAnsiTheme="minorHAnsi" w:cstheme="minorHAnsi"/>
                      <w:lang w:val="es-ES_tradnl"/>
                    </w:rPr>
                    <w:t>cuota_inicial</w:t>
                  </w:r>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{{cuo_init_letras}}</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827BF29" w:rsidR="003D1567" w:rsidRPr="003B5632" w:rsidRDefault="00AB564E" w:rsidP="00AB564E">
                  <w:pPr>
                    <w:pStyle w:val="Prrafodelista"/>
                    <w:ind w:left="391" w:hanging="278"/>
                    <w:jc w:val="both"/>
                    <w:rPr>
                      <w:rFonts w:eastAsia="Arial" w:cstheme="minorHAnsi"/>
                      <w:lang w:val="es-ES_tradnl"/>
                    </w:rPr>
                  </w:pPr>
                  <w:r>
                    <w:rPr>
                      <w:rFonts w:asciiTheme="minorHAnsi" w:eastAsia="Arial" w:hAnsiTheme="minorHAnsi" w:cstheme="minorHAnsi"/>
                      <w:lang w:val="es-ES_tradnl"/>
                    </w:rPr>
                    <w:t>{{</w:t>
                  </w:r>
                  <w:r w:rsidR="00046447">
                    <w:rPr>
                      <w:rFonts w:asciiTheme="minorHAnsi" w:eastAsia="Arial" w:hAnsiTheme="minorHAnsi" w:cstheme="minorHAnsi"/>
                      <w:lang w:val="es-ES_tradnl"/>
                    </w:rPr>
                    <w:t>vin</w:t>
                  </w:r>
                  <w:r>
                    <w:rPr>
                      <w:rFonts w:asciiTheme="minorHAnsi" w:eastAsia="Arial" w:hAnsiTheme="minorHAnsi" w:cstheme="minorHAnsi"/>
                      <w:lang w:val="es-ES_tradnl"/>
                    </w:rPr>
                    <w:t>}}</w:t>
                  </w:r>
                  <w:r w:rsidR="008C20EF" w:rsidRPr="003B5632">
                    <w:rPr>
                      <w:rFonts w:asciiTheme="minorHAnsi" w:eastAsia="Arial" w:hAnsiTheme="minorHAnsi" w:cstheme="minorHAnsi"/>
                      <w:lang w:val="es-ES_tradnl"/>
                    </w:rPr>
                    <w:t xml:space="preserve"> </w:t>
                  </w:r>
                  <w:r>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389273A0"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 xml:space="preserve">Lima, </w:t>
            </w:r>
            <w:r w:rsidR="004C7159">
              <w:rPr>
                <w:rFonts w:asciiTheme="minorHAnsi" w:eastAsia="Verdana" w:hAnsiTheme="minorHAnsi" w:cstheme="minorHAnsi"/>
                <w:color w:val="000000"/>
              </w:rPr>
              <w:t>{{day}}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184C0CC4" w:rsidR="004C7159" w:rsidRPr="00174B07" w:rsidRDefault="0044377B" w:rsidP="004C7159">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431EBDD" w:rsidR="0044377B" w:rsidRPr="00174B07" w:rsidRDefault="00061F5C"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50893A09"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061F5C">
                    <w:rPr>
                      <w:rFonts w:asciiTheme="minorHAnsi" w:hAnsiTheme="minorHAnsi" w:cstheme="minorHAnsi"/>
                    </w:rPr>
                    <w:t>{{dni_1}}</w:t>
                  </w:r>
                </w:p>
                <w:p w14:paraId="0B25A9EF" w14:textId="77777777" w:rsidR="0044377B" w:rsidRPr="00174B07" w:rsidRDefault="0044377B" w:rsidP="0044377B">
                  <w:pPr>
                    <w:pStyle w:val="TableParagraph"/>
                    <w:jc w:val="center"/>
                    <w:rPr>
                      <w:rFonts w:asciiTheme="minorHAnsi" w:hAnsiTheme="minorHAnsi" w:cstheme="minorHAnsi"/>
                    </w:rPr>
                  </w:pPr>
                </w:p>
                <w:p w14:paraId="76E8C611" w14:textId="77777777" w:rsidR="0044377B" w:rsidRDefault="0044377B" w:rsidP="0044377B">
                  <w:pPr>
                    <w:pStyle w:val="TableParagraph"/>
                    <w:jc w:val="center"/>
                    <w:rPr>
                      <w:rFonts w:asciiTheme="minorHAnsi" w:hAnsiTheme="minorHAnsi" w:cstheme="minorHAnsi"/>
                      <w:b/>
                    </w:rPr>
                  </w:pPr>
                </w:p>
                <w:p w14:paraId="1C003BEC" w14:textId="77777777" w:rsidR="00EC4FFB" w:rsidRDefault="00EC4FFB" w:rsidP="0044377B">
                  <w:pPr>
                    <w:pStyle w:val="TableParagraph"/>
                    <w:jc w:val="center"/>
                    <w:rPr>
                      <w:rFonts w:asciiTheme="minorHAnsi" w:hAnsiTheme="minorHAnsi" w:cstheme="minorHAnsi"/>
                      <w:b/>
                    </w:rPr>
                  </w:pPr>
                  <w:r>
                    <w:rPr>
                      <w:rFonts w:asciiTheme="minorHAnsi" w:hAnsiTheme="minorHAnsi" w:cstheme="minorHAnsi"/>
                      <w:b/>
                    </w:rPr>
                    <w:t>________________________________________</w:t>
                  </w:r>
                </w:p>
                <w:p w14:paraId="76089786" w14:textId="77777777" w:rsidR="00EC4FFB" w:rsidRDefault="00EC4FFB" w:rsidP="0044377B">
                  <w:pPr>
                    <w:pStyle w:val="TableParagraph"/>
                    <w:jc w:val="center"/>
                    <w:rPr>
                      <w:rFonts w:asciiTheme="minorHAnsi" w:hAnsiTheme="minorHAnsi" w:cstheme="minorHAnsi"/>
                      <w:b/>
                    </w:rPr>
                  </w:pPr>
                  <w:r>
                    <w:rPr>
                      <w:rFonts w:asciiTheme="minorHAnsi" w:hAnsiTheme="minorHAnsi" w:cstheme="minorHAnsi"/>
                      <w:b/>
                    </w:rPr>
                    <w:t>{{name_2}}</w:t>
                  </w:r>
                </w:p>
                <w:p w14:paraId="3EF4E2B5" w14:textId="4B860C89" w:rsidR="00EC4FFB" w:rsidRPr="00174B07" w:rsidRDefault="00EC4FFB" w:rsidP="0044377B">
                  <w:pPr>
                    <w:pStyle w:val="TableParagraph"/>
                    <w:jc w:val="center"/>
                    <w:rPr>
                      <w:rFonts w:asciiTheme="minorHAnsi" w:hAnsiTheme="minorHAnsi" w:cstheme="minorHAnsi"/>
                      <w:b/>
                    </w:rPr>
                  </w:pPr>
                  <w:r>
                    <w:rPr>
                      <w:rFonts w:asciiTheme="minorHAnsi" w:hAnsiTheme="minorHAnsi" w:cstheme="minorHAnsi"/>
                      <w:b/>
                    </w:rPr>
                    <w:t>DNI N° {{dni_2}}</w:t>
                  </w: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1C99B908"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r w:rsidR="00B7712D">
        <w:rPr>
          <w:rFonts w:eastAsia="Verdana" w:cstheme="minorHAnsi"/>
          <w:bCs/>
          <w:color w:val="000000"/>
        </w:rPr>
        <w:tab/>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1923FFEC"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w:t>
      </w:r>
      <w:r w:rsidR="00DE3F5D">
        <w:rPr>
          <w:rFonts w:eastAsia="Verdana" w:cstheme="minorHAnsi"/>
          <w:color w:val="000000"/>
          <w:spacing w:val="-2"/>
        </w:rPr>
        <w:t xml:space="preserve"> </w:t>
      </w:r>
      <w:r w:rsidR="00652FD5">
        <w:rPr>
          <w:rFonts w:eastAsia="Verdana" w:cstheme="minorHAnsi"/>
          <w:color w:val="000000"/>
          <w:spacing w:val="-2"/>
        </w:rPr>
        <w:t>${precio_venta}</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00E3745C"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652FD5">
        <w:rPr>
          <w:rFonts w:eastAsia="Verdana" w:cstheme="minorHAnsi"/>
          <w:color w:val="000000"/>
          <w:spacing w:val="-2"/>
        </w:rPr>
        <w:t>${cuota_</w:t>
      </w:r>
      <w:r w:rsidR="00860084">
        <w:rPr>
          <w:rFonts w:eastAsia="Verdana" w:cstheme="minorHAnsi"/>
          <w:color w:val="000000"/>
          <w:spacing w:val="-2"/>
        </w:rPr>
        <w:t>armada</w:t>
      </w:r>
      <w:r w:rsidR="00652FD5">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0A66214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652FD5">
        <w:rPr>
          <w:rFonts w:eastAsia="Verdana" w:cstheme="minorHAnsi"/>
          <w:color w:val="000000"/>
          <w:spacing w:val="-2"/>
        </w:rPr>
        <w:t>${saldo_financiado}</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7C0A75C7"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Monto de intereses, gasto administrativo e ITF</w:t>
      </w:r>
      <w:r w:rsidRPr="005531C8">
        <w:rPr>
          <w:rFonts w:eastAsia="Verdana"/>
          <w:color w:val="000000"/>
          <w:lang w:val="pt-BR"/>
        </w:rPr>
        <w:t xml:space="preserve">: US$ </w:t>
      </w:r>
      <w:r w:rsidR="00652FD5">
        <w:rPr>
          <w:rFonts w:eastAsia="Verdana"/>
          <w:color w:val="000000"/>
          <w:spacing w:val="-2"/>
          <w:lang w:val="pt-BR"/>
        </w:rPr>
        <w:t>${gasto_administrativo}</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385549C1"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652FD5">
        <w:rPr>
          <w:rFonts w:eastAsia="Verdana" w:cstheme="minorHAnsi"/>
          <w:color w:val="000000"/>
          <w:spacing w:val="-2"/>
        </w:rPr>
        <w:t>${precio_credito}</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045C49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652FD5">
        <w:rPr>
          <w:rFonts w:eastAsia="Verdana" w:cstheme="minorHAnsi"/>
          <w:color w:val="000000"/>
          <w:spacing w:val="-2"/>
        </w:rPr>
        <w:t>${tcea}</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6FB0631C"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652FD5">
        <w:rPr>
          <w:rFonts w:eastAsia="Verdana" w:cstheme="minorHAnsi"/>
          <w:color w:val="000000"/>
          <w:spacing w:val="-2"/>
        </w:rPr>
        <w:t>${numero_cuotas}</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415327FA"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652FD5">
        <w:rPr>
          <w:rFonts w:eastAsia="Verdana" w:cstheme="minorHAnsi"/>
          <w:color w:val="000000"/>
          <w:spacing w:val="-2"/>
        </w:rPr>
        <w:t>${cuota_mensual}</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N.°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l Comprador se le proporcionará oportunamente un 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N.°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xml:space="preserve">, así </w:t>
      </w:r>
      <w:r w:rsidRPr="006C22ED">
        <w:rPr>
          <w:rFonts w:eastAsia="PMingLiU" w:cstheme="minorHAnsi"/>
          <w:spacing w:val="-3"/>
        </w:rPr>
        <w:lastRenderedPageBreak/>
        <w:t>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{{day}} de {{month}} de {{year}}.</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62970A54"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EC4FFB">
        <w:rPr>
          <w:rFonts w:eastAsia="Verdana" w:cstheme="minorHAnsi"/>
          <w:b/>
          <w:color w:val="000000"/>
          <w:spacing w:val="-1"/>
        </w:rPr>
        <w:t xml:space="preserve">             </w:t>
      </w:r>
      <w:r w:rsidR="004C7159">
        <w:rPr>
          <w:rFonts w:eastAsia="Verdana" w:cstheme="minorHAnsi"/>
          <w:b/>
          <w:color w:val="000000"/>
          <w:spacing w:val="-1"/>
        </w:rPr>
        <w:t>{{name_1}}</w:t>
      </w:r>
    </w:p>
    <w:p w14:paraId="682ED461" w14:textId="577429BB"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N° </w:t>
      </w:r>
      <w:r w:rsidR="00652FD5">
        <w:rPr>
          <w:rFonts w:eastAsia="Verdana" w:cstheme="minorHAnsi"/>
          <w:b/>
          <w:bCs/>
          <w:color w:val="000000"/>
          <w:spacing w:val="-1"/>
        </w:rPr>
        <w:t>{{</w:t>
      </w:r>
      <w:r w:rsidR="00652FD5">
        <w:rPr>
          <w:rFonts w:eastAsia="Verdana" w:cstheme="minorHAnsi"/>
          <w:b/>
          <w:bCs/>
          <w:color w:val="000000"/>
          <w:spacing w:val="-2"/>
        </w:rPr>
        <w:t>dni_1</w:t>
      </w:r>
      <w:r w:rsidR="00652FD5">
        <w:rPr>
          <w:rFonts w:eastAsia="Verdana" w:cstheme="minorHAnsi"/>
          <w:b/>
          <w:bCs/>
          <w:color w:val="000000"/>
          <w:spacing w:val="-1"/>
        </w:rPr>
        <w:t>}}</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6079FEA8" w:rsidR="003D1567" w:rsidRDefault="00BC35C6" w:rsidP="00BC35C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 xml:space="preserve"> INMOBILIARIA DUNAS DE ASIA S.A.C.</w:t>
      </w:r>
      <w:r w:rsidR="00EC4FFB">
        <w:rPr>
          <w:rFonts w:eastAsia="Verdana" w:cstheme="minorHAnsi"/>
          <w:b/>
          <w:bCs/>
          <w:color w:val="000000"/>
          <w:spacing w:val="-1"/>
        </w:rPr>
        <w:tab/>
      </w:r>
      <w:r w:rsidR="00EC4FFB">
        <w:rPr>
          <w:rFonts w:eastAsia="Verdana" w:cstheme="minorHAnsi"/>
          <w:b/>
          <w:bCs/>
          <w:color w:val="000000"/>
          <w:spacing w:val="-1"/>
        </w:rPr>
        <w:tab/>
        <w:t>__________________________________________</w:t>
      </w:r>
    </w:p>
    <w:p w14:paraId="40B84AA9" w14:textId="5EE44101" w:rsidR="00EC4FFB" w:rsidRDefault="00EC4FFB" w:rsidP="00BC35C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t xml:space="preserve">     {{name_2}}</w:t>
      </w:r>
    </w:p>
    <w:p w14:paraId="271887E2" w14:textId="759EA7C4" w:rsidR="00EC4FFB" w:rsidRDefault="00EC4FFB" w:rsidP="00BC35C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t xml:space="preserve">  DNI N° {{dni_2}}</w:t>
      </w:r>
    </w:p>
    <w:p w14:paraId="606D69A0" w14:textId="77777777" w:rsidR="00EC4FFB" w:rsidRPr="00BC35C6" w:rsidRDefault="00EC4FFB" w:rsidP="00EC4FFB">
      <w:pPr>
        <w:spacing w:before="8" w:after="220"/>
        <w:contextualSpacing/>
        <w:textAlignment w:val="baseline"/>
        <w:rPr>
          <w:rFonts w:eastAsia="Verdana" w:cstheme="minorHAnsi"/>
          <w:b/>
          <w:color w:val="000000"/>
          <w:spacing w:val="-1"/>
        </w:rPr>
      </w:pPr>
    </w:p>
    <w:sectPr w:rsidR="00EC4FFB" w:rsidRPr="00BC35C6" w:rsidSect="00EC4FFB">
      <w:headerReference w:type="default" r:id="rId11"/>
      <w:footerReference w:type="default" r:id="rId12"/>
      <w:pgSz w:w="11904" w:h="16824"/>
      <w:pgMar w:top="1843" w:right="1080" w:bottom="709"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5A753" w14:textId="77777777" w:rsidR="00F552FB" w:rsidRDefault="00F552FB">
      <w:pPr>
        <w:spacing w:after="0" w:line="240" w:lineRule="auto"/>
      </w:pPr>
      <w:r>
        <w:separator/>
      </w:r>
    </w:p>
  </w:endnote>
  <w:endnote w:type="continuationSeparator" w:id="0">
    <w:p w14:paraId="743EAE7B" w14:textId="77777777" w:rsidR="00F552FB" w:rsidRDefault="00F552FB">
      <w:pPr>
        <w:spacing w:after="0" w:line="240" w:lineRule="auto"/>
      </w:pPr>
      <w:r>
        <w:continuationSeparator/>
      </w:r>
    </w:p>
  </w:endnote>
  <w:endnote w:type="continuationNotice" w:id="1">
    <w:p w14:paraId="7B6CC34C" w14:textId="77777777" w:rsidR="00F552FB" w:rsidRDefault="00F552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21C48" w14:textId="77777777" w:rsidR="00F552FB" w:rsidRDefault="00F552FB">
      <w:pPr>
        <w:spacing w:after="0" w:line="240" w:lineRule="auto"/>
      </w:pPr>
      <w:r>
        <w:separator/>
      </w:r>
    </w:p>
  </w:footnote>
  <w:footnote w:type="continuationSeparator" w:id="0">
    <w:p w14:paraId="02F3D289" w14:textId="77777777" w:rsidR="00F552FB" w:rsidRDefault="00F552FB">
      <w:pPr>
        <w:spacing w:after="0" w:line="240" w:lineRule="auto"/>
      </w:pPr>
      <w:r>
        <w:continuationSeparator/>
      </w:r>
    </w:p>
  </w:footnote>
  <w:footnote w:type="continuationNotice" w:id="1">
    <w:p w14:paraId="6592BD00" w14:textId="77777777" w:rsidR="00F552FB" w:rsidRDefault="00F552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130149888" name="Imagen 130149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17CEA"/>
    <w:rsid w:val="0002246A"/>
    <w:rsid w:val="00026419"/>
    <w:rsid w:val="00034785"/>
    <w:rsid w:val="00036A7D"/>
    <w:rsid w:val="000409B1"/>
    <w:rsid w:val="00040E19"/>
    <w:rsid w:val="0004120C"/>
    <w:rsid w:val="00046447"/>
    <w:rsid w:val="000464DA"/>
    <w:rsid w:val="00046E3A"/>
    <w:rsid w:val="000477E2"/>
    <w:rsid w:val="00047C65"/>
    <w:rsid w:val="000519F1"/>
    <w:rsid w:val="00055EC4"/>
    <w:rsid w:val="00061F5C"/>
    <w:rsid w:val="00080CE1"/>
    <w:rsid w:val="00093CC5"/>
    <w:rsid w:val="00095F38"/>
    <w:rsid w:val="000A0CAA"/>
    <w:rsid w:val="000B2263"/>
    <w:rsid w:val="000C1C4B"/>
    <w:rsid w:val="000C4A2B"/>
    <w:rsid w:val="000D22F1"/>
    <w:rsid w:val="000D7ECD"/>
    <w:rsid w:val="000E5180"/>
    <w:rsid w:val="000E749D"/>
    <w:rsid w:val="000F0E1E"/>
    <w:rsid w:val="000F3CB3"/>
    <w:rsid w:val="00102481"/>
    <w:rsid w:val="001040A4"/>
    <w:rsid w:val="001062E4"/>
    <w:rsid w:val="00112864"/>
    <w:rsid w:val="0013143C"/>
    <w:rsid w:val="0013187E"/>
    <w:rsid w:val="00132E74"/>
    <w:rsid w:val="00136E07"/>
    <w:rsid w:val="00143466"/>
    <w:rsid w:val="0014752F"/>
    <w:rsid w:val="00151CB3"/>
    <w:rsid w:val="0015568E"/>
    <w:rsid w:val="00155B05"/>
    <w:rsid w:val="00163EB4"/>
    <w:rsid w:val="00166E38"/>
    <w:rsid w:val="0016727A"/>
    <w:rsid w:val="00171756"/>
    <w:rsid w:val="001752FB"/>
    <w:rsid w:val="001763D6"/>
    <w:rsid w:val="00180048"/>
    <w:rsid w:val="001860DB"/>
    <w:rsid w:val="001975A5"/>
    <w:rsid w:val="00197A4A"/>
    <w:rsid w:val="001A1AD6"/>
    <w:rsid w:val="001B0E95"/>
    <w:rsid w:val="001C1C6D"/>
    <w:rsid w:val="001D0FCF"/>
    <w:rsid w:val="001D7930"/>
    <w:rsid w:val="001D7C67"/>
    <w:rsid w:val="001E0184"/>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090"/>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0D0E"/>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134F0"/>
    <w:rsid w:val="004224F9"/>
    <w:rsid w:val="00424803"/>
    <w:rsid w:val="0043324B"/>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C7159"/>
    <w:rsid w:val="004D1B2B"/>
    <w:rsid w:val="004D4619"/>
    <w:rsid w:val="004D7989"/>
    <w:rsid w:val="004E590C"/>
    <w:rsid w:val="004F018C"/>
    <w:rsid w:val="004F1F47"/>
    <w:rsid w:val="004F3945"/>
    <w:rsid w:val="00503067"/>
    <w:rsid w:val="00504C6A"/>
    <w:rsid w:val="005059F5"/>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2FD5"/>
    <w:rsid w:val="0065320A"/>
    <w:rsid w:val="006556DB"/>
    <w:rsid w:val="006568EF"/>
    <w:rsid w:val="0066659A"/>
    <w:rsid w:val="00685CC7"/>
    <w:rsid w:val="00686560"/>
    <w:rsid w:val="006A18CA"/>
    <w:rsid w:val="006A3E38"/>
    <w:rsid w:val="006B25B2"/>
    <w:rsid w:val="006B3219"/>
    <w:rsid w:val="006B7492"/>
    <w:rsid w:val="006B7AC1"/>
    <w:rsid w:val="006C1794"/>
    <w:rsid w:val="006C7D38"/>
    <w:rsid w:val="006E47CC"/>
    <w:rsid w:val="006E5BE1"/>
    <w:rsid w:val="006F12D0"/>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0084"/>
    <w:rsid w:val="00861E6F"/>
    <w:rsid w:val="00862D4D"/>
    <w:rsid w:val="008717A2"/>
    <w:rsid w:val="00876941"/>
    <w:rsid w:val="008770AF"/>
    <w:rsid w:val="00880C50"/>
    <w:rsid w:val="00886DA7"/>
    <w:rsid w:val="008904C4"/>
    <w:rsid w:val="0089380C"/>
    <w:rsid w:val="008942DE"/>
    <w:rsid w:val="008A1AA1"/>
    <w:rsid w:val="008B184D"/>
    <w:rsid w:val="008B68B5"/>
    <w:rsid w:val="008C20EF"/>
    <w:rsid w:val="008D749F"/>
    <w:rsid w:val="008E048C"/>
    <w:rsid w:val="008E55DD"/>
    <w:rsid w:val="008E66E0"/>
    <w:rsid w:val="008E7920"/>
    <w:rsid w:val="008E7D3E"/>
    <w:rsid w:val="008F1CDA"/>
    <w:rsid w:val="008F2B58"/>
    <w:rsid w:val="008F46EE"/>
    <w:rsid w:val="008F6900"/>
    <w:rsid w:val="00905C8F"/>
    <w:rsid w:val="00913D6F"/>
    <w:rsid w:val="0091744B"/>
    <w:rsid w:val="009176F6"/>
    <w:rsid w:val="00930EE3"/>
    <w:rsid w:val="00936639"/>
    <w:rsid w:val="00940FD5"/>
    <w:rsid w:val="00945151"/>
    <w:rsid w:val="00945290"/>
    <w:rsid w:val="009564F3"/>
    <w:rsid w:val="0095721D"/>
    <w:rsid w:val="009600B9"/>
    <w:rsid w:val="009602DD"/>
    <w:rsid w:val="00960A10"/>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19DD"/>
    <w:rsid w:val="00A766D2"/>
    <w:rsid w:val="00A77064"/>
    <w:rsid w:val="00A81A9F"/>
    <w:rsid w:val="00A96226"/>
    <w:rsid w:val="00A967F5"/>
    <w:rsid w:val="00A9758E"/>
    <w:rsid w:val="00AA753C"/>
    <w:rsid w:val="00AB18F1"/>
    <w:rsid w:val="00AB564E"/>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263AD"/>
    <w:rsid w:val="00C342E6"/>
    <w:rsid w:val="00C355FE"/>
    <w:rsid w:val="00C37EAD"/>
    <w:rsid w:val="00C4075E"/>
    <w:rsid w:val="00C47C1D"/>
    <w:rsid w:val="00C5206C"/>
    <w:rsid w:val="00C52A4E"/>
    <w:rsid w:val="00C52B42"/>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0D50"/>
    <w:rsid w:val="00D51964"/>
    <w:rsid w:val="00D5502F"/>
    <w:rsid w:val="00D66A72"/>
    <w:rsid w:val="00D73C4D"/>
    <w:rsid w:val="00D775FE"/>
    <w:rsid w:val="00D77F37"/>
    <w:rsid w:val="00D81F5C"/>
    <w:rsid w:val="00D8289E"/>
    <w:rsid w:val="00D921CD"/>
    <w:rsid w:val="00D93282"/>
    <w:rsid w:val="00DB343D"/>
    <w:rsid w:val="00DB3C8C"/>
    <w:rsid w:val="00DC0360"/>
    <w:rsid w:val="00DC6710"/>
    <w:rsid w:val="00DD152C"/>
    <w:rsid w:val="00DE3F5D"/>
    <w:rsid w:val="00DE47ED"/>
    <w:rsid w:val="00DF0044"/>
    <w:rsid w:val="00DF2872"/>
    <w:rsid w:val="00E001B6"/>
    <w:rsid w:val="00E0144A"/>
    <w:rsid w:val="00E11952"/>
    <w:rsid w:val="00E127AD"/>
    <w:rsid w:val="00E1598D"/>
    <w:rsid w:val="00E21FA6"/>
    <w:rsid w:val="00E2623C"/>
    <w:rsid w:val="00E2716B"/>
    <w:rsid w:val="00E30B6D"/>
    <w:rsid w:val="00E34156"/>
    <w:rsid w:val="00E40CDA"/>
    <w:rsid w:val="00E40E2B"/>
    <w:rsid w:val="00E4106E"/>
    <w:rsid w:val="00E57CEA"/>
    <w:rsid w:val="00E80C15"/>
    <w:rsid w:val="00E9399E"/>
    <w:rsid w:val="00EA46D5"/>
    <w:rsid w:val="00EA66EB"/>
    <w:rsid w:val="00EB7370"/>
    <w:rsid w:val="00EC1B31"/>
    <w:rsid w:val="00EC21C4"/>
    <w:rsid w:val="00EC4FFB"/>
    <w:rsid w:val="00EC733E"/>
    <w:rsid w:val="00ED6E2F"/>
    <w:rsid w:val="00EE3ACB"/>
    <w:rsid w:val="00EE3E01"/>
    <w:rsid w:val="00EF1455"/>
    <w:rsid w:val="00EF2ED8"/>
    <w:rsid w:val="00EF4D7C"/>
    <w:rsid w:val="00F00D80"/>
    <w:rsid w:val="00F1068B"/>
    <w:rsid w:val="00F22BEF"/>
    <w:rsid w:val="00F345E7"/>
    <w:rsid w:val="00F34CA4"/>
    <w:rsid w:val="00F40301"/>
    <w:rsid w:val="00F529B2"/>
    <w:rsid w:val="00F5314E"/>
    <w:rsid w:val="00F552FB"/>
    <w:rsid w:val="00F56096"/>
    <w:rsid w:val="00F634F9"/>
    <w:rsid w:val="00F646ED"/>
    <w:rsid w:val="00F666C2"/>
    <w:rsid w:val="00F679DD"/>
    <w:rsid w:val="00F70288"/>
    <w:rsid w:val="00F7264B"/>
    <w:rsid w:val="00F74040"/>
    <w:rsid w:val="00F81BDF"/>
    <w:rsid w:val="00F81F50"/>
    <w:rsid w:val="00F8598E"/>
    <w:rsid w:val="00F87315"/>
    <w:rsid w:val="00F92B77"/>
    <w:rsid w:val="00F94FC3"/>
    <w:rsid w:val="00F95ED1"/>
    <w:rsid w:val="00FA0E94"/>
    <w:rsid w:val="00FA2D8C"/>
    <w:rsid w:val="00FA6A85"/>
    <w:rsid w:val="00FA6E64"/>
    <w:rsid w:val="00FB15B3"/>
    <w:rsid w:val="00FB2F77"/>
    <w:rsid w:val="00FB4F83"/>
    <w:rsid w:val="00FC3195"/>
    <w:rsid w:val="00FD1404"/>
    <w:rsid w:val="00FE5719"/>
    <w:rsid w:val="00FE5A65"/>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1099">
      <w:bodyDiv w:val="1"/>
      <w:marLeft w:val="0"/>
      <w:marRight w:val="0"/>
      <w:marTop w:val="0"/>
      <w:marBottom w:val="0"/>
      <w:divBdr>
        <w:top w:val="none" w:sz="0" w:space="0" w:color="auto"/>
        <w:left w:val="none" w:sz="0" w:space="0" w:color="auto"/>
        <w:bottom w:val="none" w:sz="0" w:space="0" w:color="auto"/>
        <w:right w:val="none" w:sz="0" w:space="0" w:color="auto"/>
      </w:divBdr>
      <w:divsChild>
        <w:div w:id="137384142">
          <w:marLeft w:val="0"/>
          <w:marRight w:val="0"/>
          <w:marTop w:val="0"/>
          <w:marBottom w:val="0"/>
          <w:divBdr>
            <w:top w:val="none" w:sz="0" w:space="0" w:color="auto"/>
            <w:left w:val="none" w:sz="0" w:space="0" w:color="auto"/>
            <w:bottom w:val="none" w:sz="0" w:space="0" w:color="auto"/>
            <w:right w:val="none" w:sz="0" w:space="0" w:color="auto"/>
          </w:divBdr>
          <w:divsChild>
            <w:div w:id="6201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369450177">
      <w:bodyDiv w:val="1"/>
      <w:marLeft w:val="0"/>
      <w:marRight w:val="0"/>
      <w:marTop w:val="0"/>
      <w:marBottom w:val="0"/>
      <w:divBdr>
        <w:top w:val="none" w:sz="0" w:space="0" w:color="auto"/>
        <w:left w:val="none" w:sz="0" w:space="0" w:color="auto"/>
        <w:bottom w:val="none" w:sz="0" w:space="0" w:color="auto"/>
        <w:right w:val="none" w:sz="0" w:space="0" w:color="auto"/>
      </w:divBdr>
      <w:divsChild>
        <w:div w:id="2080666587">
          <w:marLeft w:val="0"/>
          <w:marRight w:val="0"/>
          <w:marTop w:val="0"/>
          <w:marBottom w:val="0"/>
          <w:divBdr>
            <w:top w:val="none" w:sz="0" w:space="0" w:color="auto"/>
            <w:left w:val="none" w:sz="0" w:space="0" w:color="auto"/>
            <w:bottom w:val="none" w:sz="0" w:space="0" w:color="auto"/>
            <w:right w:val="none" w:sz="0" w:space="0" w:color="auto"/>
          </w:divBdr>
          <w:divsChild>
            <w:div w:id="16868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3.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4.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19</Pages>
  <Words>7867</Words>
  <Characters>43273</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33</cp:revision>
  <cp:lastPrinted>2023-02-28T22:29:00Z</cp:lastPrinted>
  <dcterms:created xsi:type="dcterms:W3CDTF">2024-11-07T17:18:00Z</dcterms:created>
  <dcterms:modified xsi:type="dcterms:W3CDTF">2025-02-11T18:24:00Z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