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F4FC39">
      <w:pPr>
        <w:widowControl/>
        <w:spacing w:before="1560" w:beforeLines="500" w:after="312" w:afterLines="100" w:line="312" w:lineRule="auto"/>
        <w:jc w:val="center"/>
        <w:textAlignment w:val="center"/>
        <w:outlineLvl w:val="9"/>
        <w:rPr>
          <w:rFonts w:ascii="Arial" w:hAnsi="Arial" w:eastAsia="黑体" w:cs="Times New Roman"/>
          <w:b/>
          <w:kern w:val="0"/>
          <w:sz w:val="24"/>
          <w:szCs w:val="44"/>
        </w:rPr>
      </w:pPr>
      <w:r>
        <w:rPr>
          <w:rFonts w:ascii="Arial" w:hAnsi="Arial" w:eastAsia="黑体" w:cs="Times New Roman"/>
          <w:b/>
          <w:kern w:val="0"/>
          <w:sz w:val="44"/>
          <w:szCs w:val="44"/>
        </w:rPr>
        <w:drawing>
          <wp:inline distT="0" distB="0" distL="0" distR="0">
            <wp:extent cx="2442210" cy="667385"/>
            <wp:effectExtent l="0" t="0" r="0" b="0"/>
            <wp:docPr id="5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2210" cy="66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CD559">
      <w:pPr>
        <w:widowControl/>
        <w:spacing w:before="624" w:beforeLines="200" w:line="312" w:lineRule="auto"/>
        <w:jc w:val="center"/>
        <w:textAlignment w:val="center"/>
        <w:rPr>
          <w:rFonts w:hint="eastAsia" w:ascii="宋体" w:hAnsi="宋体" w:eastAsia="宋体" w:cs="Times New Roman"/>
          <w:b/>
          <w:kern w:val="0"/>
          <w:sz w:val="36"/>
          <w:szCs w:val="36"/>
        </w:rPr>
      </w:pPr>
      <w:r>
        <w:rPr>
          <w:rFonts w:ascii="宋体" w:hAnsi="宋体" w:eastAsia="宋体" w:cs="Times New Roman"/>
          <w:b/>
          <w:kern w:val="0"/>
          <w:sz w:val="36"/>
          <w:szCs w:val="36"/>
        </w:rPr>
        <w:drawing>
          <wp:inline distT="0" distB="0" distL="0" distR="0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18B7A">
      <w:pPr>
        <w:widowControl/>
        <w:spacing w:before="624" w:beforeLines="200" w:after="312" w:afterLines="100" w:line="312" w:lineRule="auto"/>
        <w:jc w:val="center"/>
        <w:textAlignment w:val="center"/>
        <w:rPr>
          <w:rFonts w:hint="eastAsia" w:ascii="楷体" w:hAnsi="楷体" w:eastAsia="楷体" w:cs="Times New Roman"/>
          <w:b/>
          <w:kern w:val="0"/>
          <w:sz w:val="52"/>
          <w:szCs w:val="28"/>
        </w:rPr>
      </w:pPr>
      <w:r>
        <w:rPr>
          <w:rFonts w:hint="eastAsia" w:ascii="楷体" w:hAnsi="楷体" w:eastAsia="楷体" w:cs="Times New Roman"/>
          <w:b/>
          <w:kern w:val="0"/>
          <w:sz w:val="52"/>
          <w:szCs w:val="28"/>
        </w:rPr>
        <w:t>信息学院软件工程系</w:t>
      </w:r>
    </w:p>
    <w:p w14:paraId="0A20A07D">
      <w:pPr>
        <w:widowControl/>
        <w:spacing w:before="624" w:beforeLines="200" w:after="312" w:afterLines="100" w:line="312" w:lineRule="auto"/>
        <w:jc w:val="center"/>
        <w:textAlignment w:val="center"/>
        <w:rPr>
          <w:rFonts w:ascii="Times New Roman" w:hAnsi="Times New Roman" w:eastAsia="宋体" w:cs="Times New Roman"/>
          <w:b/>
          <w:kern w:val="0"/>
          <w:sz w:val="40"/>
          <w:szCs w:val="30"/>
        </w:rPr>
      </w:pPr>
      <w:r>
        <w:rPr>
          <w:rFonts w:hint="eastAsia" w:ascii="Times New Roman" w:hAnsi="Times New Roman" w:eastAsia="宋体" w:cs="Times New Roman"/>
          <w:b/>
          <w:kern w:val="0"/>
          <w:sz w:val="40"/>
          <w:szCs w:val="30"/>
        </w:rPr>
        <w:t>《面向对象分析与设计》</w:t>
      </w:r>
    </w:p>
    <w:p w14:paraId="37370001">
      <w:pPr>
        <w:widowControl/>
        <w:spacing w:before="624" w:beforeLines="200" w:after="312" w:afterLines="100" w:line="312" w:lineRule="auto"/>
        <w:jc w:val="center"/>
        <w:textAlignment w:val="center"/>
        <w:outlineLvl w:val="0"/>
        <w:rPr>
          <w:rFonts w:hint="eastAsia" w:ascii="Times New Roman" w:hAnsi="Times New Roman" w:eastAsia="宋体" w:cs="Times New Roman"/>
          <w:b/>
          <w:kern w:val="0"/>
          <w:sz w:val="40"/>
          <w:szCs w:val="30"/>
        </w:rPr>
      </w:pPr>
      <w:bookmarkStart w:id="0" w:name="_Toc28734"/>
      <w:r>
        <w:rPr>
          <w:rFonts w:hint="eastAsia" w:ascii="Times New Roman" w:hAnsi="Times New Roman" w:eastAsia="宋体" w:cs="Times New Roman"/>
          <w:b/>
          <w:kern w:val="0"/>
          <w:sz w:val="40"/>
          <w:szCs w:val="30"/>
        </w:rPr>
        <w:t>售后及服务部分的需求分析</w:t>
      </w:r>
      <w:bookmarkEnd w:id="0"/>
    </w:p>
    <w:p w14:paraId="70BCAD78">
      <w:pPr>
        <w:widowControl/>
        <w:tabs>
          <w:tab w:val="left" w:pos="6329"/>
        </w:tabs>
        <w:spacing w:before="120" w:after="120" w:line="360" w:lineRule="auto"/>
        <w:jc w:val="center"/>
        <w:textAlignment w:val="center"/>
        <w:rPr>
          <w:rFonts w:ascii="Times New Roman" w:hAnsi="Times New Roman" w:eastAsia="宋体" w:cs="Times New Roman"/>
          <w:b/>
          <w:kern w:val="0"/>
          <w:sz w:val="30"/>
          <w:szCs w:val="30"/>
        </w:rPr>
      </w:pPr>
    </w:p>
    <w:p w14:paraId="29D49794">
      <w:pPr>
        <w:widowControl/>
        <w:tabs>
          <w:tab w:val="left" w:pos="6329"/>
        </w:tabs>
        <w:spacing w:before="120" w:after="120" w:line="360" w:lineRule="auto"/>
        <w:jc w:val="center"/>
        <w:textAlignment w:val="center"/>
        <w:outlineLvl w:val="0"/>
        <w:rPr>
          <w:rFonts w:ascii="Times New Roman" w:hAnsi="Times New Roman" w:eastAsia="宋体" w:cs="Times New Roman"/>
          <w:b/>
          <w:kern w:val="0"/>
          <w:sz w:val="40"/>
          <w:szCs w:val="30"/>
        </w:rPr>
      </w:pPr>
      <w:bookmarkStart w:id="1" w:name="_Toc19860"/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</w:rPr>
        <w:t>组别：3-9 飞行日记</w:t>
      </w:r>
      <w:bookmarkEnd w:id="1"/>
    </w:p>
    <w:p w14:paraId="5BC7CDD9">
      <w:pPr>
        <w:widowControl/>
        <w:tabs>
          <w:tab w:val="left" w:pos="6329"/>
        </w:tabs>
        <w:spacing w:before="120" w:after="120" w:line="360" w:lineRule="auto"/>
        <w:jc w:val="center"/>
        <w:textAlignment w:val="center"/>
        <w:rPr>
          <w:rFonts w:ascii="Times New Roman" w:hAnsi="Times New Roman" w:eastAsia="宋体" w:cs="Times New Roman"/>
          <w:b/>
          <w:kern w:val="0"/>
          <w:sz w:val="30"/>
          <w:szCs w:val="30"/>
        </w:rPr>
      </w:pP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</w:rPr>
        <w:t>成员：金承浩、刘劲宏、刘予乐、李嘉豪、钟启恒</w:t>
      </w:r>
    </w:p>
    <w:p w14:paraId="1B30E9CE">
      <w:pPr>
        <w:widowControl/>
        <w:tabs>
          <w:tab w:val="left" w:pos="6329"/>
        </w:tabs>
        <w:spacing w:before="120" w:after="120" w:line="360" w:lineRule="auto"/>
        <w:jc w:val="center"/>
        <w:textAlignment w:val="center"/>
        <w:rPr>
          <w:rFonts w:ascii="Times New Roman" w:hAnsi="Times New Roman" w:eastAsia="宋体" w:cs="Times New Roman"/>
          <w:b/>
          <w:kern w:val="0"/>
          <w:sz w:val="30"/>
          <w:szCs w:val="30"/>
        </w:rPr>
      </w:pP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</w:rPr>
        <w:t>学院：信息学院</w:t>
      </w:r>
    </w:p>
    <w:p w14:paraId="13EFEDCA">
      <w:pPr>
        <w:widowControl/>
        <w:tabs>
          <w:tab w:val="left" w:pos="6329"/>
        </w:tabs>
        <w:spacing w:before="120" w:after="120" w:line="360" w:lineRule="auto"/>
        <w:jc w:val="center"/>
        <w:textAlignment w:val="center"/>
        <w:rPr>
          <w:rFonts w:hint="eastAsia" w:ascii="Times New Roman" w:hAnsi="Times New Roman" w:eastAsia="宋体" w:cs="Times New Roman"/>
          <w:b/>
          <w:kern w:val="0"/>
          <w:sz w:val="30"/>
          <w:szCs w:val="30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titlePg/>
          <w:docGrid w:type="lines" w:linePitch="312" w:charSpace="0"/>
        </w:sectPr>
      </w:pP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</w:rPr>
        <w:t>专业：软件工程</w:t>
      </w: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61768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="Times New Roman"/>
          <w:kern w:val="0"/>
          <w:sz w:val="21"/>
          <w:szCs w:val="30"/>
          <w:lang w:val="en-US" w:eastAsia="zh-CN" w:bidi="ar-SA"/>
        </w:rPr>
      </w:sdtEndPr>
      <w:sdtContent>
        <w:p w14:paraId="477C567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95F863A">
          <w:pPr>
            <w:pStyle w:val="14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0"/>
              <w:sz w:val="21"/>
              <w:szCs w:val="30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0"/>
              <w:sz w:val="21"/>
              <w:szCs w:val="30"/>
              <w:lang w:val="en-US" w:eastAsia="zh-CN" w:bidi="ar-SA"/>
            </w:rPr>
            <w:instrText xml:space="preserve">TOC \o "1-2" \h \u </w:instrText>
          </w:r>
          <w:r>
            <w:rPr>
              <w:rFonts w:hint="eastAsia" w:ascii="Times New Roman" w:hAnsi="Times New Roman" w:eastAsia="宋体" w:cs="Times New Roman"/>
              <w:kern w:val="0"/>
              <w:sz w:val="21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 w:cs="Times New Roman"/>
              <w:kern w:val="0"/>
              <w:szCs w:val="30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0"/>
              <w:szCs w:val="30"/>
              <w:lang w:val="en-US" w:eastAsia="zh-CN" w:bidi="ar-SA"/>
            </w:rPr>
            <w:instrText xml:space="preserve"> HYPERLINK \l _Toc25614 </w:instrText>
          </w:r>
          <w:r>
            <w:rPr>
              <w:rFonts w:hint="eastAsia" w:ascii="Times New Roman" w:hAnsi="Times New Roman" w:eastAsia="宋体" w:cs="Times New Roman"/>
              <w:kern w:val="0"/>
              <w:szCs w:val="30"/>
              <w:lang w:val="en-US" w:eastAsia="zh-CN" w:bidi="ar-SA"/>
            </w:rPr>
            <w:fldChar w:fldCharType="separate"/>
          </w:r>
          <w:r>
            <w:rPr>
              <w:rFonts w:hint="default" w:ascii="宋体" w:hAnsi="宋体" w:eastAsia="宋体"/>
              <w:bCs/>
              <w:szCs w:val="32"/>
            </w:rPr>
            <w:t xml:space="preserve">一、 </w:t>
          </w:r>
          <w:r>
            <w:rPr>
              <w:rFonts w:hint="eastAsia" w:ascii="宋体" w:hAnsi="宋体" w:eastAsia="宋体"/>
              <w:bCs/>
              <w:szCs w:val="32"/>
            </w:rPr>
            <w:t>用例图与用例模型</w:t>
          </w:r>
          <w:r>
            <w:tab/>
          </w:r>
          <w:r>
            <w:fldChar w:fldCharType="begin"/>
          </w:r>
          <w:r>
            <w:instrText xml:space="preserve"> PAGEREF _Toc25614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0"/>
              <w:szCs w:val="30"/>
              <w:lang w:val="en-US" w:eastAsia="zh-CN" w:bidi="ar-SA"/>
            </w:rPr>
            <w:fldChar w:fldCharType="end"/>
          </w:r>
        </w:p>
        <w:p w14:paraId="0CAC9478">
          <w:pPr>
            <w:pStyle w:val="14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0"/>
              <w:szCs w:val="30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0"/>
              <w:szCs w:val="30"/>
              <w:lang w:val="en-US" w:eastAsia="zh-CN" w:bidi="ar-SA"/>
            </w:rPr>
            <w:instrText xml:space="preserve"> HYPERLINK \l _Toc10399 </w:instrText>
          </w:r>
          <w:r>
            <w:rPr>
              <w:rFonts w:hint="eastAsia" w:ascii="Times New Roman" w:hAnsi="Times New Roman" w:eastAsia="宋体" w:cs="Times New Roman"/>
              <w:kern w:val="0"/>
              <w:szCs w:val="30"/>
              <w:lang w:val="en-US" w:eastAsia="zh-CN" w:bidi="ar-SA"/>
            </w:rPr>
            <w:fldChar w:fldCharType="separate"/>
          </w:r>
          <w:r>
            <w:rPr>
              <w:rFonts w:hint="default" w:ascii="宋体" w:hAnsi="宋体" w:eastAsia="宋体"/>
              <w:bCs/>
              <w:szCs w:val="32"/>
            </w:rPr>
            <w:t xml:space="preserve">二、 </w:t>
          </w:r>
          <w:r>
            <w:rPr>
              <w:rFonts w:hint="eastAsia" w:ascii="宋体" w:hAnsi="宋体" w:eastAsia="宋体"/>
              <w:bCs/>
              <w:szCs w:val="32"/>
            </w:rPr>
            <w:t>业务流程图</w:t>
          </w:r>
          <w:r>
            <w:tab/>
          </w:r>
          <w:r>
            <w:fldChar w:fldCharType="begin"/>
          </w:r>
          <w:r>
            <w:instrText xml:space="preserve"> PAGEREF _Toc10399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0"/>
              <w:szCs w:val="30"/>
              <w:lang w:val="en-US" w:eastAsia="zh-CN" w:bidi="ar-SA"/>
            </w:rPr>
            <w:fldChar w:fldCharType="end"/>
          </w:r>
        </w:p>
        <w:p w14:paraId="21E8A10C">
          <w:pPr>
            <w:pStyle w:val="14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0"/>
              <w:szCs w:val="30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0"/>
              <w:szCs w:val="30"/>
              <w:lang w:val="en-US" w:eastAsia="zh-CN" w:bidi="ar-SA"/>
            </w:rPr>
            <w:instrText xml:space="preserve"> HYPERLINK \l _Toc9845 </w:instrText>
          </w:r>
          <w:r>
            <w:rPr>
              <w:rFonts w:hint="eastAsia" w:ascii="Times New Roman" w:hAnsi="Times New Roman" w:eastAsia="宋体" w:cs="Times New Roman"/>
              <w:kern w:val="0"/>
              <w:szCs w:val="30"/>
              <w:lang w:val="en-US" w:eastAsia="zh-CN" w:bidi="ar-SA"/>
            </w:rPr>
            <w:fldChar w:fldCharType="separate"/>
          </w:r>
          <w:r>
            <w:rPr>
              <w:rFonts w:hint="default" w:ascii="宋体" w:hAnsi="宋体" w:eastAsia="宋体"/>
              <w:bCs/>
              <w:szCs w:val="32"/>
            </w:rPr>
            <w:t xml:space="preserve">三、 </w:t>
          </w:r>
          <w:r>
            <w:rPr>
              <w:rFonts w:hint="eastAsia" w:ascii="宋体" w:hAnsi="宋体" w:eastAsia="宋体"/>
              <w:bCs/>
              <w:szCs w:val="32"/>
            </w:rPr>
            <w:t>用例分析</w:t>
          </w:r>
          <w:r>
            <w:tab/>
          </w:r>
          <w:r>
            <w:fldChar w:fldCharType="begin"/>
          </w:r>
          <w:r>
            <w:instrText xml:space="preserve"> PAGEREF _Toc9845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0"/>
              <w:szCs w:val="30"/>
              <w:lang w:val="en-US" w:eastAsia="zh-CN" w:bidi="ar-SA"/>
            </w:rPr>
            <w:fldChar w:fldCharType="end"/>
          </w:r>
        </w:p>
        <w:p w14:paraId="3CB2EFE7">
          <w:pPr>
            <w:pStyle w:val="16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0"/>
              <w:szCs w:val="30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0"/>
              <w:szCs w:val="30"/>
              <w:lang w:val="en-US" w:eastAsia="zh-CN" w:bidi="ar-SA"/>
            </w:rPr>
            <w:instrText xml:space="preserve"> HYPERLINK \l _Toc16039 </w:instrText>
          </w:r>
          <w:r>
            <w:rPr>
              <w:rFonts w:hint="eastAsia" w:ascii="Times New Roman" w:hAnsi="Times New Roman" w:eastAsia="宋体" w:cs="Times New Roman"/>
              <w:kern w:val="0"/>
              <w:szCs w:val="30"/>
              <w:lang w:val="en-US" w:eastAsia="zh-CN" w:bidi="ar-SA"/>
            </w:rPr>
            <w:fldChar w:fldCharType="separate"/>
          </w:r>
          <w:r>
            <w:rPr>
              <w:rFonts w:hint="default" w:ascii="宋体" w:hAnsi="宋体" w:eastAsia="宋体"/>
              <w:bCs/>
              <w:szCs w:val="24"/>
            </w:rPr>
            <w:t xml:space="preserve">1. </w:t>
          </w:r>
          <w:r>
            <w:rPr>
              <w:rFonts w:hint="eastAsia" w:ascii="宋体" w:hAnsi="宋体" w:eastAsia="宋体"/>
              <w:bCs/>
              <w:szCs w:val="24"/>
            </w:rPr>
            <w:t>参与者分析</w:t>
          </w:r>
          <w:r>
            <w:tab/>
          </w:r>
          <w:r>
            <w:fldChar w:fldCharType="begin"/>
          </w:r>
          <w:r>
            <w:instrText xml:space="preserve"> PAGEREF _Toc16039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0"/>
              <w:szCs w:val="30"/>
              <w:lang w:val="en-US" w:eastAsia="zh-CN" w:bidi="ar-SA"/>
            </w:rPr>
            <w:fldChar w:fldCharType="end"/>
          </w:r>
        </w:p>
        <w:p w14:paraId="4730D440">
          <w:pPr>
            <w:pStyle w:val="16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0"/>
              <w:szCs w:val="30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0"/>
              <w:szCs w:val="30"/>
              <w:lang w:val="en-US" w:eastAsia="zh-CN" w:bidi="ar-SA"/>
            </w:rPr>
            <w:instrText xml:space="preserve"> HYPERLINK \l _Toc7012 </w:instrText>
          </w:r>
          <w:r>
            <w:rPr>
              <w:rFonts w:hint="eastAsia" w:ascii="Times New Roman" w:hAnsi="Times New Roman" w:eastAsia="宋体" w:cs="Times New Roman"/>
              <w:kern w:val="0"/>
              <w:szCs w:val="30"/>
              <w:lang w:val="en-US" w:eastAsia="zh-CN" w:bidi="ar-SA"/>
            </w:rPr>
            <w:fldChar w:fldCharType="separate"/>
          </w:r>
          <w:r>
            <w:rPr>
              <w:rFonts w:hint="default" w:ascii="宋体" w:hAnsi="宋体" w:eastAsia="宋体"/>
              <w:bCs/>
              <w:szCs w:val="24"/>
            </w:rPr>
            <w:t xml:space="preserve">2. </w:t>
          </w:r>
          <w:r>
            <w:rPr>
              <w:rFonts w:hint="eastAsia" w:ascii="宋体" w:hAnsi="宋体" w:eastAsia="宋体"/>
              <w:bCs/>
              <w:szCs w:val="24"/>
            </w:rPr>
            <w:t>用例详细分析</w:t>
          </w:r>
          <w:r>
            <w:tab/>
          </w:r>
          <w:r>
            <w:fldChar w:fldCharType="begin"/>
          </w:r>
          <w:r>
            <w:instrText xml:space="preserve"> PAGEREF _Toc7012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0"/>
              <w:szCs w:val="30"/>
              <w:lang w:val="en-US" w:eastAsia="zh-CN" w:bidi="ar-SA"/>
            </w:rPr>
            <w:fldChar w:fldCharType="end"/>
          </w:r>
        </w:p>
        <w:p w14:paraId="06DDA3C5">
          <w:pPr>
            <w:pStyle w:val="14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0"/>
              <w:szCs w:val="30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0"/>
              <w:szCs w:val="30"/>
              <w:lang w:val="en-US" w:eastAsia="zh-CN" w:bidi="ar-SA"/>
            </w:rPr>
            <w:instrText xml:space="preserve"> HYPERLINK \l _Toc12866 </w:instrText>
          </w:r>
          <w:r>
            <w:rPr>
              <w:rFonts w:hint="eastAsia" w:ascii="Times New Roman" w:hAnsi="Times New Roman" w:eastAsia="宋体" w:cs="Times New Roman"/>
              <w:kern w:val="0"/>
              <w:szCs w:val="30"/>
              <w:lang w:val="en-US" w:eastAsia="zh-CN" w:bidi="ar-SA"/>
            </w:rPr>
            <w:fldChar w:fldCharType="separate"/>
          </w:r>
          <w:r>
            <w:rPr>
              <w:rFonts w:hint="default" w:ascii="宋体" w:hAnsi="宋体" w:eastAsia="宋体"/>
              <w:bCs/>
              <w:szCs w:val="32"/>
            </w:rPr>
            <w:t xml:space="preserve">四、 </w:t>
          </w:r>
          <w:r>
            <w:rPr>
              <w:rFonts w:hint="eastAsia" w:ascii="宋体" w:hAnsi="宋体" w:eastAsia="宋体"/>
              <w:bCs/>
              <w:szCs w:val="32"/>
            </w:rPr>
            <w:t>业务流程分析</w:t>
          </w:r>
          <w:r>
            <w:tab/>
          </w:r>
          <w:r>
            <w:fldChar w:fldCharType="begin"/>
          </w:r>
          <w:r>
            <w:instrText xml:space="preserve"> PAGEREF _Toc12866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0"/>
              <w:szCs w:val="30"/>
              <w:lang w:val="en-US" w:eastAsia="zh-CN" w:bidi="ar-SA"/>
            </w:rPr>
            <w:fldChar w:fldCharType="end"/>
          </w:r>
        </w:p>
        <w:p w14:paraId="1DEFA3DF">
          <w:pPr>
            <w:pStyle w:val="16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0"/>
              <w:szCs w:val="30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0"/>
              <w:szCs w:val="30"/>
              <w:lang w:val="en-US" w:eastAsia="zh-CN" w:bidi="ar-SA"/>
            </w:rPr>
            <w:instrText xml:space="preserve"> HYPERLINK \l _Toc24517 </w:instrText>
          </w:r>
          <w:r>
            <w:rPr>
              <w:rFonts w:hint="eastAsia" w:ascii="Times New Roman" w:hAnsi="Times New Roman" w:eastAsia="宋体" w:cs="Times New Roman"/>
              <w:kern w:val="0"/>
              <w:szCs w:val="30"/>
              <w:lang w:val="en-US" w:eastAsia="zh-CN" w:bidi="ar-SA"/>
            </w:rPr>
            <w:fldChar w:fldCharType="separate"/>
          </w:r>
          <w:r>
            <w:rPr>
              <w:rFonts w:hint="default" w:ascii="宋体" w:hAnsi="宋体" w:eastAsia="宋体"/>
              <w:bCs/>
              <w:szCs w:val="24"/>
            </w:rPr>
            <w:t xml:space="preserve">1. </w:t>
          </w:r>
          <w:r>
            <w:rPr>
              <w:rFonts w:hint="eastAsia" w:ascii="宋体" w:hAnsi="宋体" w:eastAsia="宋体"/>
              <w:bCs/>
              <w:szCs w:val="24"/>
            </w:rPr>
            <w:t>服务</w:t>
          </w:r>
          <w:r>
            <w:tab/>
          </w:r>
          <w:r>
            <w:fldChar w:fldCharType="begin"/>
          </w:r>
          <w:r>
            <w:instrText xml:space="preserve"> PAGEREF _Toc24517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0"/>
              <w:szCs w:val="30"/>
              <w:lang w:val="en-US" w:eastAsia="zh-CN" w:bidi="ar-SA"/>
            </w:rPr>
            <w:fldChar w:fldCharType="end"/>
          </w:r>
        </w:p>
        <w:p w14:paraId="4D950EF6">
          <w:pPr>
            <w:pStyle w:val="16"/>
            <w:tabs>
              <w:tab w:val="right" w:leader="dot" w:pos="8306"/>
            </w:tabs>
            <w:rPr>
              <w:rFonts w:hint="eastAsia" w:ascii="Times New Roman" w:hAnsi="Times New Roman" w:eastAsia="宋体" w:cs="Times New Roman"/>
              <w:kern w:val="0"/>
              <w:sz w:val="21"/>
              <w:szCs w:val="30"/>
              <w:lang w:val="en-US" w:eastAsia="zh-CN" w:bidi="ar-SA"/>
            </w:rPr>
            <w:sectPr>
              <w:pgSz w:w="11906" w:h="16838"/>
              <w:pgMar w:top="1440" w:right="1800" w:bottom="1440" w:left="1800" w:header="851" w:footer="992" w:gutter="0"/>
              <w:cols w:space="425" w:num="1"/>
              <w:titlePg/>
              <w:docGrid w:type="lines" w:linePitch="312" w:charSpace="0"/>
            </w:sectPr>
          </w:pPr>
          <w:r>
            <w:rPr>
              <w:rFonts w:hint="eastAsia" w:ascii="Times New Roman" w:hAnsi="Times New Roman" w:eastAsia="宋体" w:cs="Times New Roman"/>
              <w:kern w:val="0"/>
              <w:szCs w:val="30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0"/>
              <w:szCs w:val="30"/>
              <w:lang w:val="en-US" w:eastAsia="zh-CN" w:bidi="ar-SA"/>
            </w:rPr>
            <w:instrText xml:space="preserve"> HYPERLINK \l _Toc7860 </w:instrText>
          </w:r>
          <w:r>
            <w:rPr>
              <w:rFonts w:hint="eastAsia" w:ascii="Times New Roman" w:hAnsi="Times New Roman" w:eastAsia="宋体" w:cs="Times New Roman"/>
              <w:kern w:val="0"/>
              <w:szCs w:val="30"/>
              <w:lang w:val="en-US" w:eastAsia="zh-CN" w:bidi="ar-SA"/>
            </w:rPr>
            <w:fldChar w:fldCharType="separate"/>
          </w:r>
          <w:r>
            <w:rPr>
              <w:rFonts w:hint="default" w:ascii="宋体" w:hAnsi="宋体" w:eastAsia="宋体"/>
              <w:bCs/>
              <w:szCs w:val="24"/>
            </w:rPr>
            <w:t xml:space="preserve">2. </w:t>
          </w:r>
          <w:r>
            <w:rPr>
              <w:rFonts w:hint="eastAsia" w:ascii="宋体" w:hAnsi="宋体" w:eastAsia="宋体"/>
              <w:bCs/>
              <w:szCs w:val="24"/>
            </w:rPr>
            <w:t>售后</w:t>
          </w:r>
          <w:r>
            <w:tab/>
          </w:r>
          <w:r>
            <w:fldChar w:fldCharType="begin"/>
          </w:r>
          <w:r>
            <w:instrText xml:space="preserve"> PAGEREF _Toc7860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0"/>
              <w:szCs w:val="30"/>
              <w:lang w:val="en-US" w:eastAsia="zh-CN" w:bidi="ar-SA"/>
            </w:rPr>
            <w:fldChar w:fldCharType="end"/>
          </w:r>
          <w:r>
            <w:rPr>
              <w:rFonts w:hint="eastAsia" w:ascii="Times New Roman" w:hAnsi="Times New Roman" w:eastAsia="宋体" w:cs="Times New Roman"/>
              <w:kern w:val="0"/>
              <w:szCs w:val="30"/>
              <w:lang w:val="en-US" w:eastAsia="zh-CN" w:bidi="ar-SA"/>
            </w:rPr>
            <w:fldChar w:fldCharType="end"/>
          </w:r>
        </w:p>
      </w:sdtContent>
    </w:sdt>
    <w:p w14:paraId="0A17B740">
      <w:pPr>
        <w:pStyle w:val="33"/>
        <w:numPr>
          <w:ilvl w:val="0"/>
          <w:numId w:val="1"/>
        </w:numPr>
        <w:spacing w:line="360" w:lineRule="auto"/>
        <w:ind w:left="360" w:leftChars="0" w:hanging="360" w:firstLineChars="0"/>
        <w:outlineLvl w:val="0"/>
        <w:rPr>
          <w:rFonts w:hint="eastAsia" w:ascii="宋体" w:hAnsi="宋体" w:eastAsia="宋体"/>
          <w:b/>
          <w:bCs/>
          <w:sz w:val="32"/>
          <w:szCs w:val="32"/>
        </w:rPr>
      </w:pPr>
      <w:bookmarkStart w:id="2" w:name="_Toc25614"/>
      <w:r>
        <w:rPr>
          <w:rFonts w:hint="eastAsia" w:ascii="宋体" w:hAnsi="宋体" w:eastAsia="宋体"/>
          <w:b/>
          <w:bCs/>
          <w:sz w:val="32"/>
          <w:szCs w:val="32"/>
        </w:rPr>
        <w:t>用例图与用例模型</w:t>
      </w:r>
      <w:bookmarkEnd w:id="2"/>
    </w:p>
    <w:p w14:paraId="566A91A8">
      <w:pPr>
        <w:spacing w:line="360" w:lineRule="auto"/>
        <w:ind w:firstLine="482" w:firstLineChars="20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服务：</w:t>
      </w:r>
    </w:p>
    <w:p w14:paraId="6B5C07F9">
      <w:pPr>
        <w:spacing w:line="360" w:lineRule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drawing>
          <wp:inline distT="0" distB="0" distL="0" distR="0">
            <wp:extent cx="5274310" cy="5251450"/>
            <wp:effectExtent l="0" t="0" r="2540" b="6350"/>
            <wp:docPr id="931410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10188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5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41F8">
      <w:pPr>
        <w:spacing w:line="360" w:lineRule="auto"/>
        <w:ind w:firstLine="482" w:firstLineChars="200"/>
        <w:rPr>
          <w:rFonts w:hint="eastAsia" w:ascii="宋体" w:hAnsi="宋体" w:eastAsia="宋体"/>
          <w:b/>
          <w:bCs/>
          <w:sz w:val="24"/>
          <w:szCs w:val="24"/>
        </w:rPr>
      </w:pPr>
    </w:p>
    <w:p w14:paraId="79231973">
      <w:pPr>
        <w:spacing w:line="360" w:lineRule="auto"/>
        <w:ind w:firstLine="482" w:firstLineChars="200"/>
        <w:outlineLvl w:val="1"/>
        <w:rPr>
          <w:rFonts w:hint="eastAsia" w:ascii="宋体" w:hAnsi="宋体" w:eastAsia="宋体"/>
          <w:b/>
          <w:bCs/>
          <w:sz w:val="24"/>
          <w:szCs w:val="24"/>
        </w:rPr>
      </w:pPr>
      <w:bookmarkStart w:id="3" w:name="_Toc7327"/>
      <w:r>
        <w:rPr>
          <w:rFonts w:hint="eastAsia" w:ascii="宋体" w:hAnsi="宋体" w:eastAsia="宋体"/>
          <w:b/>
          <w:bCs/>
          <w:sz w:val="24"/>
          <w:szCs w:val="24"/>
        </w:rPr>
        <w:t>模块：服务-服务管理</w:t>
      </w:r>
      <w:bookmarkEnd w:id="3"/>
    </w:p>
    <w:p w14:paraId="5294588C">
      <w:pPr>
        <w:spacing w:line="360" w:lineRule="auto"/>
        <w:ind w:firstLine="482" w:firstLineChars="20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参与者：服务商</w:t>
      </w:r>
    </w:p>
    <w:p w14:paraId="4D062E21">
      <w:pPr>
        <w:spacing w:line="360" w:lineRule="auto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drawing>
          <wp:inline distT="0" distB="0" distL="0" distR="0">
            <wp:extent cx="5274310" cy="3889375"/>
            <wp:effectExtent l="0" t="0" r="2540" b="0"/>
            <wp:docPr id="1247916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1662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F12C3">
      <w:pPr>
        <w:spacing w:line="360" w:lineRule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drawing>
          <wp:inline distT="0" distB="0" distL="0" distR="0">
            <wp:extent cx="5274310" cy="3272790"/>
            <wp:effectExtent l="0" t="0" r="2540" b="3810"/>
            <wp:docPr id="36674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4612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942CF">
      <w:pPr>
        <w:spacing w:line="360" w:lineRule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drawing>
          <wp:inline distT="0" distB="0" distL="0" distR="0">
            <wp:extent cx="5274310" cy="3068320"/>
            <wp:effectExtent l="0" t="0" r="2540" b="0"/>
            <wp:docPr id="171750860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08609" name="图片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E21CA">
      <w:pPr>
        <w:spacing w:line="360" w:lineRule="auto"/>
        <w:ind w:firstLine="482" w:firstLineChars="200"/>
        <w:rPr>
          <w:rFonts w:hint="eastAsia" w:ascii="宋体" w:hAnsi="宋体" w:eastAsia="宋体"/>
          <w:b/>
          <w:bCs/>
          <w:sz w:val="24"/>
          <w:szCs w:val="24"/>
        </w:rPr>
      </w:pPr>
    </w:p>
    <w:p w14:paraId="2015D1CC">
      <w:pPr>
        <w:spacing w:line="360" w:lineRule="auto"/>
        <w:ind w:firstLine="482" w:firstLineChars="20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模块：服务-提供服务</w:t>
      </w:r>
    </w:p>
    <w:p w14:paraId="001E37E9">
      <w:pPr>
        <w:spacing w:line="360" w:lineRule="auto"/>
        <w:ind w:firstLine="482" w:firstLineChars="20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参与者：服务商</w:t>
      </w:r>
    </w:p>
    <w:p w14:paraId="703C57B2">
      <w:pPr>
        <w:spacing w:line="360" w:lineRule="auto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drawing>
          <wp:inline distT="0" distB="0" distL="0" distR="0">
            <wp:extent cx="5274310" cy="4418330"/>
            <wp:effectExtent l="0" t="0" r="2540" b="1270"/>
            <wp:docPr id="1930812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12567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84CC">
      <w:pPr>
        <w:spacing w:line="360" w:lineRule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drawing>
          <wp:inline distT="0" distB="0" distL="0" distR="0">
            <wp:extent cx="5274310" cy="2711450"/>
            <wp:effectExtent l="0" t="0" r="2540" b="0"/>
            <wp:docPr id="28776455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64552" name="图片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C0365">
      <w:pPr>
        <w:spacing w:line="360" w:lineRule="auto"/>
        <w:ind w:firstLine="482"/>
        <w:rPr>
          <w:rFonts w:hint="eastAsia" w:ascii="宋体" w:hAnsi="宋体" w:eastAsia="宋体"/>
          <w:b/>
          <w:bCs/>
          <w:sz w:val="24"/>
          <w:szCs w:val="24"/>
        </w:rPr>
      </w:pPr>
    </w:p>
    <w:p w14:paraId="6B4E1322">
      <w:pPr>
        <w:spacing w:line="360" w:lineRule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drawing>
          <wp:inline distT="0" distB="0" distL="0" distR="0">
            <wp:extent cx="5274310" cy="3117850"/>
            <wp:effectExtent l="0" t="0" r="2540" b="6350"/>
            <wp:docPr id="8119454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45432" name="图片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D1837">
      <w:pPr>
        <w:spacing w:line="360" w:lineRule="auto"/>
        <w:ind w:firstLine="482"/>
        <w:rPr>
          <w:rFonts w:hint="eastAsia" w:ascii="宋体" w:hAnsi="宋体" w:eastAsia="宋体"/>
          <w:b/>
          <w:bCs/>
          <w:sz w:val="24"/>
          <w:szCs w:val="24"/>
        </w:rPr>
      </w:pPr>
    </w:p>
    <w:p w14:paraId="34089BEC">
      <w:pPr>
        <w:spacing w:line="360" w:lineRule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drawing>
          <wp:inline distT="0" distB="0" distL="0" distR="0">
            <wp:extent cx="5274310" cy="3527425"/>
            <wp:effectExtent l="0" t="0" r="2540" b="0"/>
            <wp:docPr id="157715957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59578" name="图片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A057B">
      <w:pPr>
        <w:spacing w:line="360" w:lineRule="auto"/>
        <w:ind w:firstLine="482"/>
        <w:rPr>
          <w:rFonts w:ascii="宋体" w:hAnsi="宋体" w:eastAsia="宋体"/>
          <w:b/>
          <w:bCs/>
          <w:sz w:val="24"/>
          <w:szCs w:val="24"/>
        </w:rPr>
      </w:pPr>
    </w:p>
    <w:p w14:paraId="716D98D6">
      <w:pPr>
        <w:spacing w:line="360" w:lineRule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drawing>
          <wp:inline distT="0" distB="0" distL="0" distR="0">
            <wp:extent cx="5274310" cy="3322955"/>
            <wp:effectExtent l="0" t="0" r="2540" b="0"/>
            <wp:docPr id="40138975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89756" name="图片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DBB40">
      <w:pPr>
        <w:spacing w:line="360" w:lineRule="auto"/>
        <w:ind w:firstLine="482"/>
        <w:rPr>
          <w:rFonts w:ascii="宋体" w:hAnsi="宋体" w:eastAsia="宋体"/>
          <w:b/>
          <w:bCs/>
          <w:sz w:val="24"/>
          <w:szCs w:val="24"/>
        </w:rPr>
      </w:pPr>
    </w:p>
    <w:p w14:paraId="3545DFA2">
      <w:pPr>
        <w:spacing w:line="360" w:lineRule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drawing>
          <wp:inline distT="0" distB="0" distL="0" distR="0">
            <wp:extent cx="5274310" cy="2916555"/>
            <wp:effectExtent l="0" t="0" r="2540" b="0"/>
            <wp:docPr id="203788627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86270" name="图片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B9679">
      <w:pPr>
        <w:spacing w:line="360" w:lineRule="auto"/>
        <w:ind w:firstLine="482"/>
        <w:rPr>
          <w:rFonts w:ascii="宋体" w:hAnsi="宋体" w:eastAsia="宋体"/>
          <w:b/>
          <w:bCs/>
          <w:sz w:val="24"/>
          <w:szCs w:val="24"/>
        </w:rPr>
      </w:pPr>
    </w:p>
    <w:p w14:paraId="42470235">
      <w:pPr>
        <w:spacing w:line="360" w:lineRule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drawing>
          <wp:inline distT="0" distB="0" distL="0" distR="0">
            <wp:extent cx="5274310" cy="3527425"/>
            <wp:effectExtent l="0" t="0" r="2540" b="0"/>
            <wp:docPr id="4052450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4502" name="图片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B892A">
      <w:pPr>
        <w:spacing w:line="360" w:lineRule="auto"/>
        <w:ind w:firstLine="482"/>
        <w:rPr>
          <w:rFonts w:ascii="宋体" w:hAnsi="宋体" w:eastAsia="宋体"/>
          <w:b/>
          <w:bCs/>
          <w:sz w:val="24"/>
          <w:szCs w:val="24"/>
        </w:rPr>
      </w:pPr>
    </w:p>
    <w:p w14:paraId="774F6220">
      <w:pPr>
        <w:spacing w:line="360" w:lineRule="auto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drawing>
          <wp:inline distT="0" distB="0" distL="0" distR="0">
            <wp:extent cx="5274310" cy="3117850"/>
            <wp:effectExtent l="0" t="0" r="2540" b="6350"/>
            <wp:docPr id="191491766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17669" name="图片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C48DC">
      <w:pPr>
        <w:spacing w:line="360" w:lineRule="auto"/>
        <w:ind w:firstLine="482" w:firstLineChars="200"/>
        <w:rPr>
          <w:rFonts w:hint="eastAsia" w:ascii="宋体" w:hAnsi="宋体" w:eastAsia="宋体"/>
          <w:b/>
          <w:bCs/>
          <w:sz w:val="24"/>
          <w:szCs w:val="24"/>
        </w:rPr>
      </w:pPr>
    </w:p>
    <w:p w14:paraId="22538CFC">
      <w:pPr>
        <w:spacing w:line="360" w:lineRule="auto"/>
        <w:ind w:firstLine="482" w:firstLineChars="20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模块：服务-服务商管理</w:t>
      </w:r>
    </w:p>
    <w:p w14:paraId="7A5460E2">
      <w:pPr>
        <w:spacing w:line="360" w:lineRule="auto"/>
        <w:ind w:firstLine="482" w:firstLineChars="20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参与者：商户</w:t>
      </w:r>
    </w:p>
    <w:p w14:paraId="794BC743">
      <w:pPr>
        <w:spacing w:line="360" w:lineRule="auto"/>
        <w:ind w:firstLine="482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drawing>
          <wp:inline distT="0" distB="0" distL="0" distR="0">
            <wp:extent cx="4617720" cy="4706620"/>
            <wp:effectExtent l="0" t="0" r="0" b="0"/>
            <wp:docPr id="1913434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34256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31217" cy="471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690E">
      <w:pPr>
        <w:spacing w:line="360" w:lineRule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drawing>
          <wp:inline distT="0" distB="0" distL="0" distR="0">
            <wp:extent cx="5274310" cy="3732530"/>
            <wp:effectExtent l="0" t="0" r="2540" b="1270"/>
            <wp:docPr id="150774529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45294" name="图片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84934">
      <w:pPr>
        <w:spacing w:line="360" w:lineRule="auto"/>
        <w:ind w:firstLine="482"/>
        <w:rPr>
          <w:rFonts w:ascii="宋体" w:hAnsi="宋体" w:eastAsia="宋体"/>
          <w:b/>
          <w:bCs/>
          <w:sz w:val="24"/>
          <w:szCs w:val="24"/>
        </w:rPr>
      </w:pPr>
    </w:p>
    <w:p w14:paraId="302C678B">
      <w:pPr>
        <w:spacing w:line="360" w:lineRule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drawing>
          <wp:inline distT="0" distB="0" distL="0" distR="0">
            <wp:extent cx="5274310" cy="2863215"/>
            <wp:effectExtent l="0" t="0" r="2540" b="0"/>
            <wp:docPr id="117573068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30681" name="图片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D54AB">
      <w:pPr>
        <w:spacing w:line="360" w:lineRule="auto"/>
        <w:ind w:firstLine="482"/>
        <w:rPr>
          <w:rFonts w:ascii="宋体" w:hAnsi="宋体" w:eastAsia="宋体"/>
          <w:b/>
          <w:bCs/>
          <w:sz w:val="24"/>
          <w:szCs w:val="24"/>
        </w:rPr>
      </w:pPr>
    </w:p>
    <w:p w14:paraId="53AF50BA">
      <w:pPr>
        <w:spacing w:line="360" w:lineRule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drawing>
          <wp:inline distT="0" distB="0" distL="0" distR="0">
            <wp:extent cx="5274310" cy="2658745"/>
            <wp:effectExtent l="0" t="0" r="2540" b="8255"/>
            <wp:docPr id="202472935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29359" name="图片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0455F">
      <w:pPr>
        <w:spacing w:line="360" w:lineRule="auto"/>
        <w:ind w:firstLine="482"/>
        <w:rPr>
          <w:rFonts w:ascii="宋体" w:hAnsi="宋体" w:eastAsia="宋体"/>
          <w:b/>
          <w:bCs/>
          <w:sz w:val="24"/>
          <w:szCs w:val="24"/>
        </w:rPr>
      </w:pPr>
    </w:p>
    <w:p w14:paraId="6D35B677">
      <w:pPr>
        <w:spacing w:line="360" w:lineRule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drawing>
          <wp:inline distT="0" distB="0" distL="0" distR="0">
            <wp:extent cx="5274310" cy="2658745"/>
            <wp:effectExtent l="0" t="0" r="2540" b="8255"/>
            <wp:docPr id="80664516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45168" name="图片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78293">
      <w:pPr>
        <w:spacing w:line="360" w:lineRule="auto"/>
        <w:ind w:firstLine="482"/>
        <w:rPr>
          <w:rFonts w:ascii="宋体" w:hAnsi="宋体" w:eastAsia="宋体"/>
          <w:b/>
          <w:bCs/>
          <w:sz w:val="24"/>
          <w:szCs w:val="24"/>
        </w:rPr>
      </w:pPr>
    </w:p>
    <w:p w14:paraId="6B122A5C">
      <w:pPr>
        <w:spacing w:line="360" w:lineRule="auto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drawing>
          <wp:inline distT="0" distB="0" distL="0" distR="0">
            <wp:extent cx="5274310" cy="2863215"/>
            <wp:effectExtent l="0" t="0" r="2540" b="0"/>
            <wp:docPr id="50729133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91338" name="图片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FB9FE">
      <w:pPr>
        <w:spacing w:line="360" w:lineRule="auto"/>
        <w:ind w:firstLine="482" w:firstLineChars="200"/>
        <w:rPr>
          <w:rFonts w:hint="eastAsia" w:ascii="宋体" w:hAnsi="宋体" w:eastAsia="宋体"/>
          <w:b/>
          <w:bCs/>
          <w:sz w:val="24"/>
          <w:szCs w:val="24"/>
        </w:rPr>
      </w:pPr>
    </w:p>
    <w:p w14:paraId="1215B551">
      <w:pPr>
        <w:spacing w:line="360" w:lineRule="auto"/>
        <w:ind w:firstLine="482" w:firstLineChars="20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模块：服务-服务单管理</w:t>
      </w:r>
    </w:p>
    <w:p w14:paraId="65D9979A">
      <w:pPr>
        <w:spacing w:line="360" w:lineRule="auto"/>
        <w:ind w:firstLine="482" w:firstLineChars="20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参与者：商户</w:t>
      </w:r>
    </w:p>
    <w:p w14:paraId="738D9BAC">
      <w:pPr>
        <w:spacing w:line="360" w:lineRule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drawing>
          <wp:inline distT="0" distB="0" distL="0" distR="0">
            <wp:extent cx="5274310" cy="4080510"/>
            <wp:effectExtent l="0" t="0" r="2540" b="0"/>
            <wp:docPr id="754491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91789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9164">
      <w:pPr>
        <w:spacing w:line="360" w:lineRule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drawing>
          <wp:inline distT="0" distB="0" distL="0" distR="0">
            <wp:extent cx="5274310" cy="3884295"/>
            <wp:effectExtent l="0" t="0" r="2540" b="1905"/>
            <wp:docPr id="114665471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54711" name="图片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47393">
      <w:pPr>
        <w:spacing w:line="360" w:lineRule="auto"/>
        <w:ind w:firstLine="482"/>
        <w:rPr>
          <w:rFonts w:ascii="宋体" w:hAnsi="宋体" w:eastAsia="宋体"/>
          <w:b/>
          <w:bCs/>
          <w:sz w:val="24"/>
          <w:szCs w:val="24"/>
        </w:rPr>
      </w:pPr>
    </w:p>
    <w:p w14:paraId="312DD23D">
      <w:pPr>
        <w:spacing w:line="360" w:lineRule="auto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drawing>
          <wp:inline distT="0" distB="0" distL="0" distR="0">
            <wp:extent cx="5274310" cy="3272790"/>
            <wp:effectExtent l="0" t="0" r="2540" b="3810"/>
            <wp:docPr id="88526688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66889" name="图片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16F7B">
      <w:pPr>
        <w:spacing w:line="360" w:lineRule="auto"/>
        <w:ind w:firstLine="482" w:firstLineChars="200"/>
        <w:rPr>
          <w:rFonts w:ascii="宋体" w:hAnsi="宋体" w:eastAsia="宋体"/>
          <w:b/>
          <w:bCs/>
          <w:sz w:val="24"/>
          <w:szCs w:val="24"/>
        </w:rPr>
      </w:pPr>
    </w:p>
    <w:p w14:paraId="3437B113">
      <w:pPr>
        <w:spacing w:line="360" w:lineRule="auto"/>
        <w:ind w:firstLine="482" w:firstLineChars="20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售后：</w:t>
      </w:r>
    </w:p>
    <w:p w14:paraId="6799CB1B">
      <w:pPr>
        <w:spacing w:line="360" w:lineRule="auto"/>
        <w:ind w:firstLine="482" w:firstLineChars="20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模块：售后</w:t>
      </w:r>
    </w:p>
    <w:p w14:paraId="1211B4AF">
      <w:pPr>
        <w:spacing w:line="360" w:lineRule="auto"/>
        <w:ind w:firstLine="482" w:firstLineChars="20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参与者：商户</w:t>
      </w:r>
    </w:p>
    <w:p w14:paraId="27EBF7AD">
      <w:pPr>
        <w:spacing w:line="360" w:lineRule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drawing>
          <wp:inline distT="0" distB="0" distL="0" distR="0">
            <wp:extent cx="5274310" cy="4150360"/>
            <wp:effectExtent l="0" t="0" r="2540" b="2540"/>
            <wp:docPr id="19363538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53875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B3C48">
      <w:pPr>
        <w:spacing w:line="360" w:lineRule="auto"/>
        <w:ind w:firstLine="482"/>
        <w:rPr>
          <w:rFonts w:ascii="宋体" w:hAnsi="宋体" w:eastAsia="宋体"/>
          <w:b/>
          <w:bCs/>
          <w:sz w:val="24"/>
          <w:szCs w:val="24"/>
        </w:rPr>
      </w:pPr>
    </w:p>
    <w:p w14:paraId="24E40BB9">
      <w:pPr>
        <w:spacing w:line="360" w:lineRule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drawing>
          <wp:inline distT="0" distB="0" distL="0" distR="0">
            <wp:extent cx="5274310" cy="3477895"/>
            <wp:effectExtent l="0" t="0" r="2540" b="8255"/>
            <wp:docPr id="209456369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63699" name="图片 1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F9624">
      <w:pPr>
        <w:spacing w:line="360" w:lineRule="auto"/>
        <w:ind w:firstLine="482"/>
        <w:rPr>
          <w:rFonts w:ascii="宋体" w:hAnsi="宋体" w:eastAsia="宋体"/>
          <w:b/>
          <w:bCs/>
          <w:sz w:val="24"/>
          <w:szCs w:val="24"/>
        </w:rPr>
      </w:pPr>
    </w:p>
    <w:p w14:paraId="26ED10D6">
      <w:pPr>
        <w:spacing w:line="360" w:lineRule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drawing>
          <wp:inline distT="0" distB="0" distL="0" distR="0">
            <wp:extent cx="5274310" cy="3477895"/>
            <wp:effectExtent l="0" t="0" r="2540" b="8255"/>
            <wp:docPr id="16801446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4462" name="图片 1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9413A">
      <w:pPr>
        <w:spacing w:line="360" w:lineRule="auto"/>
        <w:ind w:firstLine="482"/>
        <w:rPr>
          <w:rFonts w:ascii="宋体" w:hAnsi="宋体" w:eastAsia="宋体"/>
          <w:b/>
          <w:bCs/>
          <w:sz w:val="24"/>
          <w:szCs w:val="24"/>
        </w:rPr>
      </w:pPr>
    </w:p>
    <w:p w14:paraId="1C056098">
      <w:pPr>
        <w:spacing w:line="360" w:lineRule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drawing>
          <wp:inline distT="0" distB="0" distL="0" distR="0">
            <wp:extent cx="5274310" cy="2863215"/>
            <wp:effectExtent l="0" t="0" r="2540" b="0"/>
            <wp:docPr id="55820211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02115" name="图片 1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B2EFA">
      <w:pPr>
        <w:spacing w:line="360" w:lineRule="auto"/>
        <w:ind w:firstLine="482"/>
        <w:rPr>
          <w:rFonts w:ascii="宋体" w:hAnsi="宋体" w:eastAsia="宋体"/>
          <w:b/>
          <w:bCs/>
          <w:sz w:val="24"/>
          <w:szCs w:val="24"/>
        </w:rPr>
      </w:pPr>
    </w:p>
    <w:p w14:paraId="09D21B08">
      <w:pPr>
        <w:spacing w:line="360" w:lineRule="auto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drawing>
          <wp:inline distT="0" distB="0" distL="0" distR="0">
            <wp:extent cx="5274310" cy="4141470"/>
            <wp:effectExtent l="0" t="0" r="2540" b="0"/>
            <wp:docPr id="109938460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84602" name="图片 2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A0E4A">
      <w:pPr>
        <w:pStyle w:val="33"/>
        <w:spacing w:line="360" w:lineRule="auto"/>
        <w:ind w:left="780" w:firstLine="643"/>
        <w:rPr>
          <w:rFonts w:ascii="宋体" w:hAnsi="宋体" w:eastAsia="宋体"/>
          <w:b/>
          <w:bCs/>
          <w:sz w:val="32"/>
          <w:szCs w:val="32"/>
        </w:rPr>
      </w:pPr>
    </w:p>
    <w:p w14:paraId="2E1B9A96">
      <w:pPr>
        <w:pStyle w:val="33"/>
        <w:spacing w:line="360" w:lineRule="auto"/>
        <w:ind w:left="780" w:firstLine="643"/>
        <w:rPr>
          <w:rFonts w:ascii="宋体" w:hAnsi="宋体" w:eastAsia="宋体"/>
          <w:b/>
          <w:bCs/>
          <w:sz w:val="32"/>
          <w:szCs w:val="32"/>
        </w:rPr>
      </w:pPr>
    </w:p>
    <w:p w14:paraId="2C1EC695">
      <w:pPr>
        <w:pStyle w:val="33"/>
        <w:spacing w:line="360" w:lineRule="auto"/>
        <w:ind w:left="780" w:firstLine="643"/>
        <w:rPr>
          <w:rFonts w:ascii="宋体" w:hAnsi="宋体" w:eastAsia="宋体"/>
          <w:b/>
          <w:bCs/>
          <w:sz w:val="32"/>
          <w:szCs w:val="32"/>
        </w:rPr>
      </w:pPr>
    </w:p>
    <w:p w14:paraId="456F113B">
      <w:pPr>
        <w:pStyle w:val="33"/>
        <w:spacing w:line="360" w:lineRule="auto"/>
        <w:ind w:left="780" w:firstLine="643"/>
        <w:rPr>
          <w:rFonts w:ascii="宋体" w:hAnsi="宋体" w:eastAsia="宋体"/>
          <w:b/>
          <w:bCs/>
          <w:sz w:val="32"/>
          <w:szCs w:val="32"/>
        </w:rPr>
      </w:pPr>
    </w:p>
    <w:p w14:paraId="5F10DD4E">
      <w:pPr>
        <w:pStyle w:val="33"/>
        <w:spacing w:line="360" w:lineRule="auto"/>
        <w:ind w:left="780" w:firstLine="643"/>
        <w:rPr>
          <w:rFonts w:ascii="宋体" w:hAnsi="宋体" w:eastAsia="宋体"/>
          <w:b/>
          <w:bCs/>
          <w:sz w:val="32"/>
          <w:szCs w:val="32"/>
        </w:rPr>
      </w:pPr>
    </w:p>
    <w:p w14:paraId="1327E848">
      <w:pPr>
        <w:pStyle w:val="33"/>
        <w:spacing w:line="360" w:lineRule="auto"/>
        <w:ind w:left="780" w:firstLine="643"/>
        <w:rPr>
          <w:rFonts w:ascii="宋体" w:hAnsi="宋体" w:eastAsia="宋体"/>
          <w:b/>
          <w:bCs/>
          <w:sz w:val="32"/>
          <w:szCs w:val="32"/>
        </w:rPr>
      </w:pPr>
    </w:p>
    <w:p w14:paraId="065D3A99">
      <w:pPr>
        <w:pStyle w:val="33"/>
        <w:spacing w:line="360" w:lineRule="auto"/>
        <w:ind w:left="780" w:firstLine="643"/>
        <w:rPr>
          <w:rFonts w:ascii="宋体" w:hAnsi="宋体" w:eastAsia="宋体"/>
          <w:b/>
          <w:bCs/>
          <w:sz w:val="32"/>
          <w:szCs w:val="32"/>
        </w:rPr>
      </w:pPr>
    </w:p>
    <w:p w14:paraId="5AE80CBD">
      <w:pPr>
        <w:pStyle w:val="33"/>
        <w:spacing w:line="360" w:lineRule="auto"/>
        <w:ind w:left="780" w:firstLine="643"/>
        <w:rPr>
          <w:rFonts w:ascii="宋体" w:hAnsi="宋体" w:eastAsia="宋体"/>
          <w:b/>
          <w:bCs/>
          <w:sz w:val="32"/>
          <w:szCs w:val="32"/>
        </w:rPr>
      </w:pPr>
    </w:p>
    <w:p w14:paraId="3DBE04BD">
      <w:pPr>
        <w:pStyle w:val="33"/>
        <w:spacing w:line="360" w:lineRule="auto"/>
        <w:ind w:left="780" w:firstLine="643"/>
        <w:rPr>
          <w:rFonts w:ascii="宋体" w:hAnsi="宋体" w:eastAsia="宋体"/>
          <w:b/>
          <w:bCs/>
          <w:sz w:val="32"/>
          <w:szCs w:val="32"/>
        </w:rPr>
      </w:pPr>
    </w:p>
    <w:p w14:paraId="5232BDA8">
      <w:pPr>
        <w:pStyle w:val="33"/>
        <w:spacing w:line="360" w:lineRule="auto"/>
        <w:ind w:left="780" w:firstLine="643"/>
        <w:rPr>
          <w:rFonts w:ascii="宋体" w:hAnsi="宋体" w:eastAsia="宋体"/>
          <w:b/>
          <w:bCs/>
          <w:sz w:val="32"/>
          <w:szCs w:val="32"/>
        </w:rPr>
      </w:pPr>
    </w:p>
    <w:p w14:paraId="17EA5630">
      <w:pPr>
        <w:pStyle w:val="33"/>
        <w:spacing w:line="360" w:lineRule="auto"/>
        <w:ind w:left="0" w:leftChars="0" w:firstLine="0" w:firstLineChars="0"/>
        <w:rPr>
          <w:rFonts w:hint="eastAsia" w:ascii="宋体" w:hAnsi="宋体" w:eastAsia="宋体"/>
          <w:b/>
          <w:bCs/>
          <w:sz w:val="32"/>
          <w:szCs w:val="32"/>
        </w:rPr>
      </w:pPr>
    </w:p>
    <w:p w14:paraId="51232B63">
      <w:pPr>
        <w:pStyle w:val="33"/>
        <w:numPr>
          <w:ilvl w:val="0"/>
          <w:numId w:val="1"/>
        </w:numPr>
        <w:spacing w:line="360" w:lineRule="auto"/>
        <w:ind w:left="360" w:leftChars="0" w:hanging="360" w:firstLineChars="0"/>
        <w:outlineLvl w:val="0"/>
        <w:rPr>
          <w:rFonts w:hint="eastAsia" w:ascii="宋体" w:hAnsi="宋体" w:eastAsia="宋体"/>
          <w:b/>
          <w:bCs/>
          <w:sz w:val="32"/>
          <w:szCs w:val="32"/>
        </w:rPr>
      </w:pPr>
      <w:bookmarkStart w:id="4" w:name="_Toc10399"/>
      <w:r>
        <w:rPr>
          <w:rFonts w:hint="eastAsia" w:ascii="宋体" w:hAnsi="宋体" w:eastAsia="宋体"/>
          <w:b/>
          <w:bCs/>
          <w:sz w:val="32"/>
          <w:szCs w:val="32"/>
        </w:rPr>
        <w:t>业务流程图</w:t>
      </w:r>
      <w:bookmarkEnd w:id="4"/>
    </w:p>
    <w:p w14:paraId="729D9A4C">
      <w:pPr>
        <w:pStyle w:val="33"/>
        <w:numPr>
          <w:ilvl w:val="0"/>
          <w:numId w:val="2"/>
        </w:numPr>
        <w:spacing w:line="360" w:lineRule="auto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服务</w:t>
      </w:r>
    </w:p>
    <w:p w14:paraId="54E1F1CA">
      <w:pPr>
        <w:spacing w:line="360" w:lineRule="auto"/>
        <w:rPr>
          <w:rFonts w:ascii="宋体" w:hAnsi="宋体" w:eastAsia="宋体"/>
          <w:b/>
          <w:bCs/>
          <w:sz w:val="32"/>
          <w:szCs w:val="32"/>
        </w:rPr>
      </w:pPr>
      <w:r>
        <w:rPr>
          <w:rFonts w:ascii="宋体" w:hAnsi="宋体" w:eastAsia="宋体"/>
          <w:b/>
          <w:bCs/>
          <w:sz w:val="32"/>
          <w:szCs w:val="32"/>
        </w:rPr>
        <w:drawing>
          <wp:inline distT="0" distB="0" distL="0" distR="0">
            <wp:extent cx="5274310" cy="2935605"/>
            <wp:effectExtent l="0" t="0" r="2540" b="0"/>
            <wp:docPr id="716587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87063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481E">
      <w:pPr>
        <w:spacing w:line="360" w:lineRule="auto"/>
        <w:rPr>
          <w:rFonts w:ascii="宋体" w:hAnsi="宋体" w:eastAsia="宋体"/>
          <w:b/>
          <w:bCs/>
          <w:sz w:val="32"/>
          <w:szCs w:val="32"/>
        </w:rPr>
      </w:pPr>
    </w:p>
    <w:p w14:paraId="28958A69">
      <w:pPr>
        <w:spacing w:line="360" w:lineRule="auto"/>
        <w:rPr>
          <w:rFonts w:hint="eastAsia" w:ascii="宋体" w:hAnsi="宋体" w:eastAsia="宋体"/>
          <w:b/>
          <w:bCs/>
          <w:sz w:val="32"/>
          <w:szCs w:val="32"/>
        </w:rPr>
      </w:pPr>
    </w:p>
    <w:p w14:paraId="17CBE029">
      <w:pPr>
        <w:pStyle w:val="33"/>
        <w:numPr>
          <w:ilvl w:val="0"/>
          <w:numId w:val="2"/>
        </w:numPr>
        <w:spacing w:line="360" w:lineRule="auto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售后</w:t>
      </w:r>
      <w:bookmarkStart w:id="17" w:name="_GoBack"/>
      <w:bookmarkEnd w:id="17"/>
    </w:p>
    <w:p w14:paraId="0122C3B4">
      <w:pPr>
        <w:spacing w:line="360" w:lineRule="auto"/>
        <w:rPr>
          <w:rFonts w:hint="eastAsia" w:ascii="宋体" w:hAnsi="宋体" w:eastAsia="宋体"/>
          <w:b/>
          <w:bCs/>
          <w:sz w:val="32"/>
          <w:szCs w:val="32"/>
        </w:rPr>
      </w:pPr>
      <w:r>
        <w:rPr>
          <w:rFonts w:ascii="宋体" w:hAnsi="宋体" w:eastAsia="宋体"/>
          <w:b/>
          <w:bCs/>
          <w:sz w:val="32"/>
          <w:szCs w:val="32"/>
        </w:rPr>
        <w:drawing>
          <wp:inline distT="0" distB="0" distL="0" distR="0">
            <wp:extent cx="5274310" cy="2992755"/>
            <wp:effectExtent l="0" t="0" r="2540" b="0"/>
            <wp:docPr id="51050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0271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87A0">
      <w:pPr>
        <w:widowControl/>
        <w:ind w:firstLine="643"/>
        <w:jc w:val="left"/>
        <w:rPr>
          <w:rFonts w:hint="eastAsia"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br w:type="page"/>
      </w:r>
    </w:p>
    <w:p w14:paraId="38A75B14">
      <w:pPr>
        <w:pStyle w:val="33"/>
        <w:numPr>
          <w:ilvl w:val="0"/>
          <w:numId w:val="1"/>
        </w:numPr>
        <w:spacing w:line="360" w:lineRule="auto"/>
        <w:ind w:left="360" w:leftChars="0" w:hanging="360" w:firstLineChars="0"/>
        <w:outlineLvl w:val="0"/>
        <w:rPr>
          <w:rFonts w:hint="eastAsia" w:ascii="宋体" w:hAnsi="宋体" w:eastAsia="宋体"/>
          <w:b/>
          <w:bCs/>
          <w:sz w:val="32"/>
          <w:szCs w:val="32"/>
        </w:rPr>
      </w:pPr>
      <w:bookmarkStart w:id="5" w:name="_Toc9845"/>
      <w:r>
        <w:rPr>
          <w:rFonts w:hint="eastAsia" w:ascii="宋体" w:hAnsi="宋体" w:eastAsia="宋体"/>
          <w:b/>
          <w:bCs/>
          <w:sz w:val="32"/>
          <w:szCs w:val="32"/>
        </w:rPr>
        <w:t>用例分析</w:t>
      </w:r>
      <w:bookmarkEnd w:id="5"/>
    </w:p>
    <w:p w14:paraId="41C01274">
      <w:pPr>
        <w:pStyle w:val="33"/>
        <w:numPr>
          <w:ilvl w:val="0"/>
          <w:numId w:val="3"/>
        </w:numPr>
        <w:spacing w:line="360" w:lineRule="auto"/>
        <w:ind w:left="720" w:leftChars="0" w:hanging="360" w:firstLineChars="0"/>
        <w:outlineLvl w:val="1"/>
        <w:rPr>
          <w:rFonts w:hint="eastAsia" w:ascii="宋体" w:hAnsi="宋体" w:eastAsia="宋体"/>
          <w:b/>
          <w:bCs/>
          <w:sz w:val="24"/>
          <w:szCs w:val="24"/>
        </w:rPr>
      </w:pPr>
      <w:bookmarkStart w:id="6" w:name="_Toc16039"/>
      <w:r>
        <w:rPr>
          <w:rFonts w:hint="eastAsia" w:ascii="宋体" w:hAnsi="宋体" w:eastAsia="宋体"/>
          <w:b/>
          <w:bCs/>
          <w:sz w:val="24"/>
          <w:szCs w:val="24"/>
        </w:rPr>
        <w:t>参与者分析</w:t>
      </w:r>
      <w:bookmarkEnd w:id="6"/>
    </w:p>
    <w:p w14:paraId="2E711A7D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在以上用例模型中的主要参与者：</w:t>
      </w:r>
    </w:p>
    <w:p w14:paraId="69BACAF6">
      <w:pPr>
        <w:spacing w:line="360" w:lineRule="auto"/>
        <w:ind w:firstLine="422" w:firstLineChars="200"/>
        <w:rPr>
          <w:rFonts w:hint="eastAsia"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服务商：</w:t>
      </w:r>
    </w:p>
    <w:p w14:paraId="13BA8EFA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ab/>
      </w:r>
      <w:r>
        <w:rPr>
          <w:rFonts w:hint="eastAsia" w:ascii="宋体" w:hAnsi="宋体" w:eastAsia="宋体"/>
          <w:szCs w:val="21"/>
        </w:rPr>
        <w:t>模块：服务-服务管理、服务-提供服务</w:t>
      </w:r>
    </w:p>
    <w:p w14:paraId="7F357695">
      <w:pPr>
        <w:spacing w:line="360" w:lineRule="auto"/>
        <w:ind w:left="420" w:leftChars="200"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职责：寻找并申请为商户服务，管理服务设定、执行和回报服务单，处理寄修件的接收和寄回。</w:t>
      </w:r>
    </w:p>
    <w:p w14:paraId="5F53C081">
      <w:pPr>
        <w:spacing w:line="360" w:lineRule="auto"/>
        <w:ind w:left="420" w:leftChars="200"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目标：高效地承接和完成服务任务，获得业务回报。</w:t>
      </w:r>
    </w:p>
    <w:p w14:paraId="75443827">
      <w:pPr>
        <w:spacing w:line="360" w:lineRule="auto"/>
        <w:ind w:firstLine="422" w:firstLineChars="200"/>
        <w:rPr>
          <w:rFonts w:hint="eastAsia"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商户：</w:t>
      </w:r>
    </w:p>
    <w:p w14:paraId="00CD35A5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ab/>
      </w:r>
      <w:r>
        <w:rPr>
          <w:rFonts w:hint="eastAsia" w:ascii="宋体" w:hAnsi="宋体" w:eastAsia="宋体"/>
          <w:szCs w:val="21"/>
        </w:rPr>
        <w:t>模块：服务-服务商管理、服务-服务单管理、售后</w:t>
      </w:r>
    </w:p>
    <w:p w14:paraId="740E284A">
      <w:pPr>
        <w:spacing w:line="360" w:lineRule="auto"/>
        <w:ind w:left="420" w:leftChars="200"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职责：管理合作的服务商，创建和指派服务单，审核售后申请，确保客户服务需求得到满足。</w:t>
      </w:r>
    </w:p>
    <w:p w14:paraId="5E2C909F">
      <w:pPr>
        <w:spacing w:line="360" w:lineRule="auto"/>
        <w:ind w:left="420" w:leftChars="200"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目标：找到合适的服务商来处理客户的服务请求，管理服务流程，提升客户满意度。</w:t>
      </w:r>
    </w:p>
    <w:p w14:paraId="6EB519C5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</w:p>
    <w:p w14:paraId="34AA9DFE">
      <w:pPr>
        <w:pStyle w:val="33"/>
        <w:numPr>
          <w:ilvl w:val="0"/>
          <w:numId w:val="3"/>
        </w:numPr>
        <w:spacing w:line="360" w:lineRule="auto"/>
        <w:ind w:left="720" w:leftChars="0" w:hanging="360" w:firstLineChars="0"/>
        <w:outlineLvl w:val="1"/>
        <w:rPr>
          <w:rFonts w:hint="eastAsia" w:ascii="宋体" w:hAnsi="宋体" w:eastAsia="宋体"/>
          <w:b/>
          <w:bCs/>
          <w:sz w:val="24"/>
          <w:szCs w:val="24"/>
        </w:rPr>
      </w:pPr>
      <w:bookmarkStart w:id="7" w:name="_Toc7012"/>
      <w:r>
        <w:rPr>
          <w:rFonts w:hint="eastAsia" w:ascii="宋体" w:hAnsi="宋体" w:eastAsia="宋体"/>
          <w:b/>
          <w:bCs/>
          <w:sz w:val="24"/>
          <w:szCs w:val="24"/>
        </w:rPr>
        <w:t>用例详细分析</w:t>
      </w:r>
      <w:bookmarkEnd w:id="7"/>
    </w:p>
    <w:p w14:paraId="1A9EB9E1">
      <w:pPr>
        <w:spacing w:line="360" w:lineRule="auto"/>
        <w:ind w:firstLine="422" w:firstLineChars="200"/>
        <w:outlineLvl w:val="2"/>
        <w:rPr>
          <w:rFonts w:hint="eastAsia"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模块：服务-服务管理</w:t>
      </w:r>
    </w:p>
    <w:p w14:paraId="7E246BD3">
      <w:pPr>
        <w:spacing w:line="360" w:lineRule="auto"/>
        <w:ind w:firstLine="422" w:firstLineChars="200"/>
        <w:rPr>
          <w:rFonts w:hint="eastAsia"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参与者：服务商</w:t>
      </w:r>
    </w:p>
    <w:p w14:paraId="077AD95F">
      <w:pPr>
        <w:spacing w:line="360" w:lineRule="auto"/>
        <w:rPr>
          <w:rFonts w:hint="eastAsia" w:ascii="宋体" w:hAnsi="宋体" w:eastAsia="宋体"/>
          <w:b/>
          <w:bCs/>
          <w:szCs w:val="21"/>
        </w:rPr>
      </w:pPr>
    </w:p>
    <w:p w14:paraId="4799058E">
      <w:pPr>
        <w:spacing w:line="360" w:lineRule="auto"/>
        <w:ind w:firstLine="422" w:firstLineChars="200"/>
        <w:rPr>
          <w:rFonts w:hint="eastAsia"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用例 001: 申请提供服务 (MALL-SERVICE-001)</w:t>
      </w:r>
    </w:p>
    <w:p w14:paraId="7033E8CE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用例目标: 服务商向目标商户提交服务申请。</w:t>
      </w:r>
    </w:p>
    <w:p w14:paraId="7D7B1AE6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触发事件: 服务商查看商户信息后，决定申请提供服务。</w:t>
      </w:r>
    </w:p>
    <w:p w14:paraId="2E0D4E5D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主成功场景:</w:t>
      </w:r>
    </w:p>
    <w:p w14:paraId="1AF1CC79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系统向服务商展示所选商户的详细信息（名称、类型、地区、状态）。</w:t>
      </w:r>
    </w:p>
    <w:p w14:paraId="68B47D5F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服务商发起“申请提供服务”操作。</w:t>
      </w:r>
    </w:p>
    <w:p w14:paraId="37D77072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系统记录申请，并提示服务商“申请提交成功”。</w:t>
      </w:r>
    </w:p>
    <w:p w14:paraId="5CA34E25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后置条件: 系统中生成一条服务商对商户的服务申请记录，状态为“待审核”。</w:t>
      </w:r>
    </w:p>
    <w:p w14:paraId="2DBD265C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扩展场景:</w:t>
      </w:r>
    </w:p>
    <w:p w14:paraId="4EC67D30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2a. 服务商放弃申请: 在第二步，服务商选择放弃，系统终止当前操作，流程结束。</w:t>
      </w:r>
    </w:p>
    <w:p w14:paraId="2FBD6A8A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3a. 状态不合理: 在第二步，若服务商或商户的当前状态（如已合作、已注销等）不符合申请条件，系统将提示“状态异常，申请失败”。</w:t>
      </w:r>
    </w:p>
    <w:p w14:paraId="10ACEA48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</w:p>
    <w:p w14:paraId="457C3EA1">
      <w:pPr>
        <w:spacing w:line="360" w:lineRule="auto"/>
        <w:ind w:firstLine="422" w:firstLineChars="200"/>
        <w:rPr>
          <w:rFonts w:hint="eastAsia"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用例 002: 接受设定 (MALL-SERVICE-002)</w:t>
      </w:r>
    </w:p>
    <w:p w14:paraId="7C78C4E5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用例目标: 服务商接受商户对其服务资格的设定。</w:t>
      </w:r>
    </w:p>
    <w:p w14:paraId="1FE6D04E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触发事件: 商户向服务商发起了服务设定。</w:t>
      </w:r>
    </w:p>
    <w:p w14:paraId="3CFF9C82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前置条件: 存在一条由商户发起的“待服务商确认”的服务设定。</w:t>
      </w:r>
    </w:p>
    <w:p w14:paraId="40DC7FC3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主成功场景:</w:t>
      </w:r>
    </w:p>
    <w:p w14:paraId="3065A13A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系统向服务商展示被设定的服务内容。</w:t>
      </w:r>
    </w:p>
    <w:p w14:paraId="4BD97F4C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服务商选择“确认接受”。</w:t>
      </w:r>
    </w:p>
    <w:p w14:paraId="6F64D7B8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系统更新服务商状态为“正常”（或合作中），并提示“设定成功”。</w:t>
      </w:r>
    </w:p>
    <w:p w14:paraId="503557BA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后置条件: 服务商与商户的合作关系正式建立，服务商状态更新。</w:t>
      </w:r>
    </w:p>
    <w:p w14:paraId="497FA60C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扩展场景:</w:t>
      </w:r>
    </w:p>
    <w:p w14:paraId="6A0B6C1A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2a. 服务商拒绝设定:</w:t>
      </w:r>
    </w:p>
    <w:p w14:paraId="33D5FEB3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服务商选择“拒绝”，并填写拒绝原因。</w:t>
      </w:r>
    </w:p>
    <w:p w14:paraId="0B84F906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系统记录拒绝时间和原因，更新服务商状态（如“已拒绝设定”），并将反馈信息发送给商户。</w:t>
      </w:r>
    </w:p>
    <w:p w14:paraId="57EBF58C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</w:p>
    <w:p w14:paraId="74F19334">
      <w:pPr>
        <w:spacing w:line="360" w:lineRule="auto"/>
        <w:ind w:firstLine="422" w:firstLineChars="200"/>
        <w:rPr>
          <w:rFonts w:hint="eastAsia"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模块：服务-提供服务</w:t>
      </w:r>
    </w:p>
    <w:p w14:paraId="60E7E965">
      <w:pPr>
        <w:spacing w:line="360" w:lineRule="auto"/>
        <w:ind w:firstLine="422" w:firstLineChars="200"/>
        <w:rPr>
          <w:rFonts w:hint="eastAsia"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参与者：服务商</w:t>
      </w:r>
    </w:p>
    <w:p w14:paraId="63C91709">
      <w:pPr>
        <w:spacing w:line="360" w:lineRule="auto"/>
        <w:ind w:firstLine="422" w:firstLineChars="200"/>
        <w:rPr>
          <w:rFonts w:hint="eastAsia" w:ascii="宋体" w:hAnsi="宋体" w:eastAsia="宋体"/>
          <w:b/>
          <w:bCs/>
          <w:szCs w:val="21"/>
        </w:rPr>
      </w:pPr>
    </w:p>
    <w:p w14:paraId="44BF772D">
      <w:pPr>
        <w:spacing w:line="360" w:lineRule="auto"/>
        <w:ind w:firstLine="422" w:firstLineChars="200"/>
        <w:rPr>
          <w:rFonts w:hint="eastAsia"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用例 003: 查看服务单 (MALL-SERVICE-003)</w:t>
      </w:r>
    </w:p>
    <w:p w14:paraId="76597C78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用例目标: 服务商查看单个服务单的详细信息。</w:t>
      </w:r>
    </w:p>
    <w:p w14:paraId="10E16D36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触发事件: 服务商在服务单列表中选择一个服务单进行查看。</w:t>
      </w:r>
    </w:p>
    <w:p w14:paraId="6AE4C37A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主成功场景:</w:t>
      </w:r>
    </w:p>
    <w:p w14:paraId="6655455C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系统显示服务单列表，包含基础信息（服务时间、单号、类别、状态）。</w:t>
      </w:r>
    </w:p>
    <w:p w14:paraId="31FF4750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服务商选择一个具体服务单。</w:t>
      </w:r>
    </w:p>
    <w:p w14:paraId="51CACF82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系统展示该服务单的完整详情，包括服务地区、品牌、商品、顾客信息、服务需求及服务历程。</w:t>
      </w:r>
    </w:p>
    <w:p w14:paraId="2670465E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后置条件: 无系统状态变更，仅为信息展示。</w:t>
      </w:r>
    </w:p>
    <w:p w14:paraId="3C4847CF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扩展场景: 无。</w:t>
      </w:r>
    </w:p>
    <w:p w14:paraId="3BF7AADD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</w:p>
    <w:p w14:paraId="104EFD87">
      <w:pPr>
        <w:spacing w:line="360" w:lineRule="auto"/>
        <w:ind w:firstLine="422" w:firstLineChars="200"/>
        <w:rPr>
          <w:rFonts w:hint="eastAsia"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用例 004: 查询服务单 (MALL-SERVICE-004)</w:t>
      </w:r>
    </w:p>
    <w:p w14:paraId="3A1967EC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用例目标: 服务商根据特定条件筛选和查找服务单。</w:t>
      </w:r>
    </w:p>
    <w:p w14:paraId="5A4104EB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触发事件: 服务商需要查找符合特定条件的服务单。</w:t>
      </w:r>
    </w:p>
    <w:p w14:paraId="56C45A14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主成功场景:</w:t>
      </w:r>
    </w:p>
    <w:p w14:paraId="0A4012F8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系统默认显示服务商的所有服务单。</w:t>
      </w:r>
    </w:p>
    <w:p w14:paraId="2D8E9C38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服务商输入查询条件，如：服务单状态（已接、已完成等）、服务时间范围、服务类别或关键字（如服务单号）。</w:t>
      </w:r>
    </w:p>
    <w:p w14:paraId="065875F9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系统根据条件进行筛选，并显示符合条件的服务单列表。</w:t>
      </w:r>
    </w:p>
    <w:p w14:paraId="7CD0BFEF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后置条件: 无系统状态变更。</w:t>
      </w:r>
    </w:p>
    <w:p w14:paraId="57BEAD77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扩展场景:</w:t>
      </w:r>
    </w:p>
    <w:p w14:paraId="428C55F8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3a. 未找到服务单: 如果没有符合条件的服务单，系统提示“没有找到相关服务单”。</w:t>
      </w:r>
    </w:p>
    <w:p w14:paraId="166F7C04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</w:p>
    <w:p w14:paraId="2BEED6D4">
      <w:pPr>
        <w:spacing w:line="360" w:lineRule="auto"/>
        <w:ind w:firstLine="422" w:firstLineChars="200"/>
        <w:rPr>
          <w:rFonts w:hint="eastAsia"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用例 005: 接受服务单 (MALL-SERVICE-005)</w:t>
      </w:r>
    </w:p>
    <w:p w14:paraId="15751994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用例目标: 服务商确认接受一个待处理的服务单。</w:t>
      </w:r>
    </w:p>
    <w:p w14:paraId="1AE613A9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触发事件: 服务商查看一个可接受的服务单详情后，决定承接。</w:t>
      </w:r>
    </w:p>
    <w:p w14:paraId="414ACDA7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前置条件: 存在状态为“待接受”的服务单。</w:t>
      </w:r>
    </w:p>
    <w:p w14:paraId="05F1D084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主成功场景:</w:t>
      </w:r>
    </w:p>
    <w:p w14:paraId="2A560419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系统显示当前可接受服务单的详情。</w:t>
      </w:r>
    </w:p>
    <w:p w14:paraId="20AF1222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服务商选择“接受服务单”。</w:t>
      </w:r>
    </w:p>
    <w:p w14:paraId="6FD191AA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系统提示“接受成功”，并更新该服务单的状态为“已接单”（或“处理中”）。</w:t>
      </w:r>
    </w:p>
    <w:p w14:paraId="5D4FA46D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后置条件: 服务单状态变更，服务商开始履约。</w:t>
      </w:r>
    </w:p>
    <w:p w14:paraId="3A0D5AA8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扩展场景:</w:t>
      </w:r>
    </w:p>
    <w:p w14:paraId="3038128F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2a. 服务超出范围: 若服务商判断该服务不在其服务范围内，可以选择“拒绝服务单”，系统将进入用例“撤销服务单 (MALL-SERVICE-007)”的流程。</w:t>
      </w:r>
    </w:p>
    <w:p w14:paraId="70B7D093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</w:p>
    <w:p w14:paraId="3B56B11E">
      <w:pPr>
        <w:spacing w:line="360" w:lineRule="auto"/>
        <w:ind w:firstLine="422" w:firstLineChars="200"/>
        <w:rPr>
          <w:rFonts w:hint="eastAsia"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用例 006: 完成服务单 (MALL-SERVICE-006)</w:t>
      </w:r>
    </w:p>
    <w:p w14:paraId="29585FF0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用例目标: 服务商在完成服务后，将服务单标记为已完成。</w:t>
      </w:r>
    </w:p>
    <w:p w14:paraId="4F2A6FAA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触发事件: 服务商查看待完成服务单详情，确认服务已实际完成。</w:t>
      </w:r>
    </w:p>
    <w:p w14:paraId="4F9664DE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前置条件: 服务单状态为“处理中”或“待完成”。</w:t>
      </w:r>
    </w:p>
    <w:p w14:paraId="755F4A04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主成功场景:</w:t>
      </w:r>
    </w:p>
    <w:p w14:paraId="2C0BC4AC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系统显示待完成服务单的详情。</w:t>
      </w:r>
    </w:p>
    <w:p w14:paraId="333CF80F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服务商选择“确认完成”。</w:t>
      </w:r>
    </w:p>
    <w:p w14:paraId="74070CA1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系统提示“操作成功”，并更新服务单状态为“已完成”。</w:t>
      </w:r>
    </w:p>
    <w:p w14:paraId="3958A030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后置条件: 服务单状态变更为“已完成”。</w:t>
      </w:r>
    </w:p>
    <w:p w14:paraId="3DC5CAD7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扩展场景:</w:t>
      </w:r>
    </w:p>
    <w:p w14:paraId="650E58E8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1a. 寄修服务单: 如果当前服务单是寄修类型，系统将引导服务商进入“发件 (MALL-SERVICE-009)”用例，在发件完成后才能将此单标记为最终完成。</w:t>
      </w:r>
    </w:p>
    <w:p w14:paraId="7593066C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</w:p>
    <w:p w14:paraId="2700F2EC">
      <w:pPr>
        <w:spacing w:line="360" w:lineRule="auto"/>
        <w:ind w:firstLine="422" w:firstLineChars="200"/>
        <w:rPr>
          <w:rFonts w:hint="eastAsia"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用例 007: 撤销服务单 (MALL-SERVICE-007)</w:t>
      </w:r>
    </w:p>
    <w:p w14:paraId="02B7A768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用例目标: 服务商撤销一个已接受但无法继续执行的服务单。</w:t>
      </w:r>
    </w:p>
    <w:p w14:paraId="7AE3C04D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触发事件: 服务商查看待撤销服务单详情后，确认撤销。</w:t>
      </w:r>
    </w:p>
    <w:p w14:paraId="617509CE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前置条件: 服务单处于可撤销的状态（如“已接单”）。</w:t>
      </w:r>
    </w:p>
    <w:p w14:paraId="1DF26437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主成功场景:</w:t>
      </w:r>
    </w:p>
    <w:p w14:paraId="2472DF56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系统显示待撤销服务单的详情。</w:t>
      </w:r>
    </w:p>
    <w:p w14:paraId="10D9137F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服务商选择“确认撤销”，并填写撤销原因。</w:t>
      </w:r>
    </w:p>
    <w:p w14:paraId="583A17CE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系统提示“撤销成功”，更新服务单状态为“已撤销”，并生成记录反馈给商户和客户。</w:t>
      </w:r>
    </w:p>
    <w:p w14:paraId="4CA9FA95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后置条件: 服务单状态变更为“已撤销”。</w:t>
      </w:r>
    </w:p>
    <w:p w14:paraId="2FFF0C68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扩展场景: 无。</w:t>
      </w:r>
    </w:p>
    <w:p w14:paraId="668BC94C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</w:p>
    <w:p w14:paraId="3B05FD1B">
      <w:pPr>
        <w:spacing w:line="360" w:lineRule="auto"/>
        <w:ind w:firstLine="422" w:firstLineChars="200"/>
        <w:rPr>
          <w:rFonts w:hint="eastAsia"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用例 008: 确认收件 (MALL-SERVICE-008)</w:t>
      </w:r>
    </w:p>
    <w:p w14:paraId="75487011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用例目标: 服务商在收到客户寄修的商品后，在系统中确认收件。</w:t>
      </w:r>
    </w:p>
    <w:p w14:paraId="5B02D60F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触发事件: 服务商查看寄修服务单详情，确认已收到实物。</w:t>
      </w:r>
    </w:p>
    <w:p w14:paraId="7248337D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前置条件: 服务单为寄修类型，且状态为“待收件”。</w:t>
      </w:r>
    </w:p>
    <w:p w14:paraId="3C2F878C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主成功场景:</w:t>
      </w:r>
    </w:p>
    <w:p w14:paraId="0CE2C7D5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系统显示寄修服务单详情。</w:t>
      </w:r>
    </w:p>
    <w:p w14:paraId="1E5D21E5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服务商核对服务单信息与实物，选择“确认收件”。</w:t>
      </w:r>
    </w:p>
    <w:p w14:paraId="317C1EAF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系统提示“收件成功”，并更新服务单状态。</w:t>
      </w:r>
    </w:p>
    <w:p w14:paraId="23E8271D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后置条件: 服务单状态更新为“维修中”或类似状态。</w:t>
      </w:r>
    </w:p>
    <w:p w14:paraId="28A504EB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扩展场景:</w:t>
      </w:r>
    </w:p>
    <w:p w14:paraId="572ADF13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2a. 商品不符或无法维修: 若服务商发现商品不在保修范围或维修意见不一致，可选择“拒绝收件”，系统将进入“撤销服务单”流程，并将原因反馈。</w:t>
      </w:r>
    </w:p>
    <w:p w14:paraId="5EE7E56D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</w:p>
    <w:p w14:paraId="3C5E6E27">
      <w:pPr>
        <w:spacing w:line="360" w:lineRule="auto"/>
        <w:ind w:firstLine="422" w:firstLineChars="200"/>
        <w:rPr>
          <w:rFonts w:hint="eastAsia"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用例 009: 发件 (MALL-SERVICE-009)</w:t>
      </w:r>
    </w:p>
    <w:p w14:paraId="66C94475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用例目标: 服务商完成寄修服务后，将商品寄回并录入物流信息。</w:t>
      </w:r>
    </w:p>
    <w:p w14:paraId="0114C6AF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触发事件: 服务商完成寄修或拒绝收件，需要将商品寄回。</w:t>
      </w:r>
    </w:p>
    <w:p w14:paraId="22D00FD8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前置条件: 服务单为寄修类型，状态为“待发货”。</w:t>
      </w:r>
    </w:p>
    <w:p w14:paraId="51E5EBA3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主成功场景:</w:t>
      </w:r>
    </w:p>
    <w:p w14:paraId="6438F573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系统显示需要寄回商品的对应服务单信息。</w:t>
      </w:r>
    </w:p>
    <w:p w14:paraId="789AD119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服务商上传物流单号并确认发件。</w:t>
      </w:r>
    </w:p>
    <w:p w14:paraId="56546171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系统显示“发件成功”，并更新物流状态为“已发件”。</w:t>
      </w:r>
    </w:p>
    <w:p w14:paraId="55C9D3C3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后置条件: 服务单的物流状态更新。</w:t>
      </w:r>
    </w:p>
    <w:p w14:paraId="04DFB147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扩展场景:</w:t>
      </w:r>
    </w:p>
    <w:p w14:paraId="73462BAA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2a. 未按时发件: 如果服务商未在规定时间内上传物流单号，系统将发送提醒通知。</w:t>
      </w:r>
    </w:p>
    <w:p w14:paraId="4198C6E4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</w:p>
    <w:p w14:paraId="11DEB3CB">
      <w:pPr>
        <w:spacing w:line="360" w:lineRule="auto"/>
        <w:ind w:firstLine="422" w:firstLineChars="200"/>
        <w:rPr>
          <w:rFonts w:hint="eastAsia"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模块：服务-服务商管理</w:t>
      </w:r>
    </w:p>
    <w:p w14:paraId="5D9D9E6C">
      <w:pPr>
        <w:spacing w:line="360" w:lineRule="auto"/>
        <w:ind w:firstLine="422" w:firstLineChars="200"/>
        <w:rPr>
          <w:rFonts w:hint="eastAsia"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参与者：商户</w:t>
      </w:r>
    </w:p>
    <w:p w14:paraId="26EB3454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</w:p>
    <w:p w14:paraId="0804F34A">
      <w:pPr>
        <w:spacing w:line="360" w:lineRule="auto"/>
        <w:ind w:firstLine="422" w:firstLineChars="200"/>
        <w:rPr>
          <w:rFonts w:hint="eastAsia"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用例 010: 查询服务商 (MALL-SERVICE-010)</w:t>
      </w:r>
    </w:p>
    <w:p w14:paraId="3A38C845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用例目标: 商户根据条件查询符合要求的服务商。</w:t>
      </w:r>
    </w:p>
    <w:p w14:paraId="3DDC4F3F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触发事件: 商户需要寻找、查看或管理服务商。</w:t>
      </w:r>
    </w:p>
    <w:p w14:paraId="057B86CD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主成功场景:</w:t>
      </w:r>
    </w:p>
    <w:p w14:paraId="650E3918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系统显示所有合作或平台内的服务商列表。</w:t>
      </w:r>
    </w:p>
    <w:p w14:paraId="44A2B871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商户输入查询条件，如服务商状态（正常、待设定等）、服务类型、服务地区或服务商名称。</w:t>
      </w:r>
    </w:p>
    <w:p w14:paraId="301707CF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系统显示符合条件的服务商列表</w:t>
      </w:r>
    </w:p>
    <w:p w14:paraId="7732A07E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商户选择目标服务商。</w:t>
      </w:r>
    </w:p>
    <w:p w14:paraId="07BC2931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系统显示该服务商的详细信息（名称、类型、地区、状态、服务品牌、地址、联系方式）。</w:t>
      </w:r>
    </w:p>
    <w:p w14:paraId="000B1992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后置条件: 无系统状态变更。</w:t>
      </w:r>
    </w:p>
    <w:p w14:paraId="7A6F37A4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扩展场景:</w:t>
      </w:r>
    </w:p>
    <w:p w14:paraId="4EEFBEAA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3a. 未找到服务商: 如果没有符合条件的服务商，系统提示“没有找到相关服务商”。</w:t>
      </w:r>
    </w:p>
    <w:p w14:paraId="5E72655C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后续用例分析将遵循以上结构，简洁列出核心要点：</w:t>
      </w:r>
    </w:p>
    <w:p w14:paraId="65A75FF3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</w:p>
    <w:p w14:paraId="0F50B36D">
      <w:pPr>
        <w:spacing w:line="360" w:lineRule="auto"/>
        <w:ind w:firstLine="422" w:firstLineChars="200"/>
        <w:rPr>
          <w:rFonts w:hint="eastAsia"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用例 011: 设定服务商 (MALL-SERVICE-011)</w:t>
      </w:r>
    </w:p>
    <w:p w14:paraId="6CBA4BF5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目标: 查看申请提供服务的服务商信息后，商户为目标服务商设定服务资格。</w:t>
      </w:r>
    </w:p>
    <w:p w14:paraId="4200F070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主场景: 当商户选择查看确认要设定的服务商信息，系统显示该待设定服务商信息 -&gt; 确认设定 -&gt; 系统提示成功，更新服务商状态并提醒服务商。</w:t>
      </w:r>
    </w:p>
    <w:p w14:paraId="3914CB09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</w:p>
    <w:p w14:paraId="28D326CE">
      <w:pPr>
        <w:spacing w:line="360" w:lineRule="auto"/>
        <w:ind w:firstLine="422" w:firstLineChars="200"/>
        <w:rPr>
          <w:rFonts w:hint="eastAsia"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用例 012: 暂停服务商 (MALL-SERVICE-012)</w:t>
      </w:r>
    </w:p>
    <w:p w14:paraId="40973EE2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目标: 商户暂停某个服务商的服务资格。</w:t>
      </w:r>
    </w:p>
    <w:p w14:paraId="0554473C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主场景: 当商户选择查看确认要暂停的服务商信息，系统显示该待暂停服务商信息 -&gt; 确认暂停 -&gt; 系统提示成功并更新服务商状态。</w:t>
      </w:r>
    </w:p>
    <w:p w14:paraId="0D3D8831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</w:p>
    <w:p w14:paraId="33D09274">
      <w:pPr>
        <w:spacing w:line="360" w:lineRule="auto"/>
        <w:ind w:firstLine="422" w:firstLineChars="200"/>
        <w:rPr>
          <w:rFonts w:hint="eastAsia"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用例 013: 恢复服务商 (MALL-SERVICE-013)</w:t>
      </w:r>
    </w:p>
    <w:p w14:paraId="062CB185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目标: 商户恢复被暂停的服务商的服务资格。</w:t>
      </w:r>
    </w:p>
    <w:p w14:paraId="7BA2F7EE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主场景: 当商户选择查看确认要恢复的服务商信息，系统显示该被暂停服务商信息 -&gt; 确认恢复 -&gt; 系统提示成功并更新服务商状态。</w:t>
      </w:r>
    </w:p>
    <w:p w14:paraId="360E63A4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</w:p>
    <w:p w14:paraId="7299B64D">
      <w:pPr>
        <w:spacing w:line="360" w:lineRule="auto"/>
        <w:ind w:firstLine="422" w:firstLineChars="200"/>
        <w:rPr>
          <w:rFonts w:hint="eastAsia"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用例 014: 取消服务商 (MALL-SERVICE-014)</w:t>
      </w:r>
    </w:p>
    <w:p w14:paraId="5445FD99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目标: 商户与服务商解除合作关系。</w:t>
      </w:r>
    </w:p>
    <w:p w14:paraId="623D3B91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主场景: 当商户选择查看确认要取消的服务商信息，系统显示该待取消合作的服务商 -&gt; 确认取消 -&gt; 系统显示取消成功。</w:t>
      </w:r>
    </w:p>
    <w:p w14:paraId="62230DA1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扩展: 3a. 若该服务商仍有未完成的服务单，系统提示“无法取消”。</w:t>
      </w:r>
    </w:p>
    <w:p w14:paraId="75CEBF2A">
      <w:pPr>
        <w:spacing w:line="360" w:lineRule="auto"/>
        <w:ind w:firstLine="480"/>
        <w:rPr>
          <w:rFonts w:hint="eastAsia" w:ascii="宋体" w:hAnsi="宋体" w:eastAsia="宋体"/>
          <w:szCs w:val="21"/>
        </w:rPr>
      </w:pPr>
    </w:p>
    <w:p w14:paraId="6EA5B88D">
      <w:pPr>
        <w:spacing w:line="360" w:lineRule="auto"/>
        <w:ind w:firstLine="422" w:firstLineChars="200"/>
        <w:rPr>
          <w:rFonts w:hint="eastAsia"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模块：服务-服务单管理</w:t>
      </w:r>
    </w:p>
    <w:p w14:paraId="66A5DC47">
      <w:pPr>
        <w:spacing w:line="360" w:lineRule="auto"/>
        <w:ind w:firstLine="422" w:firstLineChars="200"/>
        <w:rPr>
          <w:rFonts w:hint="eastAsia"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参与者：商户</w:t>
      </w:r>
    </w:p>
    <w:p w14:paraId="04006EBB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</w:p>
    <w:p w14:paraId="0CB637A3">
      <w:pPr>
        <w:spacing w:line="360" w:lineRule="auto"/>
        <w:ind w:firstLine="422" w:firstLineChars="200"/>
        <w:rPr>
          <w:rFonts w:hint="eastAsia"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用例 015: 指派服务单 (MALL-SERVICE-015)</w:t>
      </w:r>
    </w:p>
    <w:p w14:paraId="0723EF0D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目标: 商户将一个服务单指派给合适的服务商。</w:t>
      </w:r>
    </w:p>
    <w:p w14:paraId="105E0392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主场景: 显示待指派服务单 -&gt; 展示可指派的服务商列表 -&gt; 商户选择服务商进行指派 -&gt; 系统更改服务单状态并提醒被指派的服务商。</w:t>
      </w:r>
    </w:p>
    <w:p w14:paraId="1B6CED90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扩展:</w:t>
      </w:r>
    </w:p>
    <w:p w14:paraId="54E71FB4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2a. 若暂无合适的服务商，系统提示没有符合条件的服务商。</w:t>
      </w:r>
    </w:p>
    <w:p w14:paraId="41B80FA3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3a. 若选择的服务商被占用（如达到服务上限），系统提示该服务商被占用，商户可选择稍后指派或更换。</w:t>
      </w:r>
    </w:p>
    <w:p w14:paraId="4D3CB27C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</w:p>
    <w:p w14:paraId="648930E8">
      <w:pPr>
        <w:spacing w:line="360" w:lineRule="auto"/>
        <w:ind w:firstLine="422" w:firstLineChars="200"/>
        <w:rPr>
          <w:rFonts w:hint="eastAsia"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用例 016: 创建服务单 (MALL-SERVICE-016)</w:t>
      </w:r>
    </w:p>
    <w:p w14:paraId="190EDDDD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目标: 商户根据用户需求手动创建一个新的服务单。</w:t>
      </w:r>
    </w:p>
    <w:p w14:paraId="500883C1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主场景: 当用户提出服务需求后，选择创建服务单 -&gt; 填写服务单内容（服务时间、类别、地点、用户需求） -&gt; 系统生成服务单并返回服务单信息。</w:t>
      </w:r>
    </w:p>
    <w:p w14:paraId="09078E0F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扩展: 1a. 若商户未填写完整信息，系统提示信息不完整，要求重新填写。</w:t>
      </w:r>
    </w:p>
    <w:p w14:paraId="2A4D8C71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</w:p>
    <w:p w14:paraId="43014CC5">
      <w:pPr>
        <w:spacing w:line="360" w:lineRule="auto"/>
        <w:ind w:firstLine="422" w:firstLineChars="200"/>
        <w:rPr>
          <w:rFonts w:hint="eastAsia"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模块：售后</w:t>
      </w:r>
    </w:p>
    <w:p w14:paraId="23EB0CA5">
      <w:pPr>
        <w:spacing w:line="360" w:lineRule="auto"/>
        <w:ind w:firstLine="422" w:firstLineChars="200"/>
        <w:rPr>
          <w:rFonts w:hint="eastAsia"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参与者：商户</w:t>
      </w:r>
    </w:p>
    <w:p w14:paraId="0B50CFB7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</w:p>
    <w:p w14:paraId="69E66FB3">
      <w:pPr>
        <w:spacing w:line="360" w:lineRule="auto"/>
        <w:ind w:firstLine="422" w:firstLineChars="200"/>
        <w:rPr>
          <w:rFonts w:hint="eastAsia"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用例 001: 审核售后 (MALL-POST-001)</w:t>
      </w:r>
    </w:p>
    <w:p w14:paraId="75F9770C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目标: 商户对用户的售后申请进行审核处理。</w:t>
      </w:r>
    </w:p>
    <w:p w14:paraId="35C3B0D2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主场景: 当商户进行售后审核时，显示待审核售后申请详情（单号、状态、原因、类型、订单信息等） -&gt; 商户选择“通过” -&gt; 系统提示成功并通过，更新售后申请状态。</w:t>
      </w:r>
    </w:p>
    <w:p w14:paraId="2F63358B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扩展: 2a. 若售后申请不在服务范围内，商户选择“拒绝”，系统进入“取消售后 (MALL-POST-003)”流程。</w:t>
      </w:r>
    </w:p>
    <w:p w14:paraId="0C09D364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</w:p>
    <w:p w14:paraId="31E5AC2E">
      <w:pPr>
        <w:spacing w:line="360" w:lineRule="auto"/>
        <w:ind w:firstLine="422" w:firstLineChars="200"/>
        <w:rPr>
          <w:rFonts w:hint="eastAsia"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用例 002: 检查退换货商品 (MALL-POST-002)</w:t>
      </w:r>
    </w:p>
    <w:p w14:paraId="71228145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目标: 商户在收到客户寄回的退换货商品后进行检查和确认。</w:t>
      </w:r>
    </w:p>
    <w:p w14:paraId="75B34E1A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主场景: 当商户查看退换货售后申请详细信息时，显示售后申请详情 -&gt; 商户核对并确认收到商品 -&gt; 系统提示已确认退换货并更新状态。</w:t>
      </w:r>
    </w:p>
    <w:p w14:paraId="7AC84503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扩展: 2a. 若商品不符合退换货要求，商户选择“拒收”，系统进入“取消售后 (MALL-POST-003)”流程。</w:t>
      </w:r>
    </w:p>
    <w:p w14:paraId="700C70CF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</w:p>
    <w:p w14:paraId="38C81F22">
      <w:pPr>
        <w:spacing w:line="360" w:lineRule="auto"/>
        <w:ind w:firstLine="422" w:firstLineChars="200"/>
        <w:rPr>
          <w:rFonts w:hint="eastAsia"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用例 003: 取消售后 (MALL-POST-003)</w:t>
      </w:r>
    </w:p>
    <w:p w14:paraId="10DE7B16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目标: 商户取消一个售后申请（因审核不通过或拒收商品）。</w:t>
      </w:r>
    </w:p>
    <w:p w14:paraId="4224B669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主场景: 显示审核未通过的售后申请详情 -&gt; 商户确认取消 -&gt; 系统提示已取消，更新状态并反馈给客户。</w:t>
      </w:r>
    </w:p>
    <w:p w14:paraId="1576B58F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</w:p>
    <w:p w14:paraId="13B39971">
      <w:pPr>
        <w:spacing w:line="360" w:lineRule="auto"/>
        <w:ind w:firstLine="422" w:firstLineChars="200"/>
        <w:rPr>
          <w:rFonts w:hint="eastAsia"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用例 004: 查询售后 (MALL-POST-004)</w:t>
      </w:r>
    </w:p>
    <w:p w14:paraId="11594E2F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目标: 商户根据条件查询售后申请。</w:t>
      </w:r>
    </w:p>
    <w:p w14:paraId="21471F1A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主场景: 当商户选择查询售后申请时，系统显示所有售后申请 -&gt; 商户选择按状态、原因、时间或关键字查询 -&gt; 系统显示符合条件的售后申请列表 -&gt; 选择目标申请可查看详情。</w:t>
      </w:r>
    </w:p>
    <w:p w14:paraId="2BC96FAA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扩展: 3a. 未找到相关售后申请时系统给出提示。</w:t>
      </w:r>
    </w:p>
    <w:p w14:paraId="4D6CAA9C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</w:p>
    <w:p w14:paraId="742336FA">
      <w:pPr>
        <w:spacing w:line="360" w:lineRule="auto"/>
        <w:ind w:firstLine="420" w:firstLineChars="200"/>
        <w:rPr>
          <w:rFonts w:ascii="宋体" w:hAnsi="宋体" w:eastAsia="宋体"/>
          <w:szCs w:val="21"/>
        </w:rPr>
      </w:pPr>
    </w:p>
    <w:p w14:paraId="5DD6B986">
      <w:pPr>
        <w:spacing w:line="360" w:lineRule="auto"/>
        <w:ind w:firstLine="420" w:firstLineChars="200"/>
        <w:rPr>
          <w:rFonts w:ascii="宋体" w:hAnsi="宋体" w:eastAsia="宋体"/>
          <w:szCs w:val="21"/>
        </w:rPr>
      </w:pPr>
    </w:p>
    <w:p w14:paraId="47C670DA">
      <w:pPr>
        <w:spacing w:line="360" w:lineRule="auto"/>
        <w:ind w:firstLine="420" w:firstLineChars="200"/>
        <w:rPr>
          <w:rFonts w:ascii="宋体" w:hAnsi="宋体" w:eastAsia="宋体"/>
          <w:szCs w:val="21"/>
        </w:rPr>
      </w:pPr>
    </w:p>
    <w:p w14:paraId="0766C08B">
      <w:pPr>
        <w:spacing w:line="360" w:lineRule="auto"/>
        <w:ind w:firstLine="420" w:firstLineChars="200"/>
        <w:rPr>
          <w:rFonts w:ascii="宋体" w:hAnsi="宋体" w:eastAsia="宋体"/>
          <w:szCs w:val="21"/>
        </w:rPr>
      </w:pPr>
    </w:p>
    <w:p w14:paraId="3A16C5BF">
      <w:pPr>
        <w:spacing w:line="360" w:lineRule="auto"/>
        <w:ind w:firstLine="420" w:firstLineChars="200"/>
        <w:rPr>
          <w:rFonts w:ascii="宋体" w:hAnsi="宋体" w:eastAsia="宋体"/>
          <w:szCs w:val="21"/>
        </w:rPr>
      </w:pPr>
    </w:p>
    <w:p w14:paraId="3AF6D571">
      <w:pPr>
        <w:spacing w:line="360" w:lineRule="auto"/>
        <w:ind w:firstLine="420" w:firstLineChars="200"/>
        <w:rPr>
          <w:rFonts w:ascii="宋体" w:hAnsi="宋体" w:eastAsia="宋体"/>
          <w:szCs w:val="21"/>
        </w:rPr>
      </w:pPr>
    </w:p>
    <w:p w14:paraId="5193EEF3">
      <w:pPr>
        <w:spacing w:line="360" w:lineRule="auto"/>
        <w:ind w:firstLine="420" w:firstLineChars="200"/>
        <w:rPr>
          <w:rFonts w:ascii="宋体" w:hAnsi="宋体" w:eastAsia="宋体"/>
          <w:szCs w:val="21"/>
        </w:rPr>
      </w:pPr>
    </w:p>
    <w:p w14:paraId="22D697F8">
      <w:pPr>
        <w:spacing w:line="360" w:lineRule="auto"/>
        <w:ind w:firstLine="420" w:firstLineChars="200"/>
        <w:rPr>
          <w:rFonts w:ascii="宋体" w:hAnsi="宋体" w:eastAsia="宋体"/>
          <w:szCs w:val="21"/>
        </w:rPr>
      </w:pPr>
    </w:p>
    <w:p w14:paraId="550DFED0">
      <w:pPr>
        <w:spacing w:line="360" w:lineRule="auto"/>
        <w:ind w:firstLine="420" w:firstLineChars="200"/>
        <w:rPr>
          <w:rFonts w:ascii="宋体" w:hAnsi="宋体" w:eastAsia="宋体"/>
          <w:szCs w:val="21"/>
        </w:rPr>
      </w:pPr>
    </w:p>
    <w:p w14:paraId="21F5B91C">
      <w:pPr>
        <w:spacing w:line="360" w:lineRule="auto"/>
        <w:ind w:firstLine="420" w:firstLineChars="200"/>
        <w:rPr>
          <w:rFonts w:ascii="宋体" w:hAnsi="宋体" w:eastAsia="宋体"/>
          <w:szCs w:val="21"/>
        </w:rPr>
      </w:pPr>
    </w:p>
    <w:p w14:paraId="0DDE1791">
      <w:pPr>
        <w:spacing w:line="360" w:lineRule="auto"/>
        <w:ind w:firstLine="420" w:firstLineChars="200"/>
        <w:rPr>
          <w:rFonts w:ascii="宋体" w:hAnsi="宋体" w:eastAsia="宋体"/>
          <w:szCs w:val="21"/>
        </w:rPr>
      </w:pPr>
    </w:p>
    <w:p w14:paraId="146C440D">
      <w:pPr>
        <w:spacing w:line="360" w:lineRule="auto"/>
        <w:ind w:firstLine="420" w:firstLineChars="200"/>
        <w:rPr>
          <w:rFonts w:ascii="宋体" w:hAnsi="宋体" w:eastAsia="宋体"/>
          <w:szCs w:val="21"/>
        </w:rPr>
      </w:pPr>
    </w:p>
    <w:p w14:paraId="52BB401B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</w:p>
    <w:p w14:paraId="6CE2A75F">
      <w:pPr>
        <w:pStyle w:val="33"/>
        <w:numPr>
          <w:ilvl w:val="0"/>
          <w:numId w:val="1"/>
        </w:numPr>
        <w:spacing w:line="360" w:lineRule="auto"/>
        <w:ind w:left="360" w:leftChars="0" w:hanging="360" w:firstLineChars="0"/>
        <w:outlineLvl w:val="0"/>
        <w:rPr>
          <w:rFonts w:hint="eastAsia" w:ascii="宋体" w:hAnsi="宋体" w:eastAsia="宋体"/>
          <w:b/>
          <w:bCs/>
          <w:sz w:val="32"/>
          <w:szCs w:val="32"/>
        </w:rPr>
      </w:pPr>
      <w:bookmarkStart w:id="8" w:name="_Toc12866"/>
      <w:r>
        <w:rPr>
          <w:rFonts w:hint="eastAsia" w:ascii="宋体" w:hAnsi="宋体" w:eastAsia="宋体"/>
          <w:b/>
          <w:bCs/>
          <w:sz w:val="32"/>
          <w:szCs w:val="32"/>
        </w:rPr>
        <w:t>业务流程分析</w:t>
      </w:r>
      <w:bookmarkEnd w:id="8"/>
    </w:p>
    <w:p w14:paraId="6CB70A75">
      <w:pPr>
        <w:pStyle w:val="33"/>
        <w:numPr>
          <w:ilvl w:val="0"/>
          <w:numId w:val="4"/>
        </w:numPr>
        <w:spacing w:line="360" w:lineRule="auto"/>
        <w:ind w:left="720" w:leftChars="0" w:hanging="360" w:firstLineChars="0"/>
        <w:outlineLvl w:val="1"/>
        <w:rPr>
          <w:rFonts w:hint="eastAsia" w:ascii="宋体" w:hAnsi="宋体" w:eastAsia="宋体"/>
          <w:b/>
          <w:bCs/>
          <w:sz w:val="24"/>
          <w:szCs w:val="24"/>
        </w:rPr>
      </w:pPr>
      <w:bookmarkStart w:id="9" w:name="_Toc24517"/>
      <w:r>
        <w:rPr>
          <w:rFonts w:hint="eastAsia" w:ascii="宋体" w:hAnsi="宋体" w:eastAsia="宋体"/>
          <w:b/>
          <w:bCs/>
          <w:sz w:val="24"/>
          <w:szCs w:val="24"/>
        </w:rPr>
        <w:t>服务</w:t>
      </w:r>
      <w:bookmarkEnd w:id="9"/>
    </w:p>
    <w:p w14:paraId="38FD750E">
      <w:pPr>
        <w:spacing w:line="360" w:lineRule="auto"/>
        <w:ind w:firstLine="422" w:firstLineChars="200"/>
        <w:rPr>
          <w:rFonts w:hint="eastAsia"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路径一：上门服务流程</w:t>
      </w:r>
    </w:p>
    <w:p w14:paraId="6E806742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1.触发:服务商在接受服务单后，决策选择“上门服务”。</w:t>
      </w:r>
    </w:p>
    <w:p w14:paraId="4F0652A0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2.执行:服务商执行上门服务活动。这是一个线下过程。</w:t>
      </w:r>
    </w:p>
    <w:p w14:paraId="409CA382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3.结果:</w:t>
      </w:r>
    </w:p>
    <w:p w14:paraId="543994D5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（1）服务成功:状态流向完成服务单，服务流程结束。此路径对应MALL-SERVICE-007。</w:t>
      </w:r>
    </w:p>
    <w:p w14:paraId="400F8AB8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（2）服务取消:状态流向撤销服务单，服务流程结束。此路径对应MALL-SERVICE-004。</w:t>
      </w:r>
    </w:p>
    <w:p w14:paraId="2F49786E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</w:p>
    <w:p w14:paraId="309DE7A8">
      <w:pPr>
        <w:spacing w:line="360" w:lineRule="auto"/>
        <w:ind w:firstLine="422" w:firstLineChars="200"/>
        <w:outlineLvl w:val="2"/>
        <w:rPr>
          <w:rFonts w:hint="eastAsia"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路径二：寄修服务流程</w:t>
      </w:r>
    </w:p>
    <w:p w14:paraId="34CCEDC0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1.触发:服务商在接受服务单后，决策选择“寄修服务”。</w:t>
      </w:r>
    </w:p>
    <w:p w14:paraId="34C9B0CC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2.正向物流（顾客-&gt;服务商）:</w:t>
      </w:r>
    </w:p>
    <w:p w14:paraId="389057FA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（1）服务商下达上门取件快递单(MALL-SERVICE-008)。</w:t>
      </w:r>
    </w:p>
    <w:p w14:paraId="148BF1CE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（2）物流公司执行一系列线下操作：上门取件-&gt;揽收-&gt;配送-&gt;签收。</w:t>
      </w:r>
    </w:p>
    <w:p w14:paraId="57C83976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（3）服务商确认收件(MALL-SERVICE-009)，标志着物品已到达。</w:t>
      </w:r>
    </w:p>
    <w:p w14:paraId="3751449A">
      <w:pPr>
        <w:spacing w:line="360" w:lineRule="auto"/>
        <w:ind w:firstLine="420" w:firstLineChars="200"/>
        <w:outlineLvl w:val="1"/>
        <w:rPr>
          <w:rFonts w:hint="eastAsia" w:ascii="宋体" w:hAnsi="宋体" w:eastAsia="宋体"/>
          <w:szCs w:val="21"/>
        </w:rPr>
      </w:pPr>
      <w:bookmarkStart w:id="10" w:name="_Toc7347"/>
      <w:r>
        <w:rPr>
          <w:rFonts w:hint="eastAsia" w:ascii="宋体" w:hAnsi="宋体" w:eastAsia="宋体"/>
          <w:szCs w:val="21"/>
        </w:rPr>
        <w:t>3.服务执行:</w:t>
      </w:r>
      <w:bookmarkEnd w:id="10"/>
    </w:p>
    <w:p w14:paraId="43C18E87">
      <w:pPr>
        <w:spacing w:line="360" w:lineRule="auto"/>
        <w:ind w:firstLine="420" w:firstLineChars="200"/>
        <w:outlineLvl w:val="2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（1）检验:服务商检查收到的物品是否与服务单相符。</w:t>
      </w:r>
    </w:p>
    <w:p w14:paraId="7385AEED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不符:直接流向撤销服务单(MALL-SERVICE-004)，并进入逆向物流环节。</w:t>
      </w:r>
    </w:p>
    <w:p w14:paraId="6A94AACA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ab/>
      </w:r>
      <w:r>
        <w:rPr>
          <w:rFonts w:hint="eastAsia" w:ascii="宋体" w:hAnsi="宋体" w:eastAsia="宋体"/>
          <w:szCs w:val="21"/>
        </w:rPr>
        <w:t>相符:进入维修环节(MALL-SERVICE-010)。</w:t>
      </w:r>
    </w:p>
    <w:p w14:paraId="6468E86A">
      <w:pPr>
        <w:spacing w:line="360" w:lineRule="auto"/>
        <w:ind w:firstLine="420" w:firstLineChars="200"/>
        <w:outlineLvl w:val="2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（2）维修结果:</w:t>
      </w:r>
    </w:p>
    <w:p w14:paraId="27A90CF7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ab/>
      </w:r>
      <w:r>
        <w:rPr>
          <w:rFonts w:hint="eastAsia" w:ascii="宋体" w:hAnsi="宋体" w:eastAsia="宋体"/>
          <w:szCs w:val="21"/>
        </w:rPr>
        <w:t>维修成功:流向完成服务单(MALL-SERVICE-007)，准备寄回。</w:t>
      </w:r>
    </w:p>
    <w:p w14:paraId="1B632D22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ab/>
      </w:r>
      <w:r>
        <w:rPr>
          <w:rFonts w:hint="eastAsia" w:ascii="宋体" w:hAnsi="宋体" w:eastAsia="宋体"/>
          <w:szCs w:val="21"/>
        </w:rPr>
        <w:t>维修失败:流向撤销服务单(MALL-SERVICE-004)，准备寄回。</w:t>
      </w:r>
    </w:p>
    <w:p w14:paraId="46C73D2E">
      <w:pPr>
        <w:spacing w:line="360" w:lineRule="auto"/>
        <w:ind w:firstLine="420" w:firstLineChars="200"/>
        <w:outlineLvl w:val="1"/>
        <w:rPr>
          <w:rFonts w:hint="eastAsia" w:ascii="宋体" w:hAnsi="宋体" w:eastAsia="宋体"/>
          <w:szCs w:val="21"/>
        </w:rPr>
      </w:pPr>
      <w:bookmarkStart w:id="11" w:name="_Toc32054"/>
      <w:r>
        <w:rPr>
          <w:rFonts w:hint="eastAsia" w:ascii="宋体" w:hAnsi="宋体" w:eastAsia="宋体"/>
          <w:szCs w:val="21"/>
        </w:rPr>
        <w:t>4.逆向物流（服务商-&gt;顾客）:</w:t>
      </w:r>
      <w:bookmarkEnd w:id="11"/>
    </w:p>
    <w:p w14:paraId="6482E0A8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（1）无论是服务完成还是取消，只要有实体物品，服务商都需要下运件快递单(MALL-SERVICE-008)，将物品寄回。</w:t>
      </w:r>
    </w:p>
    <w:p w14:paraId="0BF169CC">
      <w:pPr>
        <w:spacing w:line="360" w:lineRule="auto"/>
        <w:ind w:firstLine="420" w:firstLineChars="200"/>
        <w:outlineLvl w:val="2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（2）物流公司再次执行配送。</w:t>
      </w:r>
    </w:p>
    <w:p w14:paraId="477465A4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（3）顾客确认收件(MALL-SERVICE-011)，流程闭环。</w:t>
      </w:r>
    </w:p>
    <w:p w14:paraId="576C16B3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</w:p>
    <w:p w14:paraId="68AFADDD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</w:p>
    <w:p w14:paraId="63ABC08A">
      <w:pPr>
        <w:pStyle w:val="33"/>
        <w:numPr>
          <w:ilvl w:val="0"/>
          <w:numId w:val="4"/>
        </w:numPr>
        <w:spacing w:line="360" w:lineRule="auto"/>
        <w:ind w:left="720" w:leftChars="0" w:hanging="360" w:firstLineChars="0"/>
        <w:outlineLvl w:val="1"/>
        <w:rPr>
          <w:rFonts w:hint="eastAsia" w:ascii="宋体" w:hAnsi="宋体" w:eastAsia="宋体"/>
          <w:b/>
          <w:bCs/>
          <w:sz w:val="24"/>
          <w:szCs w:val="24"/>
        </w:rPr>
      </w:pPr>
      <w:bookmarkStart w:id="12" w:name="_Toc7860"/>
      <w:r>
        <w:rPr>
          <w:rFonts w:hint="eastAsia" w:ascii="宋体" w:hAnsi="宋体" w:eastAsia="宋体"/>
          <w:b/>
          <w:bCs/>
          <w:sz w:val="24"/>
          <w:szCs w:val="24"/>
        </w:rPr>
        <w:t>售后</w:t>
      </w:r>
      <w:bookmarkEnd w:id="12"/>
    </w:p>
    <w:p w14:paraId="4F066425">
      <w:pPr>
        <w:spacing w:line="360" w:lineRule="auto"/>
        <w:ind w:firstLine="422" w:firstLineChars="200"/>
        <w:rPr>
          <w:rFonts w:hint="eastAsia"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路径一：维修流程</w:t>
      </w:r>
    </w:p>
    <w:p w14:paraId="433CBC81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1.触发:顾客发起申请维修。</w:t>
      </w:r>
    </w:p>
    <w:p w14:paraId="0C186B45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2.审批:商户进行审核售后。</w:t>
      </w:r>
    </w:p>
    <w:p w14:paraId="1FD7F7B5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（1）若审核不通过，流程转向取消售后并结束。</w:t>
      </w:r>
    </w:p>
    <w:p w14:paraId="3B4692BA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（2）若授权申请，流程继续</w:t>
      </w:r>
    </w:p>
    <w:p w14:paraId="1D77B759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3.执行:流程进入服务子流程。此子流程的执行完全由服务流程图定义，并由服务商主导。其内部活动与用例的对应关系如下：</w:t>
      </w:r>
    </w:p>
    <w:p w14:paraId="14C199A4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（1）服务商接受任务：MALL-SERVICE-006:接受服务单</w:t>
      </w:r>
    </w:p>
    <w:p w14:paraId="622FE6EB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（2）根据情况选择上门或寄修，并执行相应操作（如安排上门、安排取件MALL-SERVICE-008、收货MALL-SERVICE-009、维修MALL-SERVICE-010等）。</w:t>
      </w:r>
    </w:p>
    <w:p w14:paraId="62BAA401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4.闭环:服务子流程完成后（对应MALL-SERVICE-007:服务单完成或MALL-SERVICE-004:撤销服务单），状态同步更新，最终整个售后流程流向售后完成。</w:t>
      </w:r>
    </w:p>
    <w:p w14:paraId="2D32A403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</w:p>
    <w:p w14:paraId="0ACAE547">
      <w:pPr>
        <w:spacing w:line="360" w:lineRule="auto"/>
        <w:ind w:firstLine="422" w:firstLineChars="200"/>
        <w:rPr>
          <w:rFonts w:hint="eastAsia"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路径二：退货流程</w:t>
      </w:r>
    </w:p>
    <w:p w14:paraId="24CA94A2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1.触发:顾客发起申请退货。</w:t>
      </w:r>
    </w:p>
    <w:p w14:paraId="0AB4DB67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2.审批:商户进行确认收件（审核申请），审批通过后授权申请。</w:t>
      </w:r>
    </w:p>
    <w:p w14:paraId="5751BC02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3.逆向物流（顾客-&gt;商户）:</w:t>
      </w:r>
    </w:p>
    <w:p w14:paraId="75A67E67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（1）商户触发售后取件，系统生成取货快递单。</w:t>
      </w:r>
    </w:p>
    <w:p w14:paraId="0F4C21EB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（2）物流公司执行上门取货，形成退货包裹并送达商户。</w:t>
      </w:r>
    </w:p>
    <w:p w14:paraId="76BDE871">
      <w:pPr>
        <w:spacing w:line="360" w:lineRule="auto"/>
        <w:ind w:firstLine="420" w:firstLineChars="200"/>
        <w:outlineLvl w:val="1"/>
        <w:rPr>
          <w:rFonts w:hint="eastAsia" w:ascii="宋体" w:hAnsi="宋体" w:eastAsia="宋体"/>
          <w:szCs w:val="21"/>
        </w:rPr>
      </w:pPr>
      <w:bookmarkStart w:id="13" w:name="_Toc5715"/>
      <w:r>
        <w:rPr>
          <w:rFonts w:hint="eastAsia" w:ascii="宋体" w:hAnsi="宋体" w:eastAsia="宋体"/>
          <w:szCs w:val="21"/>
        </w:rPr>
        <w:t>4.检验与决策:</w:t>
      </w:r>
      <w:bookmarkEnd w:id="13"/>
    </w:p>
    <w:p w14:paraId="6E8B4077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（1）商户对退货包裹进行检验。</w:t>
      </w:r>
    </w:p>
    <w:p w14:paraId="6F351A86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（2）若检查未通过</w:t>
      </w:r>
    </w:p>
    <w:p w14:paraId="63478C46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ab/>
      </w:r>
      <w:r>
        <w:rPr>
          <w:rFonts w:hint="eastAsia" w:ascii="宋体" w:hAnsi="宋体" w:eastAsia="宋体"/>
          <w:szCs w:val="21"/>
        </w:rPr>
        <w:t>i.商户产生派件快递单后，触发物流公司的二次物流。</w:t>
      </w:r>
    </w:p>
    <w:p w14:paraId="4ADD5489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ii.物流公司执行收货（从商户处取走商品）和派件包裹（将商品送回顾客）。</w:t>
      </w:r>
    </w:p>
    <w:p w14:paraId="2800F652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iii.顾客收到退回的商品后，售后流程结束，状态应为“已关闭”或“已拒绝”。</w:t>
      </w:r>
    </w:p>
    <w:p w14:paraId="47F66681">
      <w:pPr>
        <w:spacing w:line="360" w:lineRule="auto"/>
        <w:ind w:firstLine="420" w:firstLineChars="200"/>
        <w:outlineLvl w:val="2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（3）若检查通过，流程继续。</w:t>
      </w:r>
    </w:p>
    <w:p w14:paraId="52C73DFA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5.处理:商户执行退款操作。</w:t>
      </w:r>
    </w:p>
    <w:p w14:paraId="40A174DD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6.闭环:退款完成后，流程结束。</w:t>
      </w:r>
    </w:p>
    <w:p w14:paraId="4BEB5E90">
      <w:pPr>
        <w:spacing w:line="360" w:lineRule="auto"/>
        <w:rPr>
          <w:rFonts w:hint="eastAsia" w:ascii="宋体" w:hAnsi="宋体" w:eastAsia="宋体"/>
          <w:szCs w:val="21"/>
        </w:rPr>
      </w:pPr>
    </w:p>
    <w:p w14:paraId="1F9796ED">
      <w:pPr>
        <w:spacing w:line="360" w:lineRule="auto"/>
        <w:ind w:firstLine="422" w:firstLineChars="200"/>
        <w:rPr>
          <w:rFonts w:hint="eastAsia"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路径三：换货流程</w:t>
      </w:r>
    </w:p>
    <w:p w14:paraId="1585C90F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1.触发、审批与逆向物流:此部分与退货流程的第1、2、3步完全相同，同样缺乏对应的用例支持。</w:t>
      </w:r>
    </w:p>
    <w:p w14:paraId="487EF873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2.检验与决策:此部分与退货流程的第4步完全相同，同样缺乏对应的用例支持。</w:t>
      </w:r>
    </w:p>
    <w:p w14:paraId="4A0E2FDD">
      <w:pPr>
        <w:spacing w:line="360" w:lineRule="auto"/>
        <w:ind w:firstLine="420" w:firstLineChars="200"/>
        <w:outlineLvl w:val="1"/>
        <w:rPr>
          <w:rFonts w:hint="eastAsia" w:ascii="宋体" w:hAnsi="宋体" w:eastAsia="宋体"/>
          <w:szCs w:val="21"/>
        </w:rPr>
      </w:pPr>
      <w:bookmarkStart w:id="14" w:name="_Toc27546"/>
      <w:r>
        <w:rPr>
          <w:rFonts w:hint="eastAsia" w:ascii="宋体" w:hAnsi="宋体" w:eastAsia="宋体"/>
          <w:szCs w:val="21"/>
        </w:rPr>
        <w:t>3.处理:</w:t>
      </w:r>
      <w:bookmarkEnd w:id="14"/>
    </w:p>
    <w:p w14:paraId="1D4F1431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（1）商户产生换货订单。</w:t>
      </w:r>
    </w:p>
    <w:p w14:paraId="7DC66CA5">
      <w:pPr>
        <w:spacing w:line="360" w:lineRule="auto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（2）基于新订单，商户产生派件快递单，准备寄出新商品。</w:t>
      </w:r>
    </w:p>
    <w:p w14:paraId="4042F5C5">
      <w:pPr>
        <w:spacing w:line="360" w:lineRule="auto"/>
        <w:ind w:firstLine="420" w:firstLineChars="200"/>
        <w:outlineLvl w:val="1"/>
        <w:rPr>
          <w:rFonts w:hint="eastAsia" w:ascii="宋体" w:hAnsi="宋体" w:eastAsia="宋体"/>
          <w:szCs w:val="21"/>
        </w:rPr>
      </w:pPr>
      <w:bookmarkStart w:id="15" w:name="_Toc1546"/>
      <w:r>
        <w:rPr>
          <w:rFonts w:hint="eastAsia" w:ascii="宋体" w:hAnsi="宋体" w:eastAsia="宋体"/>
          <w:szCs w:val="21"/>
        </w:rPr>
        <w:t>4.正向物流（商户-&gt;顾客）:</w:t>
      </w:r>
      <w:bookmarkEnd w:id="15"/>
    </w:p>
    <w:p w14:paraId="63DB5BE8">
      <w:pPr>
        <w:spacing w:line="360" w:lineRule="auto"/>
        <w:ind w:firstLine="420" w:firstLineChars="200"/>
        <w:outlineLvl w:val="2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（1）物流公司执行收货-&gt;派件包裹。</w:t>
      </w:r>
    </w:p>
    <w:p w14:paraId="70E9CBDC">
      <w:pPr>
        <w:spacing w:line="360" w:lineRule="auto"/>
        <w:ind w:firstLine="420" w:firstLineChars="200"/>
        <w:outlineLvl w:val="1"/>
        <w:rPr>
          <w:rFonts w:hint="eastAsia" w:ascii="宋体" w:hAnsi="宋体" w:eastAsia="宋体"/>
          <w:szCs w:val="21"/>
        </w:rPr>
      </w:pPr>
      <w:bookmarkStart w:id="16" w:name="_Toc15327"/>
      <w:r>
        <w:rPr>
          <w:rFonts w:hint="eastAsia" w:ascii="宋体" w:hAnsi="宋体" w:eastAsia="宋体"/>
          <w:szCs w:val="21"/>
        </w:rPr>
        <w:t>5.闭环:顾客收到换货商品后，流程结束。</w:t>
      </w:r>
      <w:bookmarkEnd w:id="16"/>
    </w:p>
    <w:sectPr>
      <w:pgSz w:w="11906" w:h="16838"/>
      <w:pgMar w:top="1440" w:right="1800" w:bottom="1440" w:left="180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58070892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0EDB83D4">
            <w:pPr>
              <w:pStyle w:val="12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2CCC27D">
    <w:pPr>
      <w:pStyle w:val="12"/>
      <w:rPr>
        <w:rFonts w:hint="eastAsia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0138C5"/>
    <w:multiLevelType w:val="multilevel"/>
    <w:tmpl w:val="1E0138C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abstractNum w:abstractNumId="1">
    <w:nsid w:val="25305825"/>
    <w:multiLevelType w:val="multilevel"/>
    <w:tmpl w:val="25305825"/>
    <w:lvl w:ilvl="0" w:tentative="0">
      <w:start w:val="1"/>
      <w:numFmt w:val="chineseCountingThousand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3A5E5D3E"/>
    <w:multiLevelType w:val="multilevel"/>
    <w:tmpl w:val="3A5E5D3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abstractNum w:abstractNumId="3">
    <w:nsid w:val="51644032"/>
    <w:multiLevelType w:val="multilevel"/>
    <w:tmpl w:val="5164403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1ED"/>
    <w:rsid w:val="00213449"/>
    <w:rsid w:val="003962E0"/>
    <w:rsid w:val="004E06B6"/>
    <w:rsid w:val="005561ED"/>
    <w:rsid w:val="005A06BF"/>
    <w:rsid w:val="006217D9"/>
    <w:rsid w:val="0078132B"/>
    <w:rsid w:val="008C53CE"/>
    <w:rsid w:val="00B2536D"/>
    <w:rsid w:val="00B449CA"/>
    <w:rsid w:val="00BB07B8"/>
    <w:rsid w:val="00CA0076"/>
    <w:rsid w:val="00CD6422"/>
    <w:rsid w:val="00E62BEC"/>
    <w:rsid w:val="00F03B01"/>
    <w:rsid w:val="5D31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autoRedefine/>
    <w:unhideWhenUsed/>
    <w:uiPriority w:val="3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12">
    <w:name w:val="footer"/>
    <w:basedOn w:val="1"/>
    <w:link w:val="3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autoRedefine/>
    <w:unhideWhenUsed/>
    <w:uiPriority w:val="3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15">
    <w:name w:val="Subtitle"/>
    <w:basedOn w:val="1"/>
    <w:next w:val="1"/>
    <w:link w:val="30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oc 2"/>
    <w:basedOn w:val="1"/>
    <w:next w:val="1"/>
    <w:autoRedefine/>
    <w:unhideWhenUsed/>
    <w:uiPriority w:val="3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7">
    <w:name w:val="Title"/>
    <w:basedOn w:val="1"/>
    <w:next w:val="1"/>
    <w:link w:val="2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标题 1 字符"/>
    <w:basedOn w:val="19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1">
    <w:name w:val="标题 2 字符"/>
    <w:basedOn w:val="19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标题 3 字符"/>
    <w:basedOn w:val="19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标题 4 字符"/>
    <w:basedOn w:val="19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4">
    <w:name w:val="标题 5 字符"/>
    <w:basedOn w:val="19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5">
    <w:name w:val="标题 6 字符"/>
    <w:basedOn w:val="19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6">
    <w:name w:val="标题 7 字符"/>
    <w:basedOn w:val="19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9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9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9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9"/>
    <w:link w:val="15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9"/>
    <w:link w:val="31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9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明显引用 字符"/>
    <w:basedOn w:val="19"/>
    <w:link w:val="35"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9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页眉 字符"/>
    <w:basedOn w:val="19"/>
    <w:link w:val="13"/>
    <w:qFormat/>
    <w:uiPriority w:val="99"/>
    <w:rPr>
      <w:sz w:val="18"/>
      <w:szCs w:val="18"/>
    </w:rPr>
  </w:style>
  <w:style w:type="character" w:customStyle="1" w:styleId="39">
    <w:name w:val="页脚 字符"/>
    <w:basedOn w:val="19"/>
    <w:link w:val="12"/>
    <w:uiPriority w:val="99"/>
    <w:rPr>
      <w:sz w:val="18"/>
      <w:szCs w:val="18"/>
    </w:rPr>
  </w:style>
  <w:style w:type="paragraph" w:customStyle="1" w:styleId="40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7" Type="http://schemas.openxmlformats.org/officeDocument/2006/relationships/fontTable" Target="fontTable.xml"/><Relationship Id="rId36" Type="http://schemas.openxmlformats.org/officeDocument/2006/relationships/customXml" Target="../customXml/item1.xml"/><Relationship Id="rId35" Type="http://schemas.openxmlformats.org/officeDocument/2006/relationships/numbering" Target="numbering.xml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B91256-1268-4BFA-BE8E-7825C488DFA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5241</Words>
  <Characters>6043</Characters>
  <Lines>47</Lines>
  <Paragraphs>13</Paragraphs>
  <TotalTime>3</TotalTime>
  <ScaleCrop>false</ScaleCrop>
  <LinksUpToDate>false</LinksUpToDate>
  <CharactersWithSpaces>6248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2025-09-21T14:49:00Z</dcterms:created>
  <dc:creator>chenghao jin</dc:creator>
  <cp:lastModifiedBy>明天再说吧</cp:lastModifiedBy>
  <dcterms:modified xsi:type="dcterms:W3CDTF">2025-09-21T15:26:10Z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eyJoZGlkIjoiNGQ3MjczNTdjZDgxZTNlZDFjMWZjMjIzMWZhMzE3NjMiLCJ1c2VySWQiOiIxMzI2MjIxNzQxIn0=</vt:lpwstr>
  </property>
  <property fmtid="{D5CDD505-2E9C-101B-9397-08002B2CF9AE}" pid="3" name="KSOProductBuildVer">
    <vt:lpwstr>2052-12.1.0.23125</vt:lpwstr>
  </property>
  <property fmtid="{D5CDD505-2E9C-101B-9397-08002B2CF9AE}" pid="4" name="ICV">
    <vt:lpwstr>A7DE78F089804BD6A44F2E4234B44E1A_12</vt:lpwstr>
  </property>
</Properties>
</file>