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4BD" w:rsidRPr="000A64BD" w:rsidRDefault="000A64BD" w:rsidP="000A64BD">
      <w:pPr>
        <w:spacing w:after="200" w:line="276" w:lineRule="auto"/>
        <w:jc w:val="center"/>
        <w:rPr>
          <w:rFonts w:ascii="Arial" w:eastAsia="Calibri" w:hAnsi="Arial" w:cs="Arial"/>
          <w:b/>
          <w:sz w:val="20"/>
          <w:szCs w:val="20"/>
        </w:rPr>
      </w:pPr>
      <w:bookmarkStart w:id="0" w:name="_GoBack"/>
      <w:bookmarkEnd w:id="0"/>
      <w:r w:rsidRPr="000A64BD">
        <w:rPr>
          <w:rFonts w:ascii="Arial" w:eastAsia="Calibri" w:hAnsi="Arial" w:cs="Arial"/>
          <w:b/>
          <w:sz w:val="20"/>
          <w:szCs w:val="20"/>
        </w:rPr>
        <w:t>CURRICULUM VITAE</w:t>
      </w:r>
    </w:p>
    <w:p w:rsidR="000A64BD" w:rsidRPr="000A64BD" w:rsidRDefault="000A64BD" w:rsidP="000A64BD">
      <w:pPr>
        <w:numPr>
          <w:ilvl w:val="0"/>
          <w:numId w:val="1"/>
        </w:numPr>
        <w:spacing w:after="200" w:line="276" w:lineRule="auto"/>
        <w:ind w:left="426" w:hanging="426"/>
        <w:contextualSpacing/>
        <w:jc w:val="both"/>
        <w:rPr>
          <w:rFonts w:ascii="Arial" w:eastAsia="Calibri" w:hAnsi="Arial" w:cs="Arial"/>
          <w:b/>
          <w:sz w:val="24"/>
          <w:szCs w:val="24"/>
        </w:rPr>
      </w:pPr>
      <w:r w:rsidRPr="000A64BD">
        <w:rPr>
          <w:rFonts w:ascii="Arial" w:eastAsia="Calibri" w:hAnsi="Arial" w:cs="Arial"/>
          <w:b/>
          <w:sz w:val="24"/>
          <w:szCs w:val="24"/>
        </w:rPr>
        <w:t>IDENTITE</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Nom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KATUALA</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Post-nom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GIZE</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Prénom                                        : Régis</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Sexe</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xml:space="preserve">  </w:t>
      </w:r>
      <w:r w:rsidRPr="000A64BD">
        <w:rPr>
          <w:rFonts w:ascii="Arial" w:eastAsia="Calibri" w:hAnsi="Arial" w:cs="Arial"/>
          <w:sz w:val="24"/>
          <w:szCs w:val="24"/>
        </w:rPr>
        <w:tab/>
        <w:t>: Masculin</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Nationalité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Congolaise</w:t>
      </w:r>
    </w:p>
    <w:p w:rsidR="000A64BD" w:rsidRPr="000A64BD" w:rsidRDefault="000A64BD" w:rsidP="000A64BD">
      <w:pPr>
        <w:numPr>
          <w:ilvl w:val="0"/>
          <w:numId w:val="2"/>
        </w:numPr>
        <w:spacing w:after="0" w:line="240" w:lineRule="auto"/>
        <w:contextualSpacing/>
        <w:jc w:val="both"/>
        <w:rPr>
          <w:rFonts w:ascii="Arial" w:eastAsia="Calibri" w:hAnsi="Arial" w:cs="Arial"/>
          <w:sz w:val="24"/>
          <w:szCs w:val="24"/>
        </w:rPr>
      </w:pPr>
      <w:r w:rsidRPr="000A64BD">
        <w:rPr>
          <w:rFonts w:ascii="Arial" w:eastAsia="Calibri" w:hAnsi="Arial" w:cs="Arial"/>
          <w:sz w:val="24"/>
          <w:szCs w:val="24"/>
        </w:rPr>
        <w:t>Adresse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xml:space="preserve">: Av Munyororo, Plateau médical, Guest-House </w:t>
      </w:r>
    </w:p>
    <w:p w:rsidR="000A64BD" w:rsidRPr="000A64BD" w:rsidRDefault="000A64BD" w:rsidP="000A64BD">
      <w:pPr>
        <w:spacing w:after="0" w:line="240" w:lineRule="auto"/>
        <w:ind w:left="4260"/>
        <w:contextualSpacing/>
        <w:jc w:val="both"/>
        <w:rPr>
          <w:rFonts w:ascii="Arial" w:eastAsia="Calibri" w:hAnsi="Arial" w:cs="Arial"/>
          <w:sz w:val="24"/>
          <w:szCs w:val="24"/>
        </w:rPr>
      </w:pPr>
      <w:r w:rsidRPr="000A64BD">
        <w:rPr>
          <w:rFonts w:ascii="Arial" w:eastAsia="Calibri" w:hAnsi="Arial" w:cs="Arial"/>
          <w:sz w:val="24"/>
          <w:szCs w:val="24"/>
          <w:lang w:val="en-US"/>
        </w:rPr>
        <w:t xml:space="preserve">No 749/B, </w:t>
      </w:r>
      <w:r w:rsidRPr="000A64BD">
        <w:rPr>
          <w:rFonts w:ascii="Arial" w:eastAsia="Calibri" w:hAnsi="Arial" w:cs="Arial"/>
          <w:sz w:val="24"/>
          <w:szCs w:val="24"/>
        </w:rPr>
        <w:t>Commune Makiso, KISANGANI, RDC.</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Tél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+243 894942617</w:t>
      </w:r>
    </w:p>
    <w:p w:rsidR="000A64BD" w:rsidRPr="000A64BD" w:rsidRDefault="000A64BD" w:rsidP="000A64BD">
      <w:pPr>
        <w:numPr>
          <w:ilvl w:val="0"/>
          <w:numId w:val="2"/>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 xml:space="preserve">Mail  </w:t>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r>
      <w:r w:rsidRPr="000A64BD">
        <w:rPr>
          <w:rFonts w:ascii="Arial" w:eastAsia="Calibri" w:hAnsi="Arial" w:cs="Arial"/>
          <w:sz w:val="24"/>
          <w:szCs w:val="24"/>
        </w:rPr>
        <w:tab/>
        <w:t xml:space="preserve">: </w:t>
      </w:r>
      <w:hyperlink r:id="rId5" w:history="1">
        <w:r w:rsidRPr="000A64BD">
          <w:rPr>
            <w:rFonts w:ascii="Arial" w:eastAsia="Calibri" w:hAnsi="Arial" w:cs="Arial"/>
            <w:color w:val="0563C1"/>
            <w:sz w:val="24"/>
            <w:szCs w:val="24"/>
            <w:u w:val="single"/>
          </w:rPr>
          <w:t>regiskatauala@gmail.com</w:t>
        </w:r>
      </w:hyperlink>
    </w:p>
    <w:p w:rsidR="000A64BD" w:rsidRPr="000A64BD" w:rsidRDefault="000A64BD" w:rsidP="000A64BD">
      <w:pPr>
        <w:spacing w:after="200" w:line="276" w:lineRule="auto"/>
        <w:ind w:left="567" w:firstLine="153"/>
        <w:contextualSpacing/>
        <w:jc w:val="both"/>
        <w:rPr>
          <w:rFonts w:ascii="Arial" w:eastAsia="Calibri" w:hAnsi="Arial" w:cs="Arial"/>
          <w:sz w:val="20"/>
          <w:szCs w:val="20"/>
        </w:rPr>
      </w:pPr>
    </w:p>
    <w:p w:rsidR="000A64BD" w:rsidRPr="000A64BD" w:rsidRDefault="000A64BD" w:rsidP="000A64BD">
      <w:pPr>
        <w:numPr>
          <w:ilvl w:val="0"/>
          <w:numId w:val="1"/>
        </w:numPr>
        <w:spacing w:after="200" w:line="276" w:lineRule="auto"/>
        <w:ind w:left="426" w:hanging="295"/>
        <w:contextualSpacing/>
        <w:jc w:val="both"/>
        <w:rPr>
          <w:rFonts w:ascii="Times New Roman" w:eastAsia="Calibri" w:hAnsi="Times New Roman" w:cs="Times New Roman"/>
          <w:b/>
          <w:sz w:val="24"/>
          <w:szCs w:val="24"/>
        </w:rPr>
      </w:pPr>
      <w:r w:rsidRPr="000A64BD">
        <w:rPr>
          <w:rFonts w:ascii="Times New Roman" w:eastAsia="Calibri" w:hAnsi="Times New Roman" w:cs="Times New Roman"/>
          <w:b/>
          <w:sz w:val="24"/>
          <w:szCs w:val="24"/>
        </w:rPr>
        <w:t>EDUCATION ET FORMATIONS</w:t>
      </w:r>
    </w:p>
    <w:p w:rsidR="000A64BD" w:rsidRPr="000A64BD" w:rsidRDefault="000A64BD" w:rsidP="000A64BD">
      <w:pPr>
        <w:spacing w:after="200" w:line="276" w:lineRule="auto"/>
        <w:ind w:left="426"/>
        <w:contextualSpacing/>
        <w:jc w:val="both"/>
        <w:rPr>
          <w:rFonts w:ascii="Times New Roman" w:eastAsia="Calibri" w:hAnsi="Times New Roman" w:cs="Times New Roman"/>
          <w:b/>
          <w:sz w:val="24"/>
          <w:szCs w:val="24"/>
        </w:rPr>
      </w:pPr>
    </w:p>
    <w:p w:rsidR="000A64BD" w:rsidRPr="000A64BD" w:rsidRDefault="000A64BD" w:rsidP="000A64BD">
      <w:pPr>
        <w:spacing w:after="200" w:line="276" w:lineRule="auto"/>
        <w:ind w:left="426"/>
        <w:contextualSpacing/>
        <w:jc w:val="both"/>
        <w:rPr>
          <w:rFonts w:ascii="Times New Roman" w:eastAsia="Calibri" w:hAnsi="Times New Roman" w:cs="Times New Roman"/>
          <w:b/>
          <w:sz w:val="24"/>
          <w:szCs w:val="24"/>
        </w:rPr>
      </w:pPr>
      <w:r w:rsidRPr="000A64BD">
        <w:rPr>
          <w:rFonts w:ascii="Times New Roman" w:eastAsia="Calibri" w:hAnsi="Times New Roman" w:cs="Times New Roman"/>
          <w:b/>
          <w:sz w:val="24"/>
          <w:szCs w:val="24"/>
        </w:rPr>
        <w:t>EDUCATION</w:t>
      </w:r>
    </w:p>
    <w:p w:rsidR="000A64BD" w:rsidRPr="000A64BD" w:rsidRDefault="000A64BD" w:rsidP="000A64BD">
      <w:pPr>
        <w:numPr>
          <w:ilvl w:val="0"/>
          <w:numId w:val="3"/>
        </w:numPr>
        <w:spacing w:after="200" w:line="276" w:lineRule="auto"/>
        <w:ind w:left="709"/>
        <w:contextualSpacing/>
        <w:jc w:val="both"/>
        <w:rPr>
          <w:rFonts w:ascii="Arial" w:eastAsia="Calibri" w:hAnsi="Arial" w:cs="Arial"/>
          <w:sz w:val="24"/>
          <w:szCs w:val="24"/>
        </w:rPr>
      </w:pPr>
      <w:r w:rsidRPr="000A64BD">
        <w:rPr>
          <w:rFonts w:ascii="Arial" w:eastAsia="Calibri" w:hAnsi="Arial" w:cs="Arial"/>
          <w:sz w:val="24"/>
          <w:szCs w:val="24"/>
        </w:rPr>
        <w:t>21 Février 2024 (Docteur en Droit International Public à l’Université de Kisangani avec la mention grande distinction).</w:t>
      </w:r>
    </w:p>
    <w:p w:rsidR="000A64BD" w:rsidRPr="000A64BD" w:rsidRDefault="000A64BD" w:rsidP="000A64BD">
      <w:pPr>
        <w:numPr>
          <w:ilvl w:val="0"/>
          <w:numId w:val="3"/>
        </w:numPr>
        <w:spacing w:after="200" w:line="276" w:lineRule="auto"/>
        <w:ind w:left="709"/>
        <w:contextualSpacing/>
        <w:jc w:val="both"/>
        <w:rPr>
          <w:rFonts w:ascii="Arial" w:eastAsia="Calibri" w:hAnsi="Arial" w:cs="Arial"/>
          <w:sz w:val="24"/>
          <w:szCs w:val="24"/>
        </w:rPr>
      </w:pPr>
      <w:r w:rsidRPr="000A64BD">
        <w:rPr>
          <w:rFonts w:ascii="Arial" w:eastAsia="Calibri" w:hAnsi="Arial" w:cs="Arial"/>
          <w:b/>
          <w:sz w:val="24"/>
          <w:szCs w:val="24"/>
        </w:rPr>
        <w:t>Sujet de thèse</w:t>
      </w:r>
      <w:r w:rsidRPr="000A64BD">
        <w:rPr>
          <w:rFonts w:ascii="Arial" w:eastAsia="Calibri" w:hAnsi="Arial" w:cs="Arial"/>
          <w:sz w:val="24"/>
          <w:szCs w:val="24"/>
        </w:rPr>
        <w:t xml:space="preserve"> : «  État Congolais face à l’obligation de protéger les populations civiles victimes des conflits armés de l’Ituri et du Nord-Kivu (2014-2023) ». </w:t>
      </w:r>
    </w:p>
    <w:p w:rsidR="000A64BD" w:rsidRPr="000A64BD" w:rsidRDefault="000A64BD" w:rsidP="000A64BD">
      <w:pPr>
        <w:numPr>
          <w:ilvl w:val="0"/>
          <w:numId w:val="3"/>
        </w:numPr>
        <w:spacing w:after="200" w:line="276" w:lineRule="auto"/>
        <w:ind w:left="709"/>
        <w:contextualSpacing/>
        <w:jc w:val="both"/>
        <w:rPr>
          <w:rFonts w:ascii="Arial" w:eastAsia="Calibri" w:hAnsi="Arial" w:cs="Arial"/>
          <w:sz w:val="24"/>
          <w:szCs w:val="24"/>
        </w:rPr>
      </w:pPr>
      <w:r w:rsidRPr="000A64BD">
        <w:rPr>
          <w:rFonts w:ascii="Arial" w:eastAsia="Calibri" w:hAnsi="Arial" w:cs="Arial"/>
          <w:sz w:val="24"/>
          <w:szCs w:val="24"/>
        </w:rPr>
        <w:t>De Janvier 2018 à janvier 2020 : Études de troisième cycle (DES) en Droit, option Droit international Public à l’Université de Kisangani : Diplôme d’études supérieures en Droit International des droits de l’homme avec la mention grande distinction .</w:t>
      </w:r>
    </w:p>
    <w:p w:rsidR="000A64BD" w:rsidRPr="000A64BD" w:rsidRDefault="000A64BD" w:rsidP="000A64BD">
      <w:pPr>
        <w:spacing w:after="200" w:line="276" w:lineRule="auto"/>
        <w:ind w:left="426"/>
        <w:jc w:val="both"/>
        <w:rPr>
          <w:rFonts w:ascii="Arial" w:eastAsia="Calibri" w:hAnsi="Arial" w:cs="Arial"/>
          <w:b/>
          <w:sz w:val="24"/>
          <w:szCs w:val="24"/>
        </w:rPr>
      </w:pPr>
      <w:r w:rsidRPr="000A64BD">
        <w:rPr>
          <w:rFonts w:ascii="Arial" w:eastAsia="Calibri" w:hAnsi="Arial" w:cs="Arial"/>
          <w:b/>
          <w:sz w:val="24"/>
          <w:szCs w:val="24"/>
        </w:rPr>
        <w:t xml:space="preserve">FORMATIONS ET COLLOQUES </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 xml:space="preserve">Du 17 au 22 Novembre 2017, formation sur le NTIC par </w:t>
      </w:r>
      <w:r w:rsidRPr="000A64BD">
        <w:rPr>
          <w:rFonts w:ascii="Arial" w:eastAsia="Calibri" w:hAnsi="Arial" w:cs="Arial"/>
          <w:i/>
          <w:sz w:val="24"/>
          <w:szCs w:val="24"/>
        </w:rPr>
        <w:t>accès now</w:t>
      </w:r>
      <w:r w:rsidRPr="000A64BD">
        <w:rPr>
          <w:rFonts w:ascii="Arial" w:eastAsia="Calibri" w:hAnsi="Arial" w:cs="Arial"/>
          <w:sz w:val="24"/>
          <w:szCs w:val="24"/>
        </w:rPr>
        <w:t xml:space="preserve"> et </w:t>
      </w:r>
      <w:r w:rsidRPr="000A64BD">
        <w:rPr>
          <w:rFonts w:ascii="Arial" w:eastAsia="Calibri" w:hAnsi="Arial" w:cs="Arial"/>
          <w:i/>
          <w:sz w:val="24"/>
          <w:szCs w:val="24"/>
        </w:rPr>
        <w:t>Rudy international</w:t>
      </w:r>
      <w:r w:rsidRPr="000A64BD">
        <w:rPr>
          <w:rFonts w:ascii="Arial" w:eastAsia="Calibri" w:hAnsi="Arial" w:cs="Arial"/>
          <w:sz w:val="24"/>
          <w:szCs w:val="24"/>
        </w:rPr>
        <w:t xml:space="preserve"> sanctionnée par un Brevet de participation.</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31 octobre 2020, formation sur le secourisme par l’association REPOS, sanctionnée par un brevet de participation.</w:t>
      </w:r>
    </w:p>
    <w:p w:rsidR="000A64BD" w:rsidRPr="000A64BD" w:rsidRDefault="000A64BD" w:rsidP="000A64BD">
      <w:pPr>
        <w:spacing w:after="200" w:line="276" w:lineRule="auto"/>
        <w:contextualSpacing/>
        <w:jc w:val="both"/>
        <w:rPr>
          <w:rFonts w:ascii="Arial" w:eastAsia="Calibri" w:hAnsi="Arial" w:cs="Arial"/>
          <w:sz w:val="24"/>
          <w:szCs w:val="24"/>
        </w:rPr>
      </w:pP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15 juin 2024 : Intervenant à la journée scientifique organisée par  la Faculté de Droit de l’Université Protestante de Lubumbashi (UPL).</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Du 16 au 18 Octobre 2024, Séminaire de formation et d’information sur : Conflits armés, pillages des ressources naturelles et violences extrêmes dans l’Est du Congo par l’Institut Congolais d’études avancées (Certificat de participation ICEA) .</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Du 23 au 28 décembre 2024, Formateur des formateurs à l’atelier de renforcement des capacités et d’adoption de la politique d’indemnisation des victimes des activités illicites de l’Ouganda en RDC ( Brevet de distinction).</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2 juin 2025 intervenant  au colloque organisé par l’Université Officiel de Mbuji-Mayi.</w:t>
      </w:r>
    </w:p>
    <w:p w:rsidR="000A64BD" w:rsidRPr="000A64BD" w:rsidRDefault="000A64BD" w:rsidP="000A64BD">
      <w:pPr>
        <w:spacing w:after="200" w:line="276" w:lineRule="auto"/>
        <w:ind w:left="360"/>
        <w:contextualSpacing/>
        <w:jc w:val="both"/>
        <w:rPr>
          <w:rFonts w:ascii="Arial" w:eastAsia="Calibri" w:hAnsi="Arial" w:cs="Arial"/>
          <w:b/>
          <w:sz w:val="24"/>
          <w:szCs w:val="24"/>
        </w:rPr>
      </w:pPr>
      <w:r w:rsidRPr="000A64BD">
        <w:rPr>
          <w:rFonts w:ascii="Arial" w:eastAsia="Calibri" w:hAnsi="Arial" w:cs="Arial"/>
          <w:b/>
          <w:sz w:val="24"/>
          <w:szCs w:val="24"/>
        </w:rPr>
        <w:t>DOMAINE DESPECIALISATION</w:t>
      </w:r>
    </w:p>
    <w:p w:rsidR="000A64BD" w:rsidRPr="000A64BD" w:rsidRDefault="000A64BD" w:rsidP="000A64BD">
      <w:pPr>
        <w:numPr>
          <w:ilvl w:val="0"/>
          <w:numId w:val="8"/>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lastRenderedPageBreak/>
        <w:t xml:space="preserve">Régis KATUALA GIZE  est spécialiste en Droit international humanitaire et Droit international des droits de l’homme. </w:t>
      </w:r>
    </w:p>
    <w:p w:rsidR="000A64BD" w:rsidRPr="000A64BD" w:rsidRDefault="000A64BD" w:rsidP="000A64BD">
      <w:pPr>
        <w:spacing w:after="200" w:line="276" w:lineRule="auto"/>
        <w:contextualSpacing/>
        <w:jc w:val="both"/>
        <w:rPr>
          <w:rFonts w:ascii="Arial" w:eastAsia="Calibri" w:hAnsi="Arial" w:cs="Arial"/>
          <w:sz w:val="24"/>
          <w:szCs w:val="24"/>
        </w:rPr>
      </w:pPr>
    </w:p>
    <w:p w:rsidR="000A64BD" w:rsidRPr="000A64BD" w:rsidRDefault="000A64BD" w:rsidP="000A64BD">
      <w:pPr>
        <w:spacing w:after="200" w:line="276" w:lineRule="auto"/>
        <w:ind w:left="426"/>
        <w:jc w:val="both"/>
        <w:rPr>
          <w:rFonts w:ascii="Arial" w:eastAsia="Calibri" w:hAnsi="Arial" w:cs="Arial"/>
          <w:b/>
          <w:sz w:val="24"/>
          <w:szCs w:val="24"/>
        </w:rPr>
      </w:pPr>
      <w:r w:rsidRPr="000A64BD">
        <w:rPr>
          <w:rFonts w:ascii="Arial" w:eastAsia="Calibri" w:hAnsi="Arial" w:cs="Arial"/>
          <w:b/>
          <w:sz w:val="24"/>
          <w:szCs w:val="24"/>
        </w:rPr>
        <w:t>CONNAISSANCES INFOMATIQUES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494"/>
        <w:gridCol w:w="1494"/>
        <w:gridCol w:w="1494"/>
        <w:gridCol w:w="1492"/>
        <w:gridCol w:w="1489"/>
      </w:tblGrid>
      <w:tr w:rsidR="000A64BD" w:rsidRPr="000A64BD" w:rsidTr="00FD11C8">
        <w:tc>
          <w:tcPr>
            <w:tcW w:w="834" w:type="pct"/>
            <w:tcBorders>
              <w:top w:val="single" w:sz="4" w:space="0" w:color="auto"/>
              <w:left w:val="single" w:sz="4" w:space="0" w:color="auto"/>
              <w:bottom w:val="single" w:sz="4" w:space="0" w:color="auto"/>
              <w:right w:val="single" w:sz="4" w:space="0" w:color="auto"/>
            </w:tcBorders>
            <w:hideMark/>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p>
        </w:tc>
        <w:tc>
          <w:tcPr>
            <w:tcW w:w="834" w:type="pct"/>
            <w:tcBorders>
              <w:top w:val="single" w:sz="4" w:space="0" w:color="auto"/>
              <w:left w:val="single" w:sz="4" w:space="0" w:color="auto"/>
              <w:bottom w:val="single" w:sz="4" w:space="0" w:color="auto"/>
              <w:right w:val="single" w:sz="4" w:space="0" w:color="auto"/>
            </w:tcBorders>
            <w:hideMark/>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r w:rsidRPr="000A64BD">
              <w:rPr>
                <w:rFonts w:ascii="Arial" w:eastAsia="Arial Unicode MS" w:hAnsi="Arial" w:cs="Arial"/>
                <w:kern w:val="2"/>
                <w:sz w:val="20"/>
                <w:szCs w:val="20"/>
              </w:rPr>
              <w:t>Word</w:t>
            </w:r>
          </w:p>
        </w:tc>
        <w:tc>
          <w:tcPr>
            <w:tcW w:w="834" w:type="pct"/>
            <w:tcBorders>
              <w:top w:val="single" w:sz="4" w:space="0" w:color="auto"/>
              <w:left w:val="single" w:sz="4" w:space="0" w:color="auto"/>
              <w:bottom w:val="single" w:sz="4" w:space="0" w:color="auto"/>
              <w:right w:val="single" w:sz="4" w:space="0" w:color="auto"/>
            </w:tcBorders>
            <w:hideMark/>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r w:rsidRPr="000A64BD">
              <w:rPr>
                <w:rFonts w:ascii="Arial" w:eastAsia="Arial Unicode MS" w:hAnsi="Arial" w:cs="Arial"/>
                <w:kern w:val="2"/>
                <w:sz w:val="20"/>
                <w:szCs w:val="20"/>
              </w:rPr>
              <w:t>Excel</w:t>
            </w:r>
          </w:p>
        </w:tc>
        <w:tc>
          <w:tcPr>
            <w:tcW w:w="834" w:type="pct"/>
            <w:tcBorders>
              <w:top w:val="single" w:sz="4" w:space="0" w:color="auto"/>
              <w:left w:val="single" w:sz="4" w:space="0" w:color="auto"/>
              <w:bottom w:val="single" w:sz="4" w:space="0" w:color="auto"/>
              <w:right w:val="single" w:sz="4" w:space="0" w:color="auto"/>
            </w:tcBorders>
            <w:hideMark/>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r w:rsidRPr="000A64BD">
              <w:rPr>
                <w:rFonts w:ascii="Arial" w:eastAsia="Arial Unicode MS" w:hAnsi="Arial" w:cs="Arial"/>
                <w:kern w:val="2"/>
                <w:sz w:val="20"/>
                <w:szCs w:val="20"/>
              </w:rPr>
              <w:t>Power Point</w:t>
            </w:r>
          </w:p>
        </w:tc>
        <w:tc>
          <w:tcPr>
            <w:tcW w:w="833" w:type="pct"/>
            <w:tcBorders>
              <w:top w:val="single" w:sz="4" w:space="0" w:color="auto"/>
              <w:left w:val="single" w:sz="4" w:space="0" w:color="auto"/>
              <w:bottom w:val="single" w:sz="4" w:space="0" w:color="auto"/>
              <w:right w:val="single" w:sz="4" w:space="0" w:color="auto"/>
            </w:tcBorders>
            <w:hideMark/>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r w:rsidRPr="000A64BD">
              <w:rPr>
                <w:rFonts w:ascii="Arial" w:eastAsia="Arial Unicode MS" w:hAnsi="Arial" w:cs="Arial"/>
                <w:kern w:val="2"/>
                <w:sz w:val="20"/>
                <w:szCs w:val="20"/>
              </w:rPr>
              <w:t>SPSS</w:t>
            </w:r>
          </w:p>
        </w:tc>
        <w:tc>
          <w:tcPr>
            <w:tcW w:w="831"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suppressAutoHyphens/>
              <w:spacing w:after="120" w:line="276" w:lineRule="auto"/>
              <w:jc w:val="both"/>
              <w:rPr>
                <w:rFonts w:ascii="Arial" w:eastAsia="Arial Unicode MS" w:hAnsi="Arial" w:cs="Arial"/>
                <w:kern w:val="2"/>
                <w:sz w:val="20"/>
                <w:szCs w:val="20"/>
              </w:rPr>
            </w:pPr>
            <w:r w:rsidRPr="000A64BD">
              <w:rPr>
                <w:rFonts w:ascii="Arial" w:eastAsia="Arial Unicode MS" w:hAnsi="Arial" w:cs="Arial"/>
                <w:kern w:val="2"/>
                <w:sz w:val="20"/>
                <w:szCs w:val="20"/>
              </w:rPr>
              <w:t>Internet</w:t>
            </w:r>
          </w:p>
        </w:tc>
      </w:tr>
      <w:tr w:rsidR="000A64BD" w:rsidRPr="000A64BD" w:rsidTr="00FD11C8">
        <w:tc>
          <w:tcPr>
            <w:tcW w:w="834"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suppressAutoHyphens/>
              <w:spacing w:after="120" w:line="276" w:lineRule="auto"/>
              <w:rPr>
                <w:rFonts w:ascii="Arial" w:eastAsia="Arial Unicode MS" w:hAnsi="Arial" w:cs="Arial"/>
                <w:kern w:val="2"/>
                <w:sz w:val="20"/>
                <w:szCs w:val="20"/>
              </w:rPr>
            </w:pPr>
            <w:r w:rsidRPr="000A64BD">
              <w:rPr>
                <w:rFonts w:ascii="Arial" w:eastAsia="Arial Unicode MS" w:hAnsi="Arial" w:cs="Arial"/>
                <w:kern w:val="2"/>
                <w:sz w:val="20"/>
                <w:szCs w:val="20"/>
              </w:rPr>
              <w:t>Niveau</w:t>
            </w:r>
          </w:p>
        </w:tc>
        <w:tc>
          <w:tcPr>
            <w:tcW w:w="834"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suppressAutoHyphens/>
              <w:spacing w:after="120" w:line="276" w:lineRule="auto"/>
              <w:rPr>
                <w:rFonts w:ascii="Arial" w:eastAsia="Arial Unicode MS" w:hAnsi="Arial" w:cs="Arial"/>
                <w:kern w:val="2"/>
                <w:sz w:val="20"/>
                <w:szCs w:val="20"/>
              </w:rPr>
            </w:pPr>
            <w:r w:rsidRPr="000A64BD">
              <w:rPr>
                <w:rFonts w:ascii="Arial" w:eastAsia="Arial Unicode MS" w:hAnsi="Arial" w:cs="Arial"/>
                <w:kern w:val="2"/>
                <w:sz w:val="20"/>
                <w:szCs w:val="20"/>
              </w:rPr>
              <w:t>Bonne connaissance</w:t>
            </w:r>
          </w:p>
        </w:tc>
        <w:tc>
          <w:tcPr>
            <w:tcW w:w="834"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suppressAutoHyphens/>
              <w:spacing w:after="120" w:line="276" w:lineRule="auto"/>
              <w:rPr>
                <w:rFonts w:ascii="Arial" w:eastAsia="Arial Unicode MS" w:hAnsi="Arial" w:cs="Arial"/>
                <w:kern w:val="2"/>
                <w:sz w:val="20"/>
                <w:szCs w:val="20"/>
              </w:rPr>
            </w:pPr>
            <w:r w:rsidRPr="000A64BD">
              <w:rPr>
                <w:rFonts w:ascii="Arial" w:eastAsia="Arial Unicode MS" w:hAnsi="Arial" w:cs="Arial"/>
                <w:kern w:val="2"/>
                <w:sz w:val="20"/>
                <w:szCs w:val="20"/>
              </w:rPr>
              <w:t>Bonne connaissance</w:t>
            </w:r>
          </w:p>
        </w:tc>
        <w:tc>
          <w:tcPr>
            <w:tcW w:w="834"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suppressAutoHyphens/>
              <w:spacing w:after="120" w:line="276" w:lineRule="auto"/>
              <w:rPr>
                <w:rFonts w:ascii="Arial" w:eastAsia="Arial Unicode MS" w:hAnsi="Arial" w:cs="Arial"/>
                <w:kern w:val="2"/>
                <w:sz w:val="20"/>
                <w:szCs w:val="20"/>
              </w:rPr>
            </w:pPr>
            <w:r w:rsidRPr="000A64BD">
              <w:rPr>
                <w:rFonts w:ascii="Arial" w:eastAsia="Arial Unicode MS" w:hAnsi="Arial" w:cs="Arial"/>
                <w:kern w:val="2"/>
                <w:sz w:val="20"/>
                <w:szCs w:val="20"/>
              </w:rPr>
              <w:t>Bonne connaissance</w:t>
            </w:r>
          </w:p>
        </w:tc>
        <w:tc>
          <w:tcPr>
            <w:tcW w:w="833"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tabs>
                <w:tab w:val="left" w:pos="1735"/>
              </w:tabs>
              <w:suppressAutoHyphens/>
              <w:spacing w:after="120" w:line="276" w:lineRule="auto"/>
              <w:rPr>
                <w:rFonts w:ascii="Arial" w:eastAsia="Arial Unicode MS" w:hAnsi="Arial" w:cs="Arial"/>
                <w:kern w:val="2"/>
                <w:sz w:val="20"/>
                <w:szCs w:val="20"/>
              </w:rPr>
            </w:pPr>
            <w:r w:rsidRPr="000A64BD">
              <w:rPr>
                <w:rFonts w:ascii="Arial" w:eastAsia="Arial Unicode MS" w:hAnsi="Arial" w:cs="Arial"/>
                <w:iCs/>
                <w:kern w:val="2"/>
                <w:sz w:val="20"/>
                <w:szCs w:val="20"/>
              </w:rPr>
              <w:t>Bonne connaissance</w:t>
            </w:r>
          </w:p>
        </w:tc>
        <w:tc>
          <w:tcPr>
            <w:tcW w:w="831" w:type="pct"/>
            <w:tcBorders>
              <w:top w:val="single" w:sz="4" w:space="0" w:color="auto"/>
              <w:left w:val="single" w:sz="4" w:space="0" w:color="auto"/>
              <w:bottom w:val="single" w:sz="4" w:space="0" w:color="auto"/>
              <w:right w:val="single" w:sz="4" w:space="0" w:color="auto"/>
            </w:tcBorders>
          </w:tcPr>
          <w:p w:rsidR="000A64BD" w:rsidRPr="000A64BD" w:rsidRDefault="000A64BD" w:rsidP="000A64BD">
            <w:pPr>
              <w:widowControl w:val="0"/>
              <w:tabs>
                <w:tab w:val="left" w:pos="1735"/>
              </w:tabs>
              <w:suppressAutoHyphens/>
              <w:spacing w:after="120" w:line="276" w:lineRule="auto"/>
              <w:rPr>
                <w:rFonts w:ascii="Arial" w:eastAsia="Arial Unicode MS" w:hAnsi="Arial" w:cs="Arial"/>
                <w:iCs/>
                <w:kern w:val="2"/>
                <w:sz w:val="20"/>
                <w:szCs w:val="20"/>
              </w:rPr>
            </w:pPr>
            <w:r w:rsidRPr="000A64BD">
              <w:rPr>
                <w:rFonts w:ascii="Arial" w:eastAsia="Arial Unicode MS" w:hAnsi="Arial" w:cs="Arial"/>
                <w:iCs/>
                <w:kern w:val="2"/>
                <w:sz w:val="20"/>
                <w:szCs w:val="20"/>
              </w:rPr>
              <w:t>Bonne connaissance</w:t>
            </w:r>
          </w:p>
        </w:tc>
      </w:tr>
    </w:tbl>
    <w:p w:rsidR="000A64BD" w:rsidRPr="000A64BD" w:rsidRDefault="000A64BD" w:rsidP="000A64BD">
      <w:pPr>
        <w:spacing w:after="200" w:line="276" w:lineRule="auto"/>
        <w:jc w:val="both"/>
        <w:rPr>
          <w:rFonts w:ascii="Arial" w:eastAsia="Calibri" w:hAnsi="Arial" w:cs="Arial"/>
          <w:sz w:val="20"/>
          <w:szCs w:val="20"/>
        </w:rPr>
      </w:pPr>
    </w:p>
    <w:p w:rsidR="000A64BD" w:rsidRPr="000A64BD" w:rsidRDefault="000A64BD" w:rsidP="000A64BD">
      <w:pPr>
        <w:numPr>
          <w:ilvl w:val="0"/>
          <w:numId w:val="1"/>
        </w:numPr>
        <w:spacing w:after="200" w:line="276" w:lineRule="auto"/>
        <w:ind w:left="426" w:hanging="426"/>
        <w:contextualSpacing/>
        <w:jc w:val="both"/>
        <w:rPr>
          <w:rFonts w:ascii="Arial" w:eastAsia="Calibri" w:hAnsi="Arial" w:cs="Arial"/>
          <w:b/>
          <w:sz w:val="24"/>
          <w:szCs w:val="24"/>
        </w:rPr>
      </w:pPr>
      <w:r w:rsidRPr="000A64BD">
        <w:rPr>
          <w:rFonts w:ascii="Arial" w:eastAsia="Calibri" w:hAnsi="Arial" w:cs="Arial"/>
          <w:b/>
          <w:sz w:val="24"/>
          <w:szCs w:val="24"/>
        </w:rPr>
        <w:t>DETAILS PROFESSIONNELS</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Avocat près la Cour d’Appel du Haut-Uélé depuis juillet 2019 (ONA 18186)</w:t>
      </w:r>
    </w:p>
    <w:p w:rsidR="000A64BD" w:rsidRPr="000A64BD" w:rsidRDefault="000A64BD" w:rsidP="000A64BD">
      <w:pPr>
        <w:numPr>
          <w:ilvl w:val="0"/>
          <w:numId w:val="3"/>
        </w:numPr>
        <w:spacing w:after="200" w:line="276" w:lineRule="auto"/>
        <w:ind w:left="709"/>
        <w:contextualSpacing/>
        <w:jc w:val="both"/>
        <w:rPr>
          <w:rFonts w:ascii="Arial" w:eastAsia="Calibri" w:hAnsi="Arial" w:cs="Arial"/>
          <w:sz w:val="24"/>
          <w:szCs w:val="24"/>
        </w:rPr>
      </w:pPr>
      <w:r w:rsidRPr="000A64BD">
        <w:rPr>
          <w:rFonts w:ascii="Arial" w:eastAsia="Calibri" w:hAnsi="Arial" w:cs="Arial"/>
          <w:sz w:val="24"/>
          <w:szCs w:val="24"/>
        </w:rPr>
        <w:t xml:space="preserve">Régis KATUALA GIZE est Professeur et enseigne dans plusieurs université de la République Démocratique du Congo dont l’Université de Goma, l’Université Catholique la Sapientia de Goma, Université  des Martyrs, Université Catholique du Graben Butembo, Université de Kindu, Université Mapon, Université Catholique de Kindu, Université de Kisangani, Université Catholique de Kisangani, Université Libre de Kisangani. </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Coordonnateur provincial de l’Association Renouveau pour la paix et l’ordre social dans la province de la TSHOPO (Février 2019 à nos jours).</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Point focal d’UNIS, MOUVEMENT BLANC SUR LA LUTTE CONTRE LA CORRUPTION à Kisangani (Octobre 2020 à nos jours).</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Membre de la société québécoise de droit international depuis juillet 2017.</w:t>
      </w:r>
    </w:p>
    <w:p w:rsidR="000A64BD" w:rsidRPr="000A64BD" w:rsidRDefault="000A64BD" w:rsidP="000A64BD">
      <w:pPr>
        <w:numPr>
          <w:ilvl w:val="0"/>
          <w:numId w:val="3"/>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Formateur des formateurs en Droit international humanitaire.</w:t>
      </w:r>
    </w:p>
    <w:p w:rsidR="000A64BD" w:rsidRPr="000A64BD" w:rsidRDefault="000A64BD" w:rsidP="000A64BD">
      <w:pPr>
        <w:spacing w:after="200" w:line="276" w:lineRule="auto"/>
        <w:ind w:left="720"/>
        <w:contextualSpacing/>
        <w:jc w:val="both"/>
        <w:rPr>
          <w:rFonts w:ascii="Arial" w:eastAsia="Calibri" w:hAnsi="Arial" w:cs="Arial"/>
          <w:sz w:val="20"/>
          <w:szCs w:val="20"/>
        </w:rPr>
      </w:pPr>
    </w:p>
    <w:p w:rsidR="000A64BD" w:rsidRPr="000A64BD" w:rsidRDefault="000A64BD" w:rsidP="000A64BD">
      <w:pPr>
        <w:numPr>
          <w:ilvl w:val="0"/>
          <w:numId w:val="1"/>
        </w:numPr>
        <w:spacing w:after="200" w:line="276" w:lineRule="auto"/>
        <w:ind w:left="426" w:hanging="349"/>
        <w:contextualSpacing/>
        <w:jc w:val="both"/>
        <w:rPr>
          <w:rFonts w:ascii="Arial" w:eastAsia="Calibri" w:hAnsi="Arial" w:cs="Arial"/>
          <w:b/>
          <w:sz w:val="20"/>
          <w:szCs w:val="20"/>
        </w:rPr>
      </w:pPr>
      <w:r w:rsidRPr="000A64BD">
        <w:rPr>
          <w:rFonts w:ascii="Arial" w:eastAsia="Calibri" w:hAnsi="Arial" w:cs="Arial"/>
          <w:b/>
          <w:sz w:val="20"/>
          <w:szCs w:val="20"/>
        </w:rPr>
        <w:t xml:space="preserve">PUBLICATION DES ARTICLES </w:t>
      </w:r>
    </w:p>
    <w:p w:rsidR="000A64BD" w:rsidRPr="000A64BD" w:rsidRDefault="000A64BD" w:rsidP="000A64BD">
      <w:pPr>
        <w:spacing w:after="200" w:line="276" w:lineRule="auto"/>
        <w:ind w:left="709"/>
        <w:contextualSpacing/>
        <w:jc w:val="both"/>
        <w:rPr>
          <w:rFonts w:ascii="Arial" w:eastAsia="Calibri" w:hAnsi="Arial" w:cs="Arial"/>
          <w:b/>
          <w:sz w:val="20"/>
          <w:szCs w:val="20"/>
        </w:rPr>
      </w:pP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Calibri" w:hAnsi="Arial" w:cs="Arial"/>
          <w:sz w:val="24"/>
          <w:szCs w:val="24"/>
        </w:rPr>
        <w:t>Les Forces armées de la République démocratique du Congo face à la guerre asymétrique (non conventionnelle) des ADF/MTM Revue Générale de Droit et Interdisciplinaire de l’Université de Likasi (2022) 5:4 RGDILI  Dépôt légal : 12.20.2022.27 IVème trimestre 2022 Décembre 2022 Presses universitaires de Likasi</w:t>
      </w: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Calibri" w:hAnsi="Arial" w:cs="Arial"/>
          <w:sz w:val="24"/>
          <w:szCs w:val="24"/>
        </w:rPr>
        <w:t>Conflit armé entre les forces armées de la République Démocratique du Congo et le Mouvement du 23 mars : Dilemme entre souveraineté affirmée et défaillante Revue Générale de Droit et Interdisciplinaire de l’Université de Likasi (2022) 5:4 RGDILI  Dépôt légal : 12.20.2022.27 IVème trimestre 2022 Décembre 2022 Presses universitaires de Likasi</w:t>
      </w: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Calibri" w:hAnsi="Arial" w:cs="Arial"/>
          <w:sz w:val="24"/>
          <w:szCs w:val="24"/>
        </w:rPr>
        <w:t>De l’analyse de l’article 237 ter de la loi électorale face à la machine à voter lors du scrutin du 30 décembre 2018 en RDC. Revue de l’IRSA NUMERO 28, AVRIL 2021 ISSN 2520-7385</w:t>
      </w: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Calibri" w:hAnsi="Arial" w:cs="Arial"/>
          <w:sz w:val="24"/>
          <w:szCs w:val="24"/>
        </w:rPr>
        <w:t>Conflits armés et responsabilité étatique de protéger les populations civiles en République démocratique du Congo Revue Générale de Droit et Interdisciplinaire de l’Université de Likasi (2022) 5 : 3 RGDILI</w:t>
      </w: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Times New Roman" w:hAnsi="Arial" w:cs="Arial"/>
          <w:color w:val="222222"/>
          <w:sz w:val="24"/>
          <w:szCs w:val="24"/>
          <w:lang w:eastAsia="fr-FR"/>
        </w:rPr>
        <w:t xml:space="preserve">Analyse de régime juridique des sanctions en droit international et la   protection des droits de l’homme : Regard sur la République Démocratique du Congo. </w:t>
      </w:r>
      <w:r w:rsidRPr="000A64BD">
        <w:rPr>
          <w:rFonts w:ascii="Arial" w:eastAsia="Times New Roman" w:hAnsi="Arial" w:cs="Arial"/>
          <w:color w:val="222222"/>
          <w:sz w:val="24"/>
          <w:szCs w:val="24"/>
          <w:lang w:eastAsia="fr-FR"/>
        </w:rPr>
        <w:lastRenderedPageBreak/>
        <w:t xml:space="preserve">Article publié à la revue : </w:t>
      </w:r>
      <w:r w:rsidRPr="000A64BD">
        <w:rPr>
          <w:rFonts w:ascii="Arial" w:eastAsia="Calibri" w:hAnsi="Arial" w:cs="Arial"/>
          <w:color w:val="000000"/>
          <w:sz w:val="24"/>
          <w:szCs w:val="24"/>
          <w:lang w:eastAsia="fr-FR"/>
        </w:rPr>
        <w:t xml:space="preserve">International Journal of Innovation and AppliedStudies ISSN 2028-9324 Vol. 25 No. 1 Dec. 2018, pp. 355-369 © 2018 </w:t>
      </w:r>
      <w:r w:rsidRPr="000A64BD">
        <w:rPr>
          <w:rFonts w:ascii="Arial" w:eastAsia="Calibri" w:hAnsi="Arial" w:cs="Arial"/>
          <w:i/>
          <w:color w:val="000000"/>
          <w:sz w:val="24"/>
          <w:szCs w:val="24"/>
          <w:lang w:eastAsia="fr-FR"/>
        </w:rPr>
        <w:t>InnovativeSpace of Scientific ResearchJournals</w:t>
      </w:r>
      <w:hyperlink r:id="rId6" w:history="1">
        <w:r w:rsidRPr="000A64BD">
          <w:rPr>
            <w:rFonts w:ascii="Arial" w:eastAsia="Calibri" w:hAnsi="Arial" w:cs="Arial"/>
            <w:color w:val="0563C1"/>
            <w:sz w:val="24"/>
            <w:szCs w:val="24"/>
            <w:u w:val="single"/>
            <w:lang w:eastAsia="fr-FR"/>
          </w:rPr>
          <w:t>http://www.ijias.issr-journals.org/</w:t>
        </w:r>
      </w:hyperlink>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Times New Roman" w:hAnsi="Arial" w:cs="Arial"/>
          <w:color w:val="222222"/>
          <w:sz w:val="24"/>
          <w:szCs w:val="24"/>
          <w:lang w:eastAsia="fr-FR"/>
        </w:rPr>
        <w:t xml:space="preserve"> Cadre juridique des sanctions internationales : diagnostic des sanctions de l'ONU à l'encontre des entités nos étatiques en République démocratique du Congo. Article publié dans une revue internationale : </w:t>
      </w:r>
      <w:r w:rsidRPr="000A64BD">
        <w:rPr>
          <w:rFonts w:ascii="Arial" w:eastAsia="Calibri" w:hAnsi="Arial" w:cs="Arial"/>
          <w:color w:val="000000"/>
          <w:sz w:val="24"/>
          <w:szCs w:val="24"/>
          <w:lang w:eastAsia="fr-FR"/>
        </w:rPr>
        <w:t>International Journal of Innovation and AppliedStudies ISSN 2028-9324 Vol. 25 No. 1 Dec. 2018, pp. 263-268 © 2018 InnovativeSpace of Scientific ResearchJournals</w:t>
      </w:r>
      <w:hyperlink r:id="rId7" w:history="1">
        <w:r w:rsidRPr="000A64BD">
          <w:rPr>
            <w:rFonts w:ascii="Arial" w:eastAsia="Calibri" w:hAnsi="Arial" w:cs="Arial"/>
            <w:color w:val="0563C1"/>
            <w:sz w:val="24"/>
            <w:szCs w:val="24"/>
            <w:u w:val="single"/>
            <w:lang w:eastAsia="fr-FR"/>
          </w:rPr>
          <w:t>http://www.ijias.issr-journals.org/</w:t>
        </w:r>
      </w:hyperlink>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Times New Roman" w:hAnsi="Arial" w:cs="Arial"/>
          <w:color w:val="222222"/>
          <w:sz w:val="24"/>
          <w:szCs w:val="24"/>
          <w:lang w:eastAsia="fr-FR"/>
        </w:rPr>
        <w:t>Sanctions ciblées et souveraineté des Etats : Autopsie des actes unilatéraux des États Unis d’Amérique et de l’Union Européenne à l’encontre des autorités congolaises, mémoire d’études supérieures en droit, UNIKIS, 2020 .</w:t>
      </w:r>
    </w:p>
    <w:p w:rsidR="000A64BD" w:rsidRPr="000A64BD" w:rsidRDefault="000A64BD" w:rsidP="000A64BD">
      <w:pPr>
        <w:numPr>
          <w:ilvl w:val="0"/>
          <w:numId w:val="7"/>
        </w:numPr>
        <w:spacing w:after="200" w:line="276" w:lineRule="auto"/>
        <w:ind w:left="709" w:hanging="283"/>
        <w:contextualSpacing/>
        <w:jc w:val="both"/>
        <w:rPr>
          <w:rFonts w:ascii="Arial" w:eastAsia="Calibri" w:hAnsi="Arial" w:cs="Arial"/>
          <w:sz w:val="24"/>
          <w:szCs w:val="24"/>
        </w:rPr>
      </w:pPr>
      <w:r w:rsidRPr="000A64BD">
        <w:rPr>
          <w:rFonts w:ascii="Arial" w:eastAsia="Times New Roman" w:hAnsi="Arial" w:cs="Arial"/>
          <w:color w:val="222222"/>
          <w:sz w:val="24"/>
          <w:szCs w:val="24"/>
          <w:lang w:eastAsia="fr-FR"/>
        </w:rPr>
        <w:t>L’État congolais face à l’obligation de protéger les populations civiles victimes de conflits armés de l’Ituri et du Nord-Kivu, Thèse de doctorat en Droit, UNIKIS, 2024.</w:t>
      </w:r>
    </w:p>
    <w:p w:rsidR="000A64BD" w:rsidRPr="000A64BD" w:rsidRDefault="000A64BD" w:rsidP="000A64BD">
      <w:pPr>
        <w:numPr>
          <w:ilvl w:val="0"/>
          <w:numId w:val="1"/>
        </w:numPr>
        <w:spacing w:after="200" w:line="276" w:lineRule="auto"/>
        <w:ind w:left="426" w:hanging="426"/>
        <w:contextualSpacing/>
        <w:jc w:val="both"/>
        <w:rPr>
          <w:rFonts w:ascii="Arial" w:eastAsia="Calibri" w:hAnsi="Arial" w:cs="Arial"/>
          <w:b/>
          <w:sz w:val="24"/>
          <w:szCs w:val="24"/>
        </w:rPr>
      </w:pPr>
      <w:r w:rsidRPr="000A64BD">
        <w:rPr>
          <w:rFonts w:ascii="Arial" w:eastAsia="Calibri" w:hAnsi="Arial" w:cs="Arial"/>
          <w:b/>
          <w:sz w:val="24"/>
          <w:szCs w:val="24"/>
        </w:rPr>
        <w:t>LANGUES PARLEES</w:t>
      </w:r>
    </w:p>
    <w:p w:rsidR="000A64BD" w:rsidRPr="000A64BD" w:rsidRDefault="000A64BD" w:rsidP="000A64BD">
      <w:pPr>
        <w:spacing w:after="200" w:line="276" w:lineRule="auto"/>
        <w:ind w:left="426"/>
        <w:contextualSpacing/>
        <w:jc w:val="both"/>
        <w:rPr>
          <w:rFonts w:ascii="Arial" w:eastAsia="Calibri" w:hAnsi="Arial" w:cs="Arial"/>
          <w:b/>
          <w:sz w:val="24"/>
          <w:szCs w:val="24"/>
        </w:rPr>
      </w:pPr>
    </w:p>
    <w:p w:rsidR="000A64BD" w:rsidRPr="000A64BD" w:rsidRDefault="000A64BD" w:rsidP="000A64BD">
      <w:pPr>
        <w:numPr>
          <w:ilvl w:val="0"/>
          <w:numId w:val="4"/>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Français (très bien)</w:t>
      </w:r>
    </w:p>
    <w:p w:rsidR="000A64BD" w:rsidRPr="000A64BD" w:rsidRDefault="000A64BD" w:rsidP="000A64BD">
      <w:pPr>
        <w:numPr>
          <w:ilvl w:val="0"/>
          <w:numId w:val="4"/>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Lingala (très bien)</w:t>
      </w:r>
    </w:p>
    <w:p w:rsidR="000A64BD" w:rsidRPr="000A64BD" w:rsidRDefault="000A64BD" w:rsidP="000A64BD">
      <w:pPr>
        <w:numPr>
          <w:ilvl w:val="0"/>
          <w:numId w:val="4"/>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Swahili (Bien)</w:t>
      </w:r>
    </w:p>
    <w:p w:rsidR="000A64BD" w:rsidRPr="000A64BD" w:rsidRDefault="000A64BD" w:rsidP="000A64BD">
      <w:pPr>
        <w:numPr>
          <w:ilvl w:val="0"/>
          <w:numId w:val="4"/>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Anglais (bien)</w:t>
      </w:r>
    </w:p>
    <w:p w:rsidR="000A64BD" w:rsidRPr="000A64BD" w:rsidRDefault="000A64BD" w:rsidP="000A64BD">
      <w:pPr>
        <w:numPr>
          <w:ilvl w:val="0"/>
          <w:numId w:val="1"/>
        </w:numPr>
        <w:spacing w:after="200" w:line="276" w:lineRule="auto"/>
        <w:ind w:left="426" w:hanging="426"/>
        <w:contextualSpacing/>
        <w:jc w:val="both"/>
        <w:rPr>
          <w:rFonts w:ascii="Arial" w:eastAsia="Calibri" w:hAnsi="Arial" w:cs="Arial"/>
          <w:b/>
          <w:sz w:val="24"/>
          <w:szCs w:val="24"/>
        </w:rPr>
      </w:pPr>
      <w:r w:rsidRPr="000A64BD">
        <w:rPr>
          <w:rFonts w:ascii="Arial" w:eastAsia="Calibri" w:hAnsi="Arial" w:cs="Arial"/>
          <w:b/>
          <w:sz w:val="24"/>
          <w:szCs w:val="24"/>
        </w:rPr>
        <w:t>SPORTS, LOISIRS ET RESEAUX SOCIAUX</w:t>
      </w:r>
    </w:p>
    <w:p w:rsidR="000A64BD" w:rsidRPr="000A64BD" w:rsidRDefault="000A64BD" w:rsidP="000A64BD">
      <w:pPr>
        <w:spacing w:after="200" w:line="276" w:lineRule="auto"/>
        <w:ind w:left="426"/>
        <w:contextualSpacing/>
        <w:jc w:val="both"/>
        <w:rPr>
          <w:rFonts w:ascii="Arial" w:eastAsia="Calibri" w:hAnsi="Arial" w:cs="Arial"/>
          <w:b/>
          <w:sz w:val="24"/>
          <w:szCs w:val="24"/>
        </w:rPr>
      </w:pPr>
    </w:p>
    <w:p w:rsidR="000A64BD" w:rsidRPr="000A64BD" w:rsidRDefault="000A64BD" w:rsidP="000A64BD">
      <w:pPr>
        <w:numPr>
          <w:ilvl w:val="0"/>
          <w:numId w:val="5"/>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 xml:space="preserve">Tennis, jogging. </w:t>
      </w:r>
    </w:p>
    <w:p w:rsidR="000A64BD" w:rsidRPr="000A64BD" w:rsidRDefault="000A64BD" w:rsidP="000A64BD">
      <w:pPr>
        <w:numPr>
          <w:ilvl w:val="0"/>
          <w:numId w:val="5"/>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Magazines, Cinéma, Séminaires et conférences scientifiques.</w:t>
      </w:r>
    </w:p>
    <w:p w:rsidR="000A64BD" w:rsidRPr="000A64BD" w:rsidRDefault="000A64BD" w:rsidP="000A64BD">
      <w:pPr>
        <w:numPr>
          <w:ilvl w:val="0"/>
          <w:numId w:val="5"/>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Twitter @regiskatuala</w:t>
      </w:r>
    </w:p>
    <w:p w:rsidR="000A64BD" w:rsidRPr="000A64BD" w:rsidRDefault="000A64BD" w:rsidP="000A64BD">
      <w:pPr>
        <w:numPr>
          <w:ilvl w:val="0"/>
          <w:numId w:val="5"/>
        </w:numPr>
        <w:spacing w:after="200" w:line="276" w:lineRule="auto"/>
        <w:contextualSpacing/>
        <w:jc w:val="both"/>
        <w:rPr>
          <w:rFonts w:ascii="Arial" w:eastAsia="Calibri" w:hAnsi="Arial" w:cs="Arial"/>
          <w:sz w:val="24"/>
          <w:szCs w:val="24"/>
        </w:rPr>
      </w:pPr>
      <w:r w:rsidRPr="000A64BD">
        <w:rPr>
          <w:rFonts w:ascii="Arial" w:eastAsia="Calibri" w:hAnsi="Arial" w:cs="Arial"/>
          <w:sz w:val="24"/>
          <w:szCs w:val="24"/>
        </w:rPr>
        <w:t>Facebook : Régis KATUALA GIZE</w:t>
      </w:r>
    </w:p>
    <w:p w:rsidR="000A64BD" w:rsidRPr="000A64BD" w:rsidRDefault="000A64BD" w:rsidP="000A64BD">
      <w:pPr>
        <w:numPr>
          <w:ilvl w:val="0"/>
          <w:numId w:val="1"/>
        </w:numPr>
        <w:spacing w:after="200" w:line="276" w:lineRule="auto"/>
        <w:ind w:left="567" w:hanging="425"/>
        <w:contextualSpacing/>
        <w:jc w:val="both"/>
        <w:rPr>
          <w:rFonts w:ascii="Arial" w:eastAsia="Calibri" w:hAnsi="Arial" w:cs="Arial"/>
          <w:b/>
          <w:sz w:val="24"/>
          <w:szCs w:val="24"/>
        </w:rPr>
      </w:pPr>
      <w:r w:rsidRPr="000A64BD">
        <w:rPr>
          <w:rFonts w:ascii="Arial" w:eastAsia="Calibri" w:hAnsi="Arial" w:cs="Arial"/>
          <w:b/>
          <w:sz w:val="24"/>
          <w:szCs w:val="24"/>
        </w:rPr>
        <w:t>PERSONNES DE REFERENCE</w:t>
      </w:r>
    </w:p>
    <w:p w:rsidR="000A64BD" w:rsidRPr="000A64BD" w:rsidRDefault="000A64BD" w:rsidP="000A64BD">
      <w:pPr>
        <w:numPr>
          <w:ilvl w:val="0"/>
          <w:numId w:val="6"/>
        </w:numPr>
        <w:spacing w:after="0" w:line="276" w:lineRule="auto"/>
        <w:contextualSpacing/>
        <w:jc w:val="both"/>
        <w:rPr>
          <w:rFonts w:ascii="Arial" w:eastAsia="Calibri" w:hAnsi="Arial" w:cs="Arial"/>
          <w:sz w:val="24"/>
          <w:szCs w:val="24"/>
        </w:rPr>
      </w:pPr>
      <w:r w:rsidRPr="000A64BD">
        <w:rPr>
          <w:rFonts w:ascii="Arial" w:eastAsia="Calibri" w:hAnsi="Arial" w:cs="Arial"/>
          <w:sz w:val="24"/>
          <w:szCs w:val="24"/>
        </w:rPr>
        <w:t>MWAYILA TSHIYEMBE : Docteur d’Etat en Droit à l’Université de Nice Sophie Antipolis et Docteur en science politique à l’Université de Nancy 2, enseignant aux Universités paris-xii en France, Université de Lubumbashi et Doyen honoraire de la Faculté de Droit de l’Université de Kisangani en République Démocratiq</w:t>
      </w:r>
      <w:r>
        <w:rPr>
          <w:rFonts w:ascii="Arial" w:eastAsia="Calibri" w:hAnsi="Arial" w:cs="Arial"/>
          <w:sz w:val="24"/>
          <w:szCs w:val="24"/>
        </w:rPr>
        <w:t xml:space="preserve">ue du Congo. </w:t>
      </w:r>
      <w:r w:rsidRPr="000A64BD">
        <w:rPr>
          <w:rFonts w:ascii="Arial" w:eastAsia="Calibri" w:hAnsi="Arial" w:cs="Arial"/>
          <w:sz w:val="24"/>
          <w:szCs w:val="24"/>
        </w:rPr>
        <w:t xml:space="preserve">Mail : </w:t>
      </w:r>
      <w:hyperlink r:id="rId8" w:history="1">
        <w:r w:rsidRPr="000A64BD">
          <w:rPr>
            <w:rFonts w:ascii="Arial" w:eastAsia="Calibri" w:hAnsi="Arial" w:cs="Arial"/>
            <w:color w:val="0563C1"/>
            <w:sz w:val="24"/>
            <w:szCs w:val="24"/>
            <w:u w:val="single"/>
          </w:rPr>
          <w:t>delaniambiz@gmail.com</w:t>
        </w:r>
      </w:hyperlink>
    </w:p>
    <w:p w:rsidR="000A64BD" w:rsidRPr="000A64BD" w:rsidRDefault="000A64BD" w:rsidP="000A64BD">
      <w:pPr>
        <w:spacing w:after="0" w:line="276" w:lineRule="auto"/>
        <w:jc w:val="both"/>
        <w:rPr>
          <w:rFonts w:ascii="Arial" w:eastAsia="Calibri" w:hAnsi="Arial" w:cs="Arial"/>
          <w:sz w:val="24"/>
          <w:szCs w:val="24"/>
        </w:rPr>
      </w:pPr>
    </w:p>
    <w:p w:rsidR="000A64BD" w:rsidRPr="000A64BD" w:rsidRDefault="000A64BD" w:rsidP="000A64BD">
      <w:pPr>
        <w:numPr>
          <w:ilvl w:val="0"/>
          <w:numId w:val="6"/>
        </w:numPr>
        <w:spacing w:after="0"/>
        <w:contextualSpacing/>
        <w:jc w:val="both"/>
        <w:rPr>
          <w:rFonts w:ascii="Arial" w:eastAsia="Calibri" w:hAnsi="Arial" w:cs="Arial"/>
          <w:sz w:val="24"/>
          <w:szCs w:val="24"/>
        </w:rPr>
      </w:pPr>
      <w:r w:rsidRPr="000A64BD">
        <w:rPr>
          <w:rFonts w:ascii="Arial" w:eastAsia="Calibri" w:hAnsi="Arial" w:cs="Arial"/>
          <w:sz w:val="24"/>
          <w:szCs w:val="24"/>
        </w:rPr>
        <w:t xml:space="preserve">Bâtonnier  Jean-Paul KAGHOMA, avocat aux Barreaux du Haut-Uélé et </w:t>
      </w:r>
      <w:r>
        <w:rPr>
          <w:rFonts w:ascii="Arial" w:eastAsia="Calibri" w:hAnsi="Arial" w:cs="Arial"/>
          <w:sz w:val="24"/>
          <w:szCs w:val="24"/>
        </w:rPr>
        <w:t xml:space="preserve">de la Tshopo : </w:t>
      </w:r>
    </w:p>
    <w:p w:rsidR="000A64BD" w:rsidRPr="000A64BD" w:rsidRDefault="000A64BD" w:rsidP="000A64BD">
      <w:pPr>
        <w:ind w:left="720"/>
        <w:contextualSpacing/>
        <w:jc w:val="both"/>
        <w:rPr>
          <w:rFonts w:ascii="Arial" w:eastAsia="Calibri" w:hAnsi="Arial" w:cs="Arial"/>
          <w:sz w:val="24"/>
          <w:szCs w:val="24"/>
        </w:rPr>
      </w:pPr>
    </w:p>
    <w:p w:rsidR="000A64BD" w:rsidRPr="000A64BD" w:rsidRDefault="000A64BD" w:rsidP="000A64BD">
      <w:pPr>
        <w:numPr>
          <w:ilvl w:val="0"/>
          <w:numId w:val="6"/>
        </w:numPr>
        <w:spacing w:after="0"/>
        <w:contextualSpacing/>
        <w:jc w:val="both"/>
        <w:rPr>
          <w:rFonts w:ascii="Arial" w:eastAsia="Calibri" w:hAnsi="Arial" w:cs="Arial"/>
          <w:sz w:val="24"/>
          <w:szCs w:val="24"/>
        </w:rPr>
      </w:pPr>
      <w:r w:rsidRPr="000A64BD">
        <w:rPr>
          <w:rFonts w:ascii="Arial" w:eastAsia="Calibri" w:hAnsi="Arial" w:cs="Arial"/>
          <w:sz w:val="24"/>
          <w:szCs w:val="24"/>
        </w:rPr>
        <w:t xml:space="preserve">Junior MUMBALA  ABELUNGU : Docteur en Droit International Humanitaire à l’Université de Gant en Belgique, Professeur de Droit à l’Université de Lubumbashi, Doyen de la Faculté de Droit de l’Université Protestante de Lubumbashi Mail : </w:t>
      </w:r>
      <w:hyperlink r:id="rId9" w:history="1">
        <w:r w:rsidRPr="000A64BD">
          <w:rPr>
            <w:rFonts w:ascii="Arial" w:eastAsia="Calibri" w:hAnsi="Arial" w:cs="Arial"/>
            <w:color w:val="0563C1"/>
            <w:sz w:val="24"/>
            <w:szCs w:val="24"/>
            <w:u w:val="single"/>
          </w:rPr>
          <w:t>juniormumbala@gmail.com</w:t>
        </w:r>
      </w:hyperlink>
      <w:r>
        <w:rPr>
          <w:rFonts w:ascii="Arial" w:eastAsia="Calibri" w:hAnsi="Arial" w:cs="Arial"/>
          <w:sz w:val="24"/>
          <w:szCs w:val="24"/>
        </w:rPr>
        <w:t xml:space="preserve"> </w:t>
      </w:r>
      <w:r w:rsidRPr="000A64BD">
        <w:rPr>
          <w:rFonts w:ascii="Arial" w:eastAsia="Calibri" w:hAnsi="Arial" w:cs="Arial"/>
          <w:sz w:val="24"/>
          <w:szCs w:val="24"/>
        </w:rPr>
        <w:t xml:space="preserve"> </w:t>
      </w:r>
    </w:p>
    <w:p w:rsidR="000A64BD" w:rsidRPr="000A64BD" w:rsidRDefault="000A64BD" w:rsidP="000A64BD">
      <w:pPr>
        <w:ind w:left="720"/>
        <w:contextualSpacing/>
        <w:rPr>
          <w:rFonts w:ascii="Arial" w:eastAsia="Calibri" w:hAnsi="Arial" w:cs="Arial"/>
          <w:sz w:val="24"/>
          <w:szCs w:val="24"/>
        </w:rPr>
      </w:pPr>
    </w:p>
    <w:p w:rsidR="000A64BD" w:rsidRPr="000A64BD" w:rsidRDefault="000A64BD" w:rsidP="000A64BD">
      <w:pPr>
        <w:spacing w:after="0" w:line="276" w:lineRule="auto"/>
        <w:ind w:left="720"/>
        <w:contextualSpacing/>
        <w:jc w:val="both"/>
        <w:rPr>
          <w:rFonts w:ascii="Arial" w:eastAsia="Calibri" w:hAnsi="Arial" w:cs="Arial"/>
          <w:sz w:val="24"/>
          <w:szCs w:val="24"/>
        </w:rPr>
      </w:pPr>
    </w:p>
    <w:p w:rsidR="000A64BD" w:rsidRPr="000A64BD" w:rsidRDefault="000A64BD" w:rsidP="000A64BD">
      <w:pPr>
        <w:spacing w:after="0" w:line="276" w:lineRule="auto"/>
        <w:ind w:left="720"/>
        <w:contextualSpacing/>
        <w:jc w:val="both"/>
        <w:rPr>
          <w:rFonts w:ascii="Arial" w:eastAsia="Calibri" w:hAnsi="Arial" w:cs="Arial"/>
          <w:sz w:val="24"/>
          <w:szCs w:val="24"/>
        </w:rPr>
      </w:pPr>
    </w:p>
    <w:p w:rsidR="000A64BD" w:rsidRPr="000A64BD" w:rsidRDefault="000A64BD" w:rsidP="000A64BD">
      <w:pPr>
        <w:spacing w:after="0" w:line="240" w:lineRule="auto"/>
        <w:ind w:left="4404"/>
        <w:contextualSpacing/>
        <w:jc w:val="both"/>
        <w:rPr>
          <w:rFonts w:ascii="Arial" w:eastAsia="Calibri" w:hAnsi="Arial" w:cs="Arial"/>
          <w:b/>
          <w:sz w:val="24"/>
          <w:szCs w:val="24"/>
        </w:rPr>
      </w:pPr>
      <w:r w:rsidRPr="000A64BD">
        <w:rPr>
          <w:rFonts w:ascii="Arial" w:eastAsia="Calibri" w:hAnsi="Arial" w:cs="Arial"/>
          <w:b/>
          <w:sz w:val="24"/>
          <w:szCs w:val="24"/>
        </w:rPr>
        <w:lastRenderedPageBreak/>
        <w:t xml:space="preserve">     Fait à Kisangani, le </w:t>
      </w:r>
      <w:r>
        <w:rPr>
          <w:rFonts w:ascii="Arial" w:eastAsia="Calibri" w:hAnsi="Arial" w:cs="Arial"/>
          <w:b/>
          <w:sz w:val="24"/>
          <w:szCs w:val="24"/>
        </w:rPr>
        <w:t>5 juin</w:t>
      </w:r>
      <w:r w:rsidRPr="000A64BD">
        <w:rPr>
          <w:rFonts w:ascii="Arial" w:eastAsia="Calibri" w:hAnsi="Arial" w:cs="Arial"/>
          <w:b/>
          <w:sz w:val="24"/>
          <w:szCs w:val="24"/>
        </w:rPr>
        <w:t xml:space="preserve"> 2025</w:t>
      </w:r>
    </w:p>
    <w:p w:rsidR="000A64BD" w:rsidRPr="000A64BD" w:rsidRDefault="000A64BD" w:rsidP="000A64BD">
      <w:pPr>
        <w:spacing w:after="0" w:line="240" w:lineRule="auto"/>
        <w:ind w:left="4404"/>
        <w:contextualSpacing/>
        <w:jc w:val="both"/>
        <w:rPr>
          <w:rFonts w:ascii="Arial" w:eastAsia="Calibri" w:hAnsi="Arial" w:cs="Arial"/>
          <w:sz w:val="24"/>
          <w:szCs w:val="24"/>
        </w:rPr>
      </w:pPr>
      <w:r w:rsidRPr="000A64BD">
        <w:rPr>
          <w:rFonts w:ascii="Arial" w:eastAsia="Calibri" w:hAnsi="Arial" w:cs="Arial"/>
          <w:sz w:val="24"/>
          <w:szCs w:val="24"/>
        </w:rPr>
        <w:t xml:space="preserve">      </w:t>
      </w:r>
    </w:p>
    <w:p w:rsidR="000A64BD" w:rsidRPr="000A64BD" w:rsidRDefault="000A64BD" w:rsidP="000A64BD">
      <w:pPr>
        <w:spacing w:after="0" w:line="240" w:lineRule="auto"/>
        <w:ind w:left="4404"/>
        <w:contextualSpacing/>
        <w:jc w:val="both"/>
        <w:rPr>
          <w:rFonts w:ascii="Arial" w:eastAsia="Calibri" w:hAnsi="Arial" w:cs="Arial"/>
          <w:b/>
          <w:sz w:val="24"/>
          <w:szCs w:val="24"/>
        </w:rPr>
      </w:pPr>
      <w:r w:rsidRPr="000A64BD">
        <w:rPr>
          <w:rFonts w:ascii="Arial" w:eastAsia="Calibri" w:hAnsi="Arial" w:cs="Arial"/>
          <w:b/>
          <w:sz w:val="24"/>
          <w:szCs w:val="24"/>
        </w:rPr>
        <w:t xml:space="preserve">            Régis  KATUALA GIZE </w:t>
      </w:r>
    </w:p>
    <w:p w:rsidR="000A64BD" w:rsidRPr="000A64BD" w:rsidRDefault="000A64BD" w:rsidP="000A64BD">
      <w:pPr>
        <w:spacing w:after="0" w:line="240" w:lineRule="auto"/>
        <w:ind w:left="4404"/>
        <w:contextualSpacing/>
        <w:jc w:val="both"/>
        <w:rPr>
          <w:rFonts w:ascii="Arial" w:eastAsia="Calibri" w:hAnsi="Arial" w:cs="Arial"/>
          <w:b/>
          <w:sz w:val="24"/>
          <w:szCs w:val="24"/>
        </w:rPr>
      </w:pPr>
    </w:p>
    <w:p w:rsidR="000A64BD" w:rsidRPr="000A64BD" w:rsidRDefault="000A64BD" w:rsidP="000A64BD">
      <w:pPr>
        <w:spacing w:before="240" w:after="0" w:line="240" w:lineRule="auto"/>
        <w:ind w:left="4956" w:firstLine="708"/>
        <w:contextualSpacing/>
        <w:rPr>
          <w:rFonts w:ascii="Arial" w:eastAsia="Calibri" w:hAnsi="Arial" w:cs="Arial"/>
          <w:b/>
          <w:sz w:val="24"/>
          <w:szCs w:val="24"/>
        </w:rPr>
      </w:pPr>
      <w:r w:rsidRPr="000A64BD">
        <w:rPr>
          <w:rFonts w:ascii="Arial" w:eastAsia="Calibri" w:hAnsi="Arial" w:cs="Arial"/>
          <w:b/>
          <w:sz w:val="24"/>
          <w:szCs w:val="24"/>
        </w:rPr>
        <w:t xml:space="preserve">      PhD</w:t>
      </w:r>
    </w:p>
    <w:p w:rsidR="00027779" w:rsidRDefault="00027779"/>
    <w:sectPr w:rsidR="00027779" w:rsidSect="00AE5D95">
      <w:headerReference w:type="defaul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556742"/>
      <w:docPartObj>
        <w:docPartGallery w:val="Page Numbers (Top of Page)"/>
        <w:docPartUnique/>
      </w:docPartObj>
    </w:sdtPr>
    <w:sdtEndPr/>
    <w:sdtContent>
      <w:p w:rsidR="008E1E14" w:rsidRDefault="000A64BD">
        <w:pPr>
          <w:pStyle w:val="En-tte"/>
        </w:pPr>
        <w:r>
          <w:rPr>
            <w:noProof/>
            <w:lang w:eastAsia="fr-FR"/>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E1E14" w:rsidRPr="000A64BD" w:rsidRDefault="000A64BD">
                              <w:pPr>
                                <w:pStyle w:val="Pieddepage"/>
                                <w:jc w:val="center"/>
                                <w:rPr>
                                  <w:b/>
                                  <w:bCs/>
                                  <w:color w:val="FFFFFF"/>
                                  <w:sz w:val="32"/>
                                  <w:szCs w:val="32"/>
                                </w:rPr>
                              </w:pPr>
                              <w:r>
                                <w:fldChar w:fldCharType="begin"/>
                              </w:r>
                              <w:r>
                                <w:instrText>PAGE    \* MERGEFORMAT</w:instrText>
                              </w:r>
                              <w:r>
                                <w:fldChar w:fldCharType="separate"/>
                              </w:r>
                              <w:r w:rsidRPr="000A64BD">
                                <w:rPr>
                                  <w:b/>
                                  <w:bCs/>
                                  <w:noProof/>
                                  <w:color w:val="FFFFFF"/>
                                  <w:sz w:val="32"/>
                                  <w:szCs w:val="32"/>
                                </w:rPr>
                                <w:t>1</w:t>
                              </w:r>
                              <w:r w:rsidRPr="000A64BD">
                                <w:rPr>
                                  <w:b/>
                                  <w:bCs/>
                                  <w:color w:val="FFFFFF"/>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0;margin-top:0;width:49.35pt;height:49.3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rsidR="008E1E14" w:rsidRPr="000A64BD" w:rsidRDefault="000A64BD">
                        <w:pPr>
                          <w:pStyle w:val="Pieddepage"/>
                          <w:jc w:val="center"/>
                          <w:rPr>
                            <w:b/>
                            <w:bCs/>
                            <w:color w:val="FFFFFF"/>
                            <w:sz w:val="32"/>
                            <w:szCs w:val="32"/>
                          </w:rPr>
                        </w:pPr>
                        <w:r>
                          <w:fldChar w:fldCharType="begin"/>
                        </w:r>
                        <w:r>
                          <w:instrText>PAGE    \* MERGEFORMAT</w:instrText>
                        </w:r>
                        <w:r>
                          <w:fldChar w:fldCharType="separate"/>
                        </w:r>
                        <w:r w:rsidRPr="000A64BD">
                          <w:rPr>
                            <w:b/>
                            <w:bCs/>
                            <w:noProof/>
                            <w:color w:val="FFFFFF"/>
                            <w:sz w:val="32"/>
                            <w:szCs w:val="32"/>
                          </w:rPr>
                          <w:t>1</w:t>
                        </w:r>
                        <w:r w:rsidRPr="000A64BD">
                          <w:rPr>
                            <w:b/>
                            <w:bCs/>
                            <w:color w:val="FFFFFF"/>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27A"/>
    <w:multiLevelType w:val="hybridMultilevel"/>
    <w:tmpl w:val="2A9E4D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180906"/>
    <w:multiLevelType w:val="hybridMultilevel"/>
    <w:tmpl w:val="B9FA5B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FC4801"/>
    <w:multiLevelType w:val="hybridMultilevel"/>
    <w:tmpl w:val="FE6AC0B8"/>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 w15:restartNumberingAfterBreak="0">
    <w:nsid w:val="3FCE7215"/>
    <w:multiLevelType w:val="hybridMultilevel"/>
    <w:tmpl w:val="D69EF4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A24485"/>
    <w:multiLevelType w:val="hybridMultilevel"/>
    <w:tmpl w:val="B55E7758"/>
    <w:lvl w:ilvl="0" w:tplc="FE720866">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C84BCC"/>
    <w:multiLevelType w:val="hybridMultilevel"/>
    <w:tmpl w:val="DD12A8B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865944"/>
    <w:multiLevelType w:val="hybridMultilevel"/>
    <w:tmpl w:val="AA7E450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F42260"/>
    <w:multiLevelType w:val="hybridMultilevel"/>
    <w:tmpl w:val="16228C98"/>
    <w:lvl w:ilvl="0" w:tplc="DCE852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BD"/>
    <w:rsid w:val="00027779"/>
    <w:rsid w:val="000A6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3BCE"/>
  <w15:chartTrackingRefBased/>
  <w15:docId w15:val="{A02F0DCA-E85E-4B0B-9424-5F67E041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64BD"/>
    <w:pPr>
      <w:tabs>
        <w:tab w:val="center" w:pos="4536"/>
        <w:tab w:val="right" w:pos="9072"/>
      </w:tabs>
      <w:spacing w:after="0" w:line="240" w:lineRule="auto"/>
    </w:pPr>
  </w:style>
  <w:style w:type="character" w:customStyle="1" w:styleId="En-tteCar">
    <w:name w:val="En-tête Car"/>
    <w:basedOn w:val="Policepardfaut"/>
    <w:link w:val="En-tte"/>
    <w:uiPriority w:val="99"/>
    <w:rsid w:val="000A64BD"/>
  </w:style>
  <w:style w:type="paragraph" w:styleId="Pieddepage">
    <w:name w:val="footer"/>
    <w:basedOn w:val="Normal"/>
    <w:link w:val="PieddepageCar"/>
    <w:uiPriority w:val="99"/>
    <w:unhideWhenUsed/>
    <w:rsid w:val="000A64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aniambiz@gmail.com" TargetMode="External"/><Relationship Id="rId3" Type="http://schemas.openxmlformats.org/officeDocument/2006/relationships/settings" Target="settings.xml"/><Relationship Id="rId7" Type="http://schemas.openxmlformats.org/officeDocument/2006/relationships/hyperlink" Target="http://www.ijias.issr-journal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ias.issr-journals.org/" TargetMode="External"/><Relationship Id="rId11" Type="http://schemas.openxmlformats.org/officeDocument/2006/relationships/fontTable" Target="fontTable.xml"/><Relationship Id="rId5" Type="http://schemas.openxmlformats.org/officeDocument/2006/relationships/hyperlink" Target="mailto:regiskatauala@gmail.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uniormumbala@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1018</Words>
  <Characters>5602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Pkat</dc:creator>
  <cp:keywords/>
  <dc:description/>
  <cp:lastModifiedBy>Pkat</cp:lastModifiedBy>
  <cp:revision>1</cp:revision>
  <dcterms:created xsi:type="dcterms:W3CDTF">2025-06-03T15:25:00Z</dcterms:created>
  <dcterms:modified xsi:type="dcterms:W3CDTF">2025-06-03T15:29:00Z</dcterms:modified>
</cp:coreProperties>
</file>