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3A5C"/>
          <w:sz w:val="52"/>
          <w:szCs w:val="52"/>
        </w:rPr>
        <w:t xml:space="preserve">FLEET-COMPLIANCE SENTINEL</w:t>
      </w:r>
    </w:p>
    <w:p>
      <w:pPr>
        <w:spacing w:after="100"/>
        <w:jc w:val="center"/>
      </w:pPr>
      <w:r>
        <w:rPr>
          <w:rFonts w:ascii="Arial" w:cs="Arial" w:eastAsia="Arial" w:hAnsi="Arial"/>
          <w:color w:val="3D8EB9"/>
          <w:sz w:val="32"/>
          <w:szCs w:val="32"/>
        </w:rPr>
        <w:t xml:space="preserve">Project Review &amp; Reorganization Plan</w:t>
      </w:r>
    </w:p>
    <w:p>
      <w:pPr>
        <w:spacing w:after="400"/>
        <w:jc w:val="center"/>
      </w:pPr>
      <w:r>
        <w:rPr>
          <w:rFonts w:ascii="Arial" w:cs="Arial" w:eastAsia="Arial" w:hAnsi="Arial"/>
          <w:color w:val="666666"/>
          <w:sz w:val="24"/>
          <w:szCs w:val="24"/>
        </w:rPr>
        <w:t xml:space="preserve">16-Task Prioritized Backlog with Agent-Ready Prompts</w:t>
      </w:r>
    </w:p>
    <w:p>
      <w:pPr>
        <w:pBdr>
          <w:top w:val="single" w:color="3D8EB9" w:sz="3" w:space="1"/>
        </w:pBdr>
        <w:spacing w:after="100"/>
        <w:jc w:val="center"/>
      </w:pPr>
    </w:p>
    <w:p>
      <w:pPr>
        <w:spacing w:after="60"/>
        <w:jc w:val="center"/>
      </w:pPr>
      <w:r>
        <w:rPr>
          <w:rFonts w:ascii="Arial" w:cs="Arial" w:eastAsia="Arial" w:hAnsi="Arial"/>
          <w:color w:val="1A3A5C"/>
          <w:sz w:val="22"/>
          <w:szCs w:val="22"/>
        </w:rPr>
        <w:t xml:space="preserve">Date: April 5, 2026</w:t>
      </w:r>
    </w:p>
    <w:p>
      <w:pPr>
        <w:spacing w:after="60"/>
        <w:jc w:val="center"/>
      </w:pPr>
      <w:r>
        <w:rPr>
          <w:rFonts w:ascii="Arial" w:cs="Arial" w:eastAsia="Arial" w:hAnsi="Arial"/>
          <w:color w:val="1A3A5C"/>
          <w:sz w:val="22"/>
          <w:szCs w:val="22"/>
        </w:rPr>
        <w:t xml:space="preserve">Owner: Jacob Johnston</w:t>
      </w:r>
    </w:p>
    <w:p>
      <w:pPr>
        <w:spacing w:after="60"/>
        <w:jc w:val="center"/>
      </w:pPr>
      <w:r>
        <w:rPr>
          <w:rFonts w:ascii="Arial" w:cs="Arial" w:eastAsia="Arial" w:hAnsi="Arial"/>
          <w:color w:val="1A3A5C"/>
          <w:sz w:val="22"/>
          <w:szCs w:val="22"/>
        </w:rPr>
        <w:t xml:space="preserve">SOC 2 Type I Eligible: June 22, 2026 (78 days)</w:t>
      </w:r>
    </w:p>
    <w:p>
      <w:pPr>
        <w:jc w:val="center"/>
      </w:pPr>
      <w:r>
        <w:rPr>
          <w:rFonts w:ascii="Arial" w:cs="Arial" w:eastAsia="Arial" w:hAnsi="Arial"/>
          <w:color w:val="1A3A5C"/>
          <w:sz w:val="22"/>
          <w:szCs w:val="22"/>
        </w:rPr>
        <w:t xml:space="preserve">Platform Readiness: ~85%</w:t>
      </w:r>
    </w:p>
    <w:p>
      <w:r>
        <w:br w:type="page"/>
      </w:r>
    </w:p>
    <w:p>
      <w:pPr>
        <w:pStyle w:val="Heading1"/>
      </w:pPr>
      <w:r>
        <w:rPr>
          <w:rFonts w:ascii="Arial" w:cs="Arial" w:eastAsia="Arial" w:hAnsi="Arial"/>
          <w:b/>
          <w:bCs/>
        </w:rPr>
        <w:t xml:space="preserve">EXECUTIVE SUMMARY</w:t>
      </w:r>
    </w:p>
    <w:p>
      <w:pPr>
        <w:spacing w:after="120"/>
      </w:pPr>
      <w:r>
        <w:rPr>
          <w:rFonts w:ascii="Arial" w:cs="Arial" w:eastAsia="Arial" w:hAnsi="Arial"/>
          <w:sz w:val="22"/>
          <w:szCs w:val="22"/>
        </w:rPr>
        <w:t xml:space="preserve">Fleet-Compliance Sentinel is a production-grade, multi-tenant B2B SaaS platform for DOT/FMCSA fleet compliance management. The platform is live at pipelinepunks.com with 255 TypeScript source files, 160 page routes, 27 API endpoints, 50+ database tables, and a 25,616-chunk AI knowledge base powering Pipeline Penny.</w:t>
      </w:r>
    </w:p>
    <w:p>
      <w:pPr>
        <w:spacing w:after="120"/>
      </w:pPr>
      <w:r>
        <w:rPr>
          <w:rFonts w:ascii="Arial" w:cs="Arial" w:eastAsia="Arial" w:hAnsi="Arial"/>
          <w:sz w:val="22"/>
          <w:szCs w:val="22"/>
        </w:rPr>
        <w:t xml:space="preserve">The April 2-25 sprint completed both workstreams: Workstream A delivered a 7-layer enterprise module gateway with hardened orchestration controls, and Workstream B delivered a self-contained hazmat training LMS with 12 modules, assessments, certificates, and compliance auto-update. SOC 2 observation window is active (started March 24, Type I eligible June 22).</w:t>
      </w:r>
    </w:p>
    <w:p>
      <w:pPr>
        <w:spacing w:after="120"/>
      </w:pPr>
      <w:r>
        <w:rPr>
          <w:rFonts w:ascii="Arial" w:cs="Arial" w:eastAsia="Arial" w:hAnsi="Arial"/>
          <w:sz w:val="22"/>
          <w:szCs w:val="22"/>
        </w:rPr>
        <w:t xml:space="preserve">However, the production readiness audit uncovered 6 critical, 5 high, 3 medium, and 3 styling findings that must be resolved before accepting the first paying client. The critical findings center on training assessment integrity (client-trusted scores, missing assignment enforcement, swallowed persistence failures) and infrastructure gaps (no migration runner, no training plan seeding for new orgs, tenant isolation gaps on remote gateway).</w:t>
      </w:r>
    </w:p>
    <w:p>
      <w:pPr>
        <w:spacing w:after="120"/>
      </w:pPr>
      <w:r>
        <w:rPr>
          <w:rFonts w:ascii="Arial" w:cs="Arial" w:eastAsia="Arial" w:hAnsi="Arial"/>
          <w:sz w:val="22"/>
          <w:szCs w:val="22"/>
        </w:rPr>
        <w:t xml:space="preserve">This document provides a prioritized 16-task backlog with complete agent-ready prompts for each task, organized by severity and dependency order.</w:t>
      </w:r>
    </w:p>
    <w:p>
      <w:pPr>
        <w:pStyle w:val="Heading1"/>
      </w:pPr>
      <w:r>
        <w:rPr>
          <w:rFonts w:ascii="Arial" w:cs="Arial" w:eastAsia="Arial" w:hAnsi="Arial"/>
          <w:b/>
          <w:bCs/>
        </w:rPr>
        <w:t xml:space="preserve">CURRENT STATE SUMMARY</w:t>
      </w:r>
    </w:p>
    <w:p>
      <w:pPr>
        <w:pStyle w:val="Heading2"/>
      </w:pPr>
      <w:r>
        <w:rPr>
          <w:rFonts w:ascii="Arial" w:cs="Arial" w:eastAsia="Arial" w:hAnsi="Arial"/>
          <w:b/>
          <w:bCs/>
        </w:rPr>
        <w:t xml:space="preserve">What Is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312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312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val="false"/>
                <w:bCs w:val="false"/>
                <w:sz w:val="20"/>
                <w:szCs w:val="20"/>
              </w:rPr>
              <w:t xml:space="preserve">Fleet Compliance Core</w:t>
            </w:r>
          </w:p>
        </w:tc>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bCs/>
                <w:color w:val="2E7D32"/>
                <w:sz w:val="20"/>
                <w:szCs w:val="20"/>
              </w:rPr>
              <w:t xml:space="preserve">COMPLETE</w:t>
            </w:r>
          </w:p>
        </w:tc>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val="false"/>
                <w:bCs w:val="false"/>
                <w:sz w:val="20"/>
                <w:szCs w:val="20"/>
              </w:rPr>
              <w:t xml:space="preserve">33 pages, 16 migrations, multi-tenant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Module Gateway (A0-A8)</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D32"/>
                <w:sz w:val="20"/>
                <w:szCs w:val="20"/>
              </w:rPr>
              <w:t xml:space="preserve">COMPLETE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7-layer hardening, 43 actions, ACL/audit/retry</w:t>
            </w:r>
          </w:p>
        </w:tc>
      </w:tr>
      <w:tr>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val="false"/>
                <w:bCs w:val="false"/>
                <w:sz w:val="20"/>
                <w:szCs w:val="20"/>
              </w:rPr>
              <w:t xml:space="preserve">Training LMS (B1-B9)</w:t>
            </w:r>
          </w:p>
        </w:tc>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bCs/>
                <w:color w:val="2E7D32"/>
                <w:sz w:val="20"/>
                <w:szCs w:val="20"/>
              </w:rPr>
              <w:t xml:space="preserve">COMPLETE</w:t>
            </w:r>
          </w:p>
        </w:tc>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val="false"/>
                <w:bCs w:val="false"/>
                <w:sz w:val="20"/>
                <w:szCs w:val="20"/>
              </w:rPr>
              <w:t xml:space="preserve">12 hazmat modules, assessments, certs, Penny integration</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Pipeline Penny AI</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D32"/>
                <w:sz w:val="20"/>
                <w:szCs w:val="20"/>
              </w:rPr>
              <w:t xml:space="preserve">COMPLETE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25,616 chunks, multi-LLM, RAG, rate limiting</w:t>
            </w:r>
          </w:p>
        </w:tc>
      </w:tr>
      <w:tr>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val="false"/>
                <w:bCs w:val="false"/>
                <w:sz w:val="20"/>
                <w:szCs w:val="20"/>
              </w:rPr>
              <w:t xml:space="preserve">SOC 2 Program</w:t>
            </w:r>
          </w:p>
        </w:tc>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bCs/>
                <w:color w:val="2E7D32"/>
                <w:sz w:val="20"/>
                <w:szCs w:val="20"/>
              </w:rPr>
              <w:t xml:space="preserve">ACTIVE</w:t>
            </w:r>
          </w:p>
        </w:tc>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val="false"/>
                <w:bCs w:val="false"/>
                <w:sz w:val="20"/>
                <w:szCs w:val="20"/>
              </w:rPr>
              <w:t xml:space="preserve">73 evidence artifacts, 10 domains, 8 phases passed</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Monitoring Stack</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D32"/>
                <w:sz w:val="20"/>
                <w:szCs w:val="20"/>
              </w:rPr>
              <w:t xml:space="preserve">LIVE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Sentry + Datadog + UptimeRobot, all instrumented</w:t>
            </w:r>
          </w:p>
        </w:tc>
      </w:tr>
      <w:tr>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val="false"/>
                <w:bCs w:val="false"/>
                <w:sz w:val="20"/>
                <w:szCs w:val="20"/>
              </w:rPr>
              <w:t xml:space="preserve">Infrastructure</w:t>
            </w:r>
          </w:p>
        </w:tc>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bCs/>
                <w:color w:val="2E7D32"/>
                <w:sz w:val="20"/>
                <w:szCs w:val="20"/>
              </w:rPr>
              <w:t xml:space="preserve">LIVE</w:t>
            </w:r>
          </w:p>
        </w:tc>
        <w:tc>
          <w:tcPr>
            <w:tcW w:type="dxa" w:w="312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val="false"/>
                <w:bCs w:val="false"/>
                <w:sz w:val="20"/>
                <w:szCs w:val="20"/>
              </w:rPr>
              <w:t xml:space="preserve">Vercel + Railway + Neon + Clerk + Stripe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Documentation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D32"/>
                <w:sz w:val="20"/>
                <w:szCs w:val="20"/>
              </w:rPr>
              <w:t xml:space="preserve">CURRENT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30+ docs, developer manual, platform overview</w:t>
            </w:r>
          </w:p>
        </w:tc>
      </w:tr>
    </w:tbl>
    <w:p>
      <w:pPr>
        <w:spacing w:before="200"/>
      </w:pPr>
    </w:p>
    <w:p>
      <w:pPr>
        <w:pStyle w:val="Heading2"/>
      </w:pPr>
      <w:r>
        <w:rPr>
          <w:rFonts w:ascii="Arial" w:cs="Arial" w:eastAsia="Arial" w:hAnsi="Arial"/>
          <w:b/>
          <w:bCs/>
        </w:rPr>
        <w:t xml:space="preserve">Open Findings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6860"/>
      </w:tblGrid>
      <w:tr>
        <w:tc>
          <w:tcPr>
            <w:tcW w:type="dxa" w:w="15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68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Key Items</w:t>
            </w:r>
          </w:p>
        </w:tc>
      </w:tr>
      <w:tr>
        <w:tc>
          <w:tcPr>
            <w:tcW w:type="dxa" w:w="1500"/>
            <w:tcBorders>
              <w:top w:val="single" w:color="CCCCCC" w:sz="1"/>
              <w:left w:val="single" w:color="CCCCCC" w:sz="1"/>
              <w:bottom w:val="single" w:color="CCCCCC" w:sz="1"/>
              <w:right w:val="single" w:color="CCCCCC" w:sz="1"/>
            </w:tcBorders>
            <w:shd w:fill="FDECEA" w:val="clear"/>
            <w:tcMar>
              <w:top w:type="dxa" w:w="60"/>
              <w:left w:type="dxa" w:w="120"/>
              <w:bottom w:type="dxa" w:w="60"/>
              <w:right w:type="dxa" w:w="120"/>
            </w:tcMar>
          </w:tcPr>
          <w:p>
            <w:r>
              <w:rPr>
                <w:rFonts w:ascii="Arial" w:cs="Arial" w:eastAsia="Arial" w:hAnsi="Arial"/>
                <w:b/>
                <w:bCs/>
                <w:color w:val="CC3333"/>
                <w:sz w:val="20"/>
                <w:szCs w:val="20"/>
              </w:rPr>
              <w:t xml:space="preserve">CRITICAL</w:t>
            </w:r>
          </w:p>
        </w:tc>
        <w:tc>
          <w:tcPr>
            <w:tcW w:type="dxa" w:w="1000"/>
            <w:tcBorders>
              <w:top w:val="single" w:color="CCCCCC" w:sz="1"/>
              <w:left w:val="single" w:color="CCCCCC" w:sz="1"/>
              <w:bottom w:val="single" w:color="CCCCCC" w:sz="1"/>
              <w:right w:val="single" w:color="CCCCCC" w:sz="1"/>
            </w:tcBorders>
            <w:shd w:fill="FDECEA" w:val="clear"/>
            <w:tcMar>
              <w:top w:type="dxa" w:w="60"/>
              <w:left w:type="dxa" w:w="120"/>
              <w:bottom w:type="dxa" w:w="60"/>
              <w:right w:type="dxa" w:w="120"/>
            </w:tcMar>
          </w:tcPr>
          <w:p>
            <w:pPr>
              <w:jc w:val="center"/>
            </w:pPr>
            <w:r>
              <w:rPr>
                <w:rFonts w:ascii="Arial" w:cs="Arial" w:eastAsia="Arial" w:hAnsi="Arial"/>
                <w:b/>
                <w:bCs/>
                <w:sz w:val="20"/>
                <w:szCs w:val="20"/>
              </w:rPr>
              <w:t xml:space="preserve">6</w:t>
            </w:r>
          </w:p>
        </w:tc>
        <w:tc>
          <w:tcPr>
            <w:tcW w:type="dxa" w:w="6860"/>
            <w:tcBorders>
              <w:top w:val="single" w:color="CCCCCC" w:sz="1"/>
              <w:left w:val="single" w:color="CCCCCC" w:sz="1"/>
              <w:bottom w:val="single" w:color="CCCCCC" w:sz="1"/>
              <w:right w:val="single" w:color="CCCCCC" w:sz="1"/>
            </w:tcBorders>
            <w:shd w:fill="FDECEA" w:val="clear"/>
            <w:tcMar>
              <w:top w:type="dxa" w:w="60"/>
              <w:left w:type="dxa" w:w="120"/>
              <w:bottom w:type="dxa" w:w="60"/>
              <w:right w:type="dxa" w:w="120"/>
            </w:tcMar>
          </w:tcPr>
          <w:p>
            <w:r>
              <w:rPr>
                <w:rFonts w:ascii="Arial" w:cs="Arial" w:eastAsia="Arial" w:hAnsi="Arial"/>
                <w:sz w:val="20"/>
                <w:szCs w:val="20"/>
              </w:rPr>
              <w:t xml:space="preserve">Client-trusted scores, no assignment enforcement, swallowed DB errors, no migration runner, no org plan seeding, remote tenant gap</w:t>
            </w:r>
          </w:p>
        </w:tc>
      </w:tr>
      <w:tr>
        <w:tc>
          <w:tcPr>
            <w:tcW w:type="dxa" w:w="1500"/>
            <w:tcBorders>
              <w:top w:val="single" w:color="CCCCCC" w:sz="1"/>
              <w:left w:val="single" w:color="CCCCCC" w:sz="1"/>
              <w:bottom w:val="single" w:color="CCCCCC" w:sz="1"/>
              <w:right w:val="single" w:color="CCCCCC" w:sz="1"/>
            </w:tcBorders>
            <w:shd w:fill="FFF3E0" w:val="clear"/>
            <w:tcMar>
              <w:top w:type="dxa" w:w="60"/>
              <w:left w:type="dxa" w:w="120"/>
              <w:bottom w:type="dxa" w:w="60"/>
              <w:right w:type="dxa" w:w="120"/>
            </w:tcMar>
          </w:tcPr>
          <w:p>
            <w:r>
              <w:rPr>
                <w:rFonts w:ascii="Arial" w:cs="Arial" w:eastAsia="Arial" w:hAnsi="Arial"/>
                <w:b/>
                <w:bCs/>
                <w:color w:val="D4A017"/>
                <w:sz w:val="20"/>
                <w:szCs w:val="20"/>
              </w:rPr>
              <w:t xml:space="preserve">HIGH</w:t>
            </w:r>
          </w:p>
        </w:tc>
        <w:tc>
          <w:tcPr>
            <w:tcW w:type="dxa" w:w="1000"/>
            <w:tcBorders>
              <w:top w:val="single" w:color="CCCCCC" w:sz="1"/>
              <w:left w:val="single" w:color="CCCCCC" w:sz="1"/>
              <w:bottom w:val="single" w:color="CCCCCC" w:sz="1"/>
              <w:right w:val="single" w:color="CCCCCC" w:sz="1"/>
            </w:tcBorders>
            <w:shd w:fill="FFF3E0" w:val="clear"/>
            <w:tcMar>
              <w:top w:type="dxa" w:w="60"/>
              <w:left w:type="dxa" w:w="120"/>
              <w:bottom w:type="dxa" w:w="60"/>
              <w:right w:type="dxa" w:w="120"/>
            </w:tcMar>
          </w:tcPr>
          <w:p>
            <w:pPr>
              <w:jc w:val="center"/>
            </w:pPr>
            <w:r>
              <w:rPr>
                <w:rFonts w:ascii="Arial" w:cs="Arial" w:eastAsia="Arial" w:hAnsi="Arial"/>
                <w:b/>
                <w:bCs/>
                <w:sz w:val="20"/>
                <w:szCs w:val="20"/>
              </w:rPr>
              <w:t xml:space="preserve">5</w:t>
            </w:r>
          </w:p>
        </w:tc>
        <w:tc>
          <w:tcPr>
            <w:tcW w:type="dxa" w:w="6860"/>
            <w:tcBorders>
              <w:top w:val="single" w:color="CCCCCC" w:sz="1"/>
              <w:left w:val="single" w:color="CCCCCC" w:sz="1"/>
              <w:bottom w:val="single" w:color="CCCCCC" w:sz="1"/>
              <w:right w:val="single" w:color="CCCCCC" w:sz="1"/>
            </w:tcBorders>
            <w:shd w:fill="FFF3E0" w:val="clear"/>
            <w:tcMar>
              <w:top w:type="dxa" w:w="60"/>
              <w:left w:type="dxa" w:w="120"/>
              <w:bottom w:type="dxa" w:w="60"/>
              <w:right w:type="dxa" w:w="120"/>
            </w:tcMar>
          </w:tcPr>
          <w:p>
            <w:r>
              <w:rPr>
                <w:rFonts w:ascii="Arial" w:cs="Arial" w:eastAsia="Arial" w:hAnsi="Arial"/>
                <w:sz w:val="20"/>
                <w:szCs w:val="20"/>
              </w:rPr>
              <w:t xml:space="preserve">RBAC gaps, exposed answer keys, ephemeral certs, cross-org assignment, path traversal</w:t>
            </w:r>
          </w:p>
        </w:tc>
      </w:tr>
      <w:tr>
        <w:tc>
          <w:tcPr>
            <w:tcW w:type="dxa" w:w="1500"/>
            <w:tcBorders>
              <w:top w:val="single" w:color="CCCCCC" w:sz="1"/>
              <w:left w:val="single" w:color="CCCCCC" w:sz="1"/>
              <w:bottom w:val="single" w:color="CCCCCC" w:sz="1"/>
              <w:right w:val="single" w:color="CCCCCC" w:sz="1"/>
            </w:tcBorders>
            <w:shd w:fill="FFF8E1" w:val="clear"/>
            <w:tcMar>
              <w:top w:type="dxa" w:w="60"/>
              <w:left w:type="dxa" w:w="120"/>
              <w:bottom w:type="dxa" w:w="60"/>
              <w:right w:type="dxa" w:w="120"/>
            </w:tcMar>
          </w:tcPr>
          <w:p>
            <w:r>
              <w:rPr>
                <w:rFonts w:ascii="Arial" w:cs="Arial" w:eastAsia="Arial" w:hAnsi="Arial"/>
                <w:b/>
                <w:bCs/>
                <w:color w:val="1A3A5C"/>
                <w:sz w:val="20"/>
                <w:szCs w:val="20"/>
              </w:rPr>
              <w:t xml:space="preserve">MEDIUM</w:t>
            </w:r>
          </w:p>
        </w:tc>
        <w:tc>
          <w:tcPr>
            <w:tcW w:type="dxa" w:w="1000"/>
            <w:tcBorders>
              <w:top w:val="single" w:color="CCCCCC" w:sz="1"/>
              <w:left w:val="single" w:color="CCCCCC" w:sz="1"/>
              <w:bottom w:val="single" w:color="CCCCCC" w:sz="1"/>
              <w:right w:val="single" w:color="CCCCCC" w:sz="1"/>
            </w:tcBorders>
            <w:shd w:fill="FFF8E1" w:val="clear"/>
            <w:tcMar>
              <w:top w:type="dxa" w:w="60"/>
              <w:left w:type="dxa" w:w="120"/>
              <w:bottom w:type="dxa" w:w="60"/>
              <w:right w:type="dxa" w:w="120"/>
            </w:tcMar>
          </w:tcPr>
          <w:p>
            <w:pPr>
              <w:jc w:val="center"/>
            </w:pPr>
            <w:r>
              <w:rPr>
                <w:rFonts w:ascii="Arial" w:cs="Arial" w:eastAsia="Arial" w:hAnsi="Arial"/>
                <w:b/>
                <w:bCs/>
                <w:sz w:val="20"/>
                <w:szCs w:val="20"/>
              </w:rPr>
              <w:t xml:space="preserve">3</w:t>
            </w:r>
          </w:p>
        </w:tc>
        <w:tc>
          <w:tcPr>
            <w:tcW w:type="dxa" w:w="6860"/>
            <w:tcBorders>
              <w:top w:val="single" w:color="CCCCCC" w:sz="1"/>
              <w:left w:val="single" w:color="CCCCCC" w:sz="1"/>
              <w:bottom w:val="single" w:color="CCCCCC" w:sz="1"/>
              <w:right w:val="single" w:color="CCCCCC" w:sz="1"/>
            </w:tcBorders>
            <w:shd w:fill="FFF8E1" w:val="clear"/>
            <w:tcMar>
              <w:top w:type="dxa" w:w="60"/>
              <w:left w:type="dxa" w:w="120"/>
              <w:bottom w:type="dxa" w:w="60"/>
              <w:right w:type="dxa" w:w="120"/>
            </w:tcMar>
          </w:tcPr>
          <w:p>
            <w:r>
              <w:rPr>
                <w:rFonts w:ascii="Arial" w:cs="Arial" w:eastAsia="Arial" w:hAnsi="Arial"/>
                <w:sz w:val="20"/>
                <w:szCs w:val="20"/>
              </w:rPr>
              <w:t xml:space="preserve">Non-transactional writes, hydration issue, inconsistent error handling</w:t>
            </w:r>
          </w:p>
        </w:tc>
      </w:tr>
      <w:tr>
        <w:tc>
          <w:tcPr>
            <w:tcW w:type="dxa" w:w="150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b/>
                <w:bCs/>
                <w:color w:val="1A3A5C"/>
                <w:sz w:val="20"/>
                <w:szCs w:val="20"/>
              </w:rPr>
              <w:t xml:space="preserve">STYLING</w:t>
            </w:r>
          </w:p>
        </w:tc>
        <w:tc>
          <w:tcPr>
            <w:tcW w:type="dxa" w:w="100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pPr>
              <w:jc w:val="center"/>
            </w:pPr>
            <w:r>
              <w:rPr>
                <w:rFonts w:ascii="Arial" w:cs="Arial" w:eastAsia="Arial" w:hAnsi="Arial"/>
                <w:b/>
                <w:bCs/>
                <w:sz w:val="20"/>
                <w:szCs w:val="20"/>
              </w:rPr>
              <w:t xml:space="preserve">3</w:t>
            </w:r>
          </w:p>
        </w:tc>
        <w:tc>
          <w:tcPr>
            <w:tcW w:type="dxa" w:w="6860"/>
            <w:tcBorders>
              <w:top w:val="single" w:color="CCCCCC" w:sz="1"/>
              <w:left w:val="single" w:color="CCCCCC" w:sz="1"/>
              <w:bottom w:val="single" w:color="CCCCCC" w:sz="1"/>
              <w:right w:val="single" w:color="CCCCCC" w:sz="1"/>
            </w:tcBorders>
            <w:shd w:fill="EDF4F8" w:val="clear"/>
            <w:tcMar>
              <w:top w:type="dxa" w:w="60"/>
              <w:left w:type="dxa" w:w="120"/>
              <w:bottom w:type="dxa" w:w="60"/>
              <w:right w:type="dxa" w:w="120"/>
            </w:tcMar>
          </w:tcPr>
          <w:p>
            <w:r>
              <w:rPr>
                <w:rFonts w:ascii="Arial" w:cs="Arial" w:eastAsia="Arial" w:hAnsi="Arial"/>
                <w:sz w:val="20"/>
                <w:szCs w:val="20"/>
              </w:rPr>
              <w:t xml:space="preserve">Tailwind pipeline gap, unstyled deck controls, missing fallback styles</w:t>
            </w:r>
          </w:p>
        </w:tc>
      </w:tr>
    </w:tbl>
    <w:p>
      <w:r>
        <w:br w:type="page"/>
      </w:r>
    </w:p>
    <w:p>
      <w:pPr>
        <w:pStyle w:val="Heading1"/>
      </w:pPr>
      <w:r>
        <w:rPr>
          <w:rFonts w:ascii="Arial" w:cs="Arial" w:eastAsia="Arial" w:hAnsi="Arial"/>
          <w:b/>
          <w:bCs/>
        </w:rPr>
        <w:t xml:space="preserve">RECOMMENDED EXECUTION ORDER</w:t>
      </w:r>
    </w:p>
    <w:p>
      <w:pPr>
        <w:spacing w:after="120"/>
      </w:pPr>
      <w:r>
        <w:rPr>
          <w:rFonts w:ascii="Arial" w:cs="Arial" w:eastAsia="Arial" w:hAnsi="Arial"/>
          <w:sz w:val="22"/>
          <w:szCs w:val="22"/>
        </w:rPr>
        <w:t xml:space="preserve">Tasks are grouped into three phases based on dependency and business impact. Phase 1 must complete before accepting any paying client. Phase 2 should complete before client #5. Phase 3 is operational cleanup that improves maintainability.</w:t>
      </w:r>
    </w:p>
    <w:p>
      <w:pPr>
        <w:pStyle w:val="Heading2"/>
      </w:pPr>
      <w:r>
        <w:rPr>
          <w:rFonts w:ascii="Arial" w:cs="Arial" w:eastAsia="Arial" w:hAnsi="Arial"/>
          <w:b/>
          <w:bCs/>
        </w:rPr>
        <w:t xml:space="preserve">Phase 1: Pre-Revenue Blockers (Tasks 01-06, 10)</w:t>
      </w:r>
    </w:p>
    <w:p>
      <w:pPr>
        <w:spacing w:after="120"/>
      </w:pPr>
      <w:r>
        <w:rPr>
          <w:rFonts w:ascii="Arial" w:cs="Arial" w:eastAsia="Arial" w:hAnsi="Arial"/>
          <w:sz w:val="22"/>
          <w:szCs w:val="22"/>
        </w:rPr>
        <w:t xml:space="preserve">These seven tasks address the six critical findings plus Stripe go-live. Tasks 01-03 form a dependency chain (score validation, then assignment enforcement, then transaction wrap). Tasks 04-06 are independent and can run in parallel after 01-03. Task 10 (Stripe) can run anytime but must complete before first payment.</w:t>
      </w:r>
    </w:p>
    <w:p>
      <w:pPr>
        <w:pStyle w:val="Heading2"/>
      </w:pPr>
      <w:r>
        <w:rPr>
          <w:rFonts w:ascii="Arial" w:cs="Arial" w:eastAsia="Arial" w:hAnsi="Arial"/>
          <w:b/>
          <w:bCs/>
        </w:rPr>
        <w:t xml:space="preserve">Phase 2: Pre-Scale Hardening (Tasks 07-09, 11-13)</w:t>
      </w:r>
    </w:p>
    <w:p>
      <w:pPr>
        <w:spacing w:after="120"/>
      </w:pPr>
      <w:r>
        <w:rPr>
          <w:rFonts w:ascii="Arial" w:cs="Arial" w:eastAsia="Arial" w:hAnsi="Arial"/>
          <w:sz w:val="22"/>
          <w:szCs w:val="22"/>
        </w:rPr>
        <w:t xml:space="preserve">Six tasks addressing high-severity findings and operational readiness. Tasks 07-09 harden training security. Task 11 aligns retention policy with legal pages. Task 12 prevents cost overruns. Task 13 makes the landing page sales-ready. These can largely run in parallel.</w:t>
      </w:r>
    </w:p>
    <w:p>
      <w:pPr>
        <w:pStyle w:val="Heading2"/>
      </w:pPr>
      <w:r>
        <w:rPr>
          <w:rFonts w:ascii="Arial" w:cs="Arial" w:eastAsia="Arial" w:hAnsi="Arial"/>
          <w:b/>
          <w:bCs/>
        </w:rPr>
        <w:t xml:space="preserve">Phase 3: Operational Cleanup (Tasks 14-16)</w:t>
      </w:r>
    </w:p>
    <w:p>
      <w:pPr>
        <w:spacing w:after="120"/>
      </w:pPr>
      <w:r>
        <w:rPr>
          <w:rFonts w:ascii="Arial" w:cs="Arial" w:eastAsia="Arial" w:hAnsi="Arial"/>
          <w:sz w:val="22"/>
          <w:szCs w:val="22"/>
        </w:rPr>
        <w:t xml:space="preserve">Three tasks for medium-severity fixes and documentation cleanup. Task 14 handles training offboarding and transactional writes. Task 15 fixes the styling pipeline. Task 16 consolidates scattered documentation into a single source of truth.</w:t>
      </w:r>
    </w:p>
    <w:p>
      <w:r>
        <w:br w:type="page"/>
      </w:r>
    </w:p>
    <w:p>
      <w:pPr>
        <w:pStyle w:val="Heading1"/>
      </w:pPr>
      <w:r>
        <w:rPr>
          <w:rFonts w:ascii="Arial" w:cs="Arial" w:eastAsia="Arial" w:hAnsi="Arial"/>
          <w:b/>
          <w:bCs/>
        </w:rPr>
        <w:t xml:space="preserve">TASK BACKLOG</w:t>
      </w:r>
    </w:p>
    <w:p>
      <w:pPr>
        <w:spacing w:after="120"/>
      </w:pPr>
      <w:r>
        <w:rPr>
          <w:rFonts w:ascii="Arial" w:cs="Arial" w:eastAsia="Arial" w:hAnsi="Arial"/>
          <w:sz w:val="22"/>
          <w:szCs w:val="22"/>
        </w:rPr>
        <w:t xml:space="preserve">Each task below includes the full context, constraints, deliverables, outputs, and an agent-ready prompt. Copy the prompt directly into a Claude Code session to execute the task.</w:t>
      </w:r>
    </w:p>
    <w:p>
      <w:pPr>
        <w:spacing w:after="60" w:before="200"/>
      </w:pPr>
      <w:r>
        <w:rPr>
          <w:rFonts w:ascii="Arial" w:cs="Arial" w:eastAsia="Arial" w:hAnsi="Arial"/>
          <w:b/>
          <w:bCs/>
          <w:color w:val="1A3A5C"/>
          <w:sz w:val="24"/>
          <w:szCs w:val="24"/>
        </w:rPr>
        <w:t xml:space="preserve">TASK 01: </w:t>
      </w:r>
      <w:r>
        <w:rPr>
          <w:rFonts w:ascii="Arial" w:cs="Arial" w:eastAsia="Arial" w:hAnsi="Arial"/>
          <w:b/>
          <w:bCs/>
          <w:color w:val="1A3A5C"/>
          <w:sz w:val="24"/>
          <w:szCs w:val="24"/>
        </w:rPr>
        <w:t xml:space="preserve">Server-Side Assessment Score Validation (C-2 Fix)</w:t>
      </w:r>
    </w:p>
    <w:p>
      <w:pPr>
        <w:spacing w:after="60"/>
      </w:pPr>
      <w:r>
        <w:rPr>
          <w:rFonts w:ascii="Arial" w:cs="Arial" w:eastAsia="Arial" w:hAnsi="Arial"/>
          <w:b/>
          <w:bCs/>
          <w:sz w:val="22"/>
          <w:szCs w:val="22"/>
        </w:rPr>
        <w:t xml:space="preserve">Priority: </w:t>
      </w:r>
      <w:r>
        <w:rPr>
          <w:rFonts w:ascii="Arial" w:cs="Arial" w:eastAsia="Arial" w:hAnsi="Arial"/>
          <w:b/>
          <w:bCs/>
          <w:color w:val="CC3333"/>
          <w:sz w:val="22"/>
          <w:szCs w:val="22"/>
        </w:rPr>
        <w:t xml:space="preserve">CRITICAL</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The training assessment submit endpoint at src/app/api/v1/training/[moduleCode]/assessment/submit/route.ts trusts client-submitted score, percentage, and passed values. An authenticated user can fabricate a passing payload to generate fraudulent DOT compliance completion records and certificates. The authoritative answer keys exist in knowledge/training-content/assessments/ as JSON files. This is the single highest compliance-liability risk before accepting a paying client.</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change the assessment UI submission flow or break existing TrainingAssessment.tsx client code. Keep the API request/response shape stable (client still sends answers; server returns result). Do not modify answer key file format. Do not touch any code outside the assessment submit route and its direct dependencies. One commit: fix(training): server-side score validation.</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Server loads authoritative answer key from knowledge/training-content/assessments/{moduleCode}.json on submit. Server recomputes score, percentage, and passed from submitted answers vs answer key. Client-provided score/percentage/passed values are ignored for all persistence decisions. Mismatched client vs server scores are logged as audit events. Unit-testable scoring function extracted to src/lib/training-assessment.ts.</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src/app/api/v1/training/[moduleCode]/assessment/submit/route.ts. New or updated: src/lib/training-assessment.ts (scoring logic). Audit log entry on score mismatch. All existing training tests still pass.</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Fix C-2 - Server-side assessment score validation.
Repo: 00-FLEET-COMPLIANCE-SENTINEL
Context:
- Assessment submit route at src/app/api/v1/training/[moduleCode]/assessment/submit/route.ts currently trusts client score/percentage/passed.
- Answer keys are in knowledge/training-content/assessments/{moduleCode}.json with correct_answer fields.
- Client sends { answers: [...], score, total, percentage, passed } but server must recompute from answer key.
Constraints:
- Keep API request/response shape stable.
- Do not modify TrainingAssessment.tsx client component.
- Do not change answer key JSON format.
- Additive changes only; no broad refactor.
- One commit: fix(training): server-side score validation.
Deliverables:
- Server loads answer key, recomputes score/percentage/passed, ignores client values.
- Extracted scoring function in src/lib/training-assessment.ts.
- Audit log on client/server score mismatch.
Outputs:
- Modified assessment submit route.
- New/updated training-assessment.ts.
- Update docs/STATUS.md with fix confirmation.
At task end: verify npm run build passes and existing training routes return expected shapes.</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02: </w:t>
      </w:r>
      <w:r>
        <w:rPr>
          <w:rFonts w:ascii="Arial" w:cs="Arial" w:eastAsia="Arial" w:hAnsi="Arial"/>
          <w:b/>
          <w:bCs/>
          <w:color w:val="1A3A5C"/>
          <w:sz w:val="24"/>
          <w:szCs w:val="24"/>
        </w:rPr>
        <w:t xml:space="preserve">Enforce Assignment + Deck Completion Before Assessment (C-3 Fix)</w:t>
      </w:r>
    </w:p>
    <w:p>
      <w:pPr>
        <w:spacing w:after="60"/>
      </w:pPr>
      <w:r>
        <w:rPr>
          <w:rFonts w:ascii="Arial" w:cs="Arial" w:eastAsia="Arial" w:hAnsi="Arial"/>
          <w:b/>
          <w:bCs/>
          <w:sz w:val="22"/>
          <w:szCs w:val="22"/>
        </w:rPr>
        <w:t xml:space="preserve">Priority: </w:t>
      </w:r>
      <w:r>
        <w:rPr>
          <w:rFonts w:ascii="Arial" w:cs="Arial" w:eastAsia="Arial" w:hAnsi="Arial"/>
          <w:b/>
          <w:bCs/>
          <w:color w:val="CC3333"/>
          <w:sz w:val="22"/>
          <w:szCs w:val="22"/>
        </w:rPr>
        <w:t xml:space="preserve">CRITICAL</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The assessment submit endpoint allows compliance completion and certificate generation even when no active assignment exists or the training deck has not been completed. assignmentId is nullable and the pass branch writes compliance records regardless. This means users can bypass the assigned training flow entirely and still generate formal DOT completion artifacts. Combined with C-2, this is the second-highest compliance liability.</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break the happy path where a user has a valid assignment and has completed the deck. Do not change the training plan or assignment creation flow. Keep existing API response shape. Do not modify unrelated training routes. One commit: fix(training): require assignment and deck completion for assessment.</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Assessment submit route validates that an active, org-scoped assignment exists for the requesting user and module. Route validates that deck_completed_at is set in the training_progress row before accepting assessment submission. Returns 403 with clear error if assignment is missing or deck is not complete. Suspense items are cleared on successful completion (addresses related B7-B9 audit finding C-3 on suspense).</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src/app/api/v1/training/[moduleCode]/assessment/submit/route.ts. Suspense clearing logic added or fixed in the compliance write sequence. Update docs/STATUS.md.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Fix C-3 - Enforce assignment and deck completion before assessment.
Repo: 00-FLEET-COMPLIANCE-SENTINEL
Context:
- Assessment submit route allows completion without assignment or deck completion.
- assignmentId is nullable at line ~119; pass branch at ~182 writes compliance regardless.
- training_progress table has deck_completed_at column.
- Suspense items should be cleared on completion but currently are not (B7-B9 audit C-3).
Constraints:
- Do not break the happy path (valid assignment + completed deck + passing score = completion).
- Keep API response shape stable.
- Do not change assignment creation or training plan flows.
- One commit: fix(training): require assignment and deck completion for assessment.
Deliverables:
- Server validates active org-scoped assignment exists for user+module.
- Server validates deck_completed_at is set before accepting assessment.
- Returns 403 with descriptive error when validation fails.
- Suspense items cleared on successful completion.
Outputs:
- Modified assessment submit route.
- Updated docs/STATUS.md.
At task end: verify npm run build passes.</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03: </w:t>
      </w:r>
      <w:r>
        <w:rPr>
          <w:rFonts w:ascii="Arial" w:cs="Arial" w:eastAsia="Arial" w:hAnsi="Arial"/>
          <w:b/>
          <w:bCs/>
          <w:color w:val="1A3A5C"/>
          <w:sz w:val="24"/>
          <w:szCs w:val="24"/>
        </w:rPr>
        <w:t xml:space="preserve">Transaction Wrap + Fail-Closed on Assessment Persistence (C-4 Fix)</w:t>
      </w:r>
    </w:p>
    <w:p>
      <w:pPr>
        <w:spacing w:after="60"/>
      </w:pPr>
      <w:r>
        <w:rPr>
          <w:rFonts w:ascii="Arial" w:cs="Arial" w:eastAsia="Arial" w:hAnsi="Arial"/>
          <w:b/>
          <w:bCs/>
          <w:sz w:val="22"/>
          <w:szCs w:val="22"/>
        </w:rPr>
        <w:t xml:space="preserve">Priority: </w:t>
      </w:r>
      <w:r>
        <w:rPr>
          <w:rFonts w:ascii="Arial" w:cs="Arial" w:eastAsia="Arial" w:hAnsi="Arial"/>
          <w:b/>
          <w:bCs/>
          <w:color w:val="CC3333"/>
          <w:sz w:val="22"/>
          <w:szCs w:val="22"/>
        </w:rPr>
        <w:t xml:space="preserve">CRITICAL</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The assessment submit endpoint catches all persistence errors in a try/catch and continues, returning 201 with the client-provided result even when DB writes for training_progress, hazmat_training_records, or certificate generation partially fail. This means the UI shows 'passed' while the database state may be incomplete or absent. Combined with C-2 and C-3 fixes, this completes the assessment integrity triage.</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change the order of persistence operations unless necessary for transaction correctness. Keep certificate generation inside the transaction if possible, or clearly document it as a post-commit side effect with retry. Do not modify any other API routes. One commit: fix(training): transaction wrap and fail-closed persistence.</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All assessment persistence writes (training_progress update, hazmat_training_records upsert, certificate generation, suspense clearing) are wrapped in a SQL transaction. On any persistence failure, the transaction rolls back and the endpoint returns 500 with a clear error. No partial state is possible. Certificate generation failures are handled gracefully (transaction still commits compliance records; certificate marked as pending for retry).</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src/app/api/v1/training/[moduleCode]/assessment/submit/route.ts. Possibly modified: src/lib/fleet-compliance-db.ts if transaction helper is needed. Updated docs/STATUS.md.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Fix C-4 - Transaction wrap and fail-closed persistence on assessment submit.
Repo: 00-FLEET-COMPLIANCE-SENTINEL
Context:
- Assessment submit route at src/app/api/v1/training/[moduleCode]/assessment/submit/route.ts catches errors at line ~305 and still returns 201.
- Writes hit training_progress, hazmat_training_records, certificate generation, and suspense clearing.
- Neon Postgres supports standard SQL transactions via the pg client in fleet-compliance-db.ts.
Constraints:
- Do not change persistence operation order unless required for transaction correctness.
- Certificate generation is a side effect; handle failure gracefully without blocking compliance record commit.
- Do not modify other API routes.
- One commit: fix(training): transaction wrap and fail-closed persistence.
Deliverables:
- SQL transaction wrapping all compliance persistence writes.
- Rollback on failure; endpoint returns 500 (not 201).
- Certificate generation handled as post-commit or graceful degradation.
Outputs:
- Modified assessment submit route.
- Transaction helper in fleet-compliance-db.ts if needed.
- Updated docs/STATUS.md.
At task end: verify npm run build passes.</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04: </w:t>
      </w:r>
      <w:r>
        <w:rPr>
          <w:rFonts w:ascii="Arial" w:cs="Arial" w:eastAsia="Arial" w:hAnsi="Arial"/>
          <w:b/>
          <w:bCs/>
          <w:color w:val="1A3A5C"/>
          <w:sz w:val="24"/>
          <w:szCs w:val="24"/>
        </w:rPr>
        <w:t xml:space="preserve">Deterministic Migration Pipeline + Training Table Health Check (C-1 Fix)</w:t>
      </w:r>
    </w:p>
    <w:p>
      <w:pPr>
        <w:spacing w:after="60"/>
      </w:pPr>
      <w:r>
        <w:rPr>
          <w:rFonts w:ascii="Arial" w:cs="Arial" w:eastAsia="Arial" w:hAnsi="Arial"/>
          <w:b/>
          <w:bCs/>
          <w:sz w:val="22"/>
          <w:szCs w:val="22"/>
        </w:rPr>
        <w:t xml:space="preserve">Priority: </w:t>
      </w:r>
      <w:r>
        <w:rPr>
          <w:rFonts w:ascii="Arial" w:cs="Arial" w:eastAsia="Arial" w:hAnsi="Arial"/>
          <w:b/>
          <w:bCs/>
          <w:color w:val="CC3333"/>
          <w:sz w:val="22"/>
          <w:szCs w:val="22"/>
        </w:rPr>
        <w:t xml:space="preserve">CRITICAL</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Training tables (training_plans, training_assignments, training_progress) are created only in migrations/012_training_tables.sql. There is no migration runner in CI/CD or deploy scripts. scripts/init-db.mjs only provisions chief_records. New orgs or fresh deployments hit live 500 errors on all training API routes because the tables do not exist. This is a production availability blocker.</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change existing migration SQL files. Do not introduce a heavy ORM or migration framework. Keep the solution simple: a sequential runner that applies .sql files in order with idempotent checks. Do not break existing init-db.mjs behavior. One commit: fix(infra): deterministic migration pipeline and training table health check.</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A migration runner script (scripts/run-migrations.mjs) that reads migrations/*.sql in order and applies them idempotently (tracks applied migrations in a schema_migrations table). A preflight health check endpoint or startup assertion that verifies required training tables exist before enabling training routes. Package.json gets a db:migrate script. CI/CD or Vercel build command updated to run migrations.</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New: scripts/run-migrations.mjs. Modified: package.json (new script). Modified or new: preflight table check in training API routes or middleware. Updated docs/STATUS.md and DEVELOPER_MANUAL.md.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Fix C-1 - Deterministic migration pipeline and training table health check.
Repo: 00-FLEET-COMPLIANCE-SENTINEL
Context:
- 17 SQL migrations exist in migrations/ directory (001 through 017).
- No migration runner exists; init-db.mjs only creates chief_records.
- Training tables from migration 012 are required by all training API routes.
- Neon Postgres is the database (serverless connection via @neondatabase/serverless or pg).
Constraints:
- Do not modify existing migration SQL files.
- Do not introduce an ORM or heavy migration framework.
- Keep it simple: sequential .sql file runner with idempotent tracking.
- Do not break existing init-db.mjs.
- One commit: fix(infra): deterministic migration pipeline and training table health check.
Deliverables:
- scripts/run-migrations.mjs reads migrations/*.sql in order, tracks in schema_migrations table.
- Package.json db:migrate script.
- Training routes return 503 (not 500) if required tables are missing.
Outputs:
- New: scripts/run-migrations.mjs.
- Modified: package.json.
- Health check logic in training routes or shared middleware.
- Updated docs/STATUS.md, DEVELOPER_MANUAL.md.
At task end: verify the migration runner is idempotent (safe to run multiple times).</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05: </w:t>
      </w:r>
      <w:r>
        <w:rPr>
          <w:rFonts w:ascii="Arial" w:cs="Arial" w:eastAsia="Arial" w:hAnsi="Arial"/>
          <w:b/>
          <w:bCs/>
          <w:color w:val="1A3A5C"/>
          <w:sz w:val="24"/>
          <w:szCs w:val="24"/>
        </w:rPr>
        <w:t xml:space="preserve">Seed Training Plans for New Orgs (C-6 Fix)</w:t>
      </w:r>
    </w:p>
    <w:p>
      <w:pPr>
        <w:spacing w:after="60"/>
      </w:pPr>
      <w:r>
        <w:rPr>
          <w:rFonts w:ascii="Arial" w:cs="Arial" w:eastAsia="Arial" w:hAnsi="Arial"/>
          <w:b/>
          <w:bCs/>
          <w:sz w:val="22"/>
          <w:szCs w:val="22"/>
        </w:rPr>
        <w:t xml:space="preserve">Priority: </w:t>
      </w:r>
      <w:r>
        <w:rPr>
          <w:rFonts w:ascii="Arial" w:cs="Arial" w:eastAsia="Arial" w:hAnsi="Arial"/>
          <w:b/>
          <w:bCs/>
          <w:color w:val="CC3333"/>
          <w:sz w:val="22"/>
          <w:szCs w:val="22"/>
        </w:rPr>
        <w:t xml:space="preserve">CRITICAL</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The baseline PHMSA Hazmat Required training plan is seeded only for org_default in migration 012. New orgs get zero training plans. The training management UI has no plan creation UX, only assignment flow. First-time tenants land in a dead-end training admin experience. This blocks training module usability for any org that is not org_default.</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add a full plan creation UI in this task (that can be a future enhancement). Keep the solution simple: auto-seed the baseline plan on org provisioning or first training access. Do not modify the migration file. One commit: fix(training): seed baseline training plan for new orgs.</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Org provisioning flow (src/lib/org-provisioner.ts) or a lazy-seed check in the training plans API copies the baseline PHMSA Hazmat Required plan for each new org on first access. Seed is idempotent (safe to run multiple times without duplicating). Training management UI shows the seeded plan immediately on first visit.</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src/lib/org-provisioner.ts or src/app/api/v1/training/plans/route.ts. Updated docs/STATUS.md.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Fix C-6 - Seed baseline training plans for new orgs.
Repo: 00-FLEET-COMPLIANCE-SENTINEL
Context:
- Baseline plan seeded for org_default only in migrations/012_training_tables.sql line 72.
- Plans API at src/app/api/v1/training/plans/route.ts filters by caller org.
- TrainingManagement.tsx has assignment UI but no plan creation UX.
- org-provisioner.ts handles new org setup.
Constraints:
- Do not add full plan creation UI (future task).
- Do not modify the migration file.
- Seed must be idempotent.
- One commit: fix(training): seed baseline training plan for new orgs.
Deliverables:
- Auto-seed baseline PHMSA plan on org provisioning or first training plans API access.
- Idempotent check prevents duplicate plans.
Outputs:
- Modified org-provisioner.ts or training plans route.
- Updated docs/STATUS.md.
At task end: verify a fresh org sees the baseline plan via the plans API.</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06: </w:t>
      </w:r>
      <w:r>
        <w:rPr>
          <w:rFonts w:ascii="Arial" w:cs="Arial" w:eastAsia="Arial" w:hAnsi="Arial"/>
          <w:b/>
          <w:bCs/>
          <w:color w:val="1A3A5C"/>
          <w:sz w:val="24"/>
          <w:szCs w:val="24"/>
        </w:rPr>
        <w:t xml:space="preserve">Remote Gateway Tenant Binding (C-5 Fix)</w:t>
      </w:r>
    </w:p>
    <w:p>
      <w:pPr>
        <w:spacing w:after="60"/>
      </w:pPr>
      <w:r>
        <w:rPr>
          <w:rFonts w:ascii="Arial" w:cs="Arial" w:eastAsia="Arial" w:hAnsi="Arial"/>
          <w:b/>
          <w:bCs/>
          <w:sz w:val="22"/>
          <w:szCs w:val="22"/>
        </w:rPr>
        <w:t xml:space="preserve">Priority: </w:t>
      </w:r>
      <w:r>
        <w:rPr>
          <w:rFonts w:ascii="Arial" w:cs="Arial" w:eastAsia="Arial" w:hAnsi="Arial"/>
          <w:b/>
          <w:bCs/>
          <w:color w:val="CC3333"/>
          <w:sz w:val="22"/>
          <w:szCs w:val="22"/>
        </w:rPr>
        <w:t xml:space="preserve">CRITICAL</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The remote module gateway dispatch at src/lib/modules-gateway/remote.ts sends module/action args to the remote service but does not propagate org/user context. The remote artifact fetch returns streamed bytes without local org ownership verification. The status check only enforces org mismatch if run.orgId exists; missing orgId bypasses the tenant check entirely. This means cross-tenant run and artifact exposure is possible if the remote service does not independently enforce org ownership.</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change the local module gateway execution path. Keep the remote dispatch interface stable (additive headers/claims only). Do not introduce a full JWT/OIDC flow in this task (signed claims with a shared secret are sufficient for internal service-to-service). One commit: fix(gateway): end-to-end tenant binding on remote dispatch.</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Remote dispatch propagates org_id and user_id as signed headers or payload fields. Remote status/artifact endpoints require org match on every response. Status check rejects runs with missing orgId instead of bypassing. Artifact fetch validates org ownership before streaming bytes.</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src/lib/modules-gateway/remote.ts. Modified: src/app/api/modules/run/route.ts, src/app/api/modules/status/[id]/route.ts, src/app/api/modules/artifact/route.ts. Updated docs/STATUS.md and docs/integration/MODULE_GATEWAY_CONTRACT.md.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Fix C-5 - End-to-end tenant binding on remote gateway dispatch.
Repo: 00-FLEET-COMPLIANCE-SENTINEL
Context:
- Remote dispatch at src/lib/modules-gateway/remote.ts lines 66-73 sends only module/action args.
- Artifact fetch at src/app/api/modules/artifact/route.ts lines 62-87 streams without org check.
- Status check at src/app/api/modules/status/[id]/route.ts lines 90-95 bypasses tenant check if orgId missing.
Constraints:
- Do not change local execution path.
- Keep remote dispatch interface additive only (new headers, not breaking changes).
- Signed claims with shared secret sufficient (no full JWT/OIDC needed).
- One commit: fix(gateway): end-to-end tenant binding on remote dispatch.
Deliverables:
- Org/user context propagated on all remote dispatches.
- Status/artifact endpoints require org match.
- Missing orgId = rejected (not bypassed).
Outputs:
- Modified remote.ts, run route, status route, artifact route.
- Updated MODULE_GATEWAY_CONTRACT.md and STATUS.md.
At task end: verify npm run build passes and type checks are clean.</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07: </w:t>
      </w:r>
      <w:r>
        <w:rPr>
          <w:rFonts w:ascii="Arial" w:cs="Arial" w:eastAsia="Arial" w:hAnsi="Arial"/>
          <w:b/>
          <w:bCs/>
          <w:color w:val="1A3A5C"/>
          <w:sz w:val="24"/>
          <w:szCs w:val="24"/>
        </w:rPr>
        <w:t xml:space="preserve">Training RBAC + Answer Key Protection (H-1, H-3 Fixes)</w:t>
      </w:r>
    </w:p>
    <w:p>
      <w:pPr>
        <w:spacing w:after="60"/>
      </w:pPr>
      <w:r>
        <w:rPr>
          <w:rFonts w:ascii="Arial" w:cs="Arial" w:eastAsia="Arial" w:hAnsi="Arial"/>
          <w:b/>
          <w:bCs/>
          <w:sz w:val="22"/>
          <w:szCs w:val="22"/>
        </w:rPr>
        <w:t xml:space="preserve">Priority: </w:t>
      </w:r>
      <w:r>
        <w:rPr>
          <w:rFonts w:ascii="Arial" w:cs="Arial" w:eastAsia="Arial" w:hAnsi="Arial"/>
          <w:b/>
          <w:bCs/>
          <w:color w:val="D4A017"/>
          <w:sz w:val="22"/>
          <w:szCs w:val="22"/>
        </w:rPr>
        <w:t xml:space="preserve">HIGH</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H-1: Training management data (all assignments, all progress, all employee records) is exposed to non-admin org members. The training management API routes do not enforce admin role checks. H-3: Assessment answer keys are served to the client via the assessment deck/questions endpoint, meaning any authenticated user can read correct answers before taking the assessment. These are the two highest data-exposure risks in the training module.</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change the admin UI component behavior (just gate the API). Do not restructure the assessment JSON format. Keep the client assessment flow working (questions are still served; only correct_answer fields are stripped). One commit: fix(training): RBAC enforcement and answer key protection.</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Training management API routes (plans, assignments, progress admin views) enforce admin role check via fleet-compliance-auth.ts helpers. Assessment questions endpoint strips correct_answer fields from the response before sending to client. Non-admin users get 403 on management endpoints. Employee self-service routes (my-training, my-progress) remain accessible to all authenticated org members.</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Training management API routes. Modified: Assessment questions/deck API route. Updated docs/STATUS.md.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Fix H-1 and H-3 - Training RBAC enforcement and answer key protection.
Repo: 00-FLEET-COMPLIANCE-SENTINEL
Context:
- Training management routes at src/app/api/v1/training/{plans,assignments,progress}/ lack admin role checks.
- Assessment endpoint serves full answer keys including correct_answer fields.
- fleet-compliance-auth.ts has admin role check helpers already used in other routes.
- TrainingManagement.tsx is the admin component; MyTraining.tsx is the employee component.
Constraints:
- Do not change admin UI component logic.
- Do not restructure assessment JSON format.
- Keep client assessment flow working (serve questions without answers).
- One commit: fix(training): RBAC enforcement and answer key protection.
Deliverables:
- Admin role enforcement on management API routes.
- correct_answer stripped from client-facing assessment responses.
- Self-service routes remain open to all authenticated org members.
Outputs:
- Modified training API routes.
- Updated docs/STATUS.md.
At task end: verify admin and non-admin access patterns work correctly.</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08: </w:t>
      </w:r>
      <w:r>
        <w:rPr>
          <w:rFonts w:ascii="Arial" w:cs="Arial" w:eastAsia="Arial" w:hAnsi="Arial"/>
          <w:b/>
          <w:bCs/>
          <w:color w:val="1A3A5C"/>
          <w:sz w:val="24"/>
          <w:szCs w:val="24"/>
        </w:rPr>
        <w:t xml:space="preserve">Persistent Certificate Storage (H-4 Fix)</w:t>
      </w:r>
    </w:p>
    <w:p>
      <w:pPr>
        <w:spacing w:after="60"/>
      </w:pPr>
      <w:r>
        <w:rPr>
          <w:rFonts w:ascii="Arial" w:cs="Arial" w:eastAsia="Arial" w:hAnsi="Arial"/>
          <w:b/>
          <w:bCs/>
          <w:sz w:val="22"/>
          <w:szCs w:val="22"/>
        </w:rPr>
        <w:t xml:space="preserve">Priority: </w:t>
      </w:r>
      <w:r>
        <w:rPr>
          <w:rFonts w:ascii="Arial" w:cs="Arial" w:eastAsia="Arial" w:hAnsi="Arial"/>
          <w:b/>
          <w:bCs/>
          <w:color w:val="D4A017"/>
          <w:sz w:val="22"/>
          <w:szCs w:val="22"/>
        </w:rPr>
        <w:t xml:space="preserve">HIGH</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Training certificates are currently generated and stored on the local ephemeral filesystem under storage/{org_id}/training-certs/. On Vercel serverless functions, this filesystem is not persistent across invocations. Certificates disappear after the function cold-starts or redeploys. This means a user who passed their assessment may not be able to retrieve their certificate later, which is a DOT compliance record-keeping failure.</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introduce a new cloud storage provider unless necessary (evaluate Vercel Blob Storage first as it is already in the stack ecosystem). Keep the certificate API route interface stable. Do not change the PDF generation logic. One commit: fix(training): persistent certificate storage.</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Certificates are stored in a persistent location (Vercel Blob, S3, or equivalent). Certificate API route retrieves from persistent storage instead of local filesystem. Existing certificate paths in the database are migrated or a fallback lookup is implemented. Certificate URLs are stable and do not break on redeploy.</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src/lib/training-certificate.ts (storage backend). Modified: certificate API route. New: storage adapter if needed. Updated docs/STATUS.md and DEVELOPER_MANUAL.md.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Fix H-4 - Persistent certificate storage.
Repo: 00-FLEET-COMPLIANCE-SENTINEL
Context:
- Certificates generated by src/lib/training-certificate.ts using pdf-lib.
- Stored under storage/{org_id}/training-certs/{employee_id}/ on local filesystem.
- Served via authenticated API route at /api/v1/training/certificates.
- Vercel serverless functions have ephemeral filesystems.
- Vercel Blob Storage is the simplest in-ecosystem option.
Constraints:
- Evaluate Vercel Blob first before introducing S3 or other providers.
- Keep certificate API route interface stable.
- Do not change PDF generation logic (just the storage destination).
- One commit: fix(training): persistent certificate storage.
Deliverables:
- Certificates stored in persistent cloud storage.
- Certificate retrieval works across deploys and cold starts.
- Fallback for any existing local paths in the database.
Outputs:
- Modified training-certificate.ts.
- Modified certificate API route.
- New storage adapter if needed.
- Updated docs/STATUS.md, DEVELOPER_MANUAL.md.
At task end: verify certificate upload and retrieval round-trips successfully.</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09: </w:t>
      </w:r>
      <w:r>
        <w:rPr>
          <w:rFonts w:ascii="Arial" w:cs="Arial" w:eastAsia="Arial" w:hAnsi="Arial"/>
          <w:b/>
          <w:bCs/>
          <w:color w:val="1A3A5C"/>
          <w:sz w:val="24"/>
          <w:szCs w:val="24"/>
        </w:rPr>
        <w:t xml:space="preserve">Assignment Target Org Validation + Certificate Path Hardening (H-2, H-5 Fixes)</w:t>
      </w:r>
    </w:p>
    <w:p>
      <w:pPr>
        <w:spacing w:after="60"/>
      </w:pPr>
      <w:r>
        <w:rPr>
          <w:rFonts w:ascii="Arial" w:cs="Arial" w:eastAsia="Arial" w:hAnsi="Arial"/>
          <w:b/>
          <w:bCs/>
          <w:sz w:val="22"/>
          <w:szCs w:val="22"/>
        </w:rPr>
        <w:t xml:space="preserve">Priority: </w:t>
      </w:r>
      <w:r>
        <w:rPr>
          <w:rFonts w:ascii="Arial" w:cs="Arial" w:eastAsia="Arial" w:hAnsi="Arial"/>
          <w:b/>
          <w:bCs/>
          <w:color w:val="D4A017"/>
          <w:sz w:val="22"/>
          <w:szCs w:val="22"/>
        </w:rPr>
        <w:t xml:space="preserve">HIGH</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H-2: When creating a training assignment, the target employee identity is not validated against the calling org. An admin in Org A could theoretically assign training to an employee_id belonging to Org B. H-5: Certificate file path boundary checking uses a prefix-based check that may be vulnerable to path traversal. These are related tenant isolation gaps in the training module.</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change the assignment creation UI. Keep the assignment API request shape stable. Do not over-engineer path validation (use path.resolve + startsWith against a known root). One commit: fix(training): assignment org validation and certificate path hardening.</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Assignment creation validates that the target employee_id belongs to the calling org before creating the assignment. Certificate path construction uses path.resolve() and validates the resolved path starts with the expected storage root. Both checks return 403 on violation with audit log entries.</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Training assignment API route. Modified: Certificate retrieval route or training-certificate.ts. Updated docs/STATUS.md.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Fix H-2 and H-5 - Assignment target org validation and certificate path hardening.
Repo: 00-FLEET-COMPLIANCE-SENTINEL
Context:
- Assignment creation at src/app/api/v1/training/assignments/route.ts does not validate target employee belongs to calling org.
- Certificate path check uses prefix-based validation vulnerable to traversal.
- fleet-compliance-db.ts has org-scoped query helpers.
Constraints:
- Do not change assignment UI or API request shape.
- Use path.resolve + startsWith for path validation.
- One commit: fix(training): assignment org validation and certificate path hardening.
Deliverables:
- Employee org ownership validated before assignment creation.
- Certificate path uses resolve + startsWith against storage root.
- 403 + audit log on violation.
Outputs:
- Modified assignment route and certificate route/lib.
- Updated docs/STATUS.md.
At task end: verify npm run build passes.</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10: </w:t>
      </w:r>
      <w:r>
        <w:rPr>
          <w:rFonts w:ascii="Arial" w:cs="Arial" w:eastAsia="Arial" w:hAnsi="Arial"/>
          <w:b/>
          <w:bCs/>
          <w:color w:val="1A3A5C"/>
          <w:sz w:val="24"/>
          <w:szCs w:val="24"/>
        </w:rPr>
        <w:t xml:space="preserve">Stripe Live Mode + Billing Lifecycle Smoke Test (P1-P3)</w:t>
      </w:r>
    </w:p>
    <w:p>
      <w:pPr>
        <w:spacing w:after="60"/>
      </w:pPr>
      <w:r>
        <w:rPr>
          <w:rFonts w:ascii="Arial" w:cs="Arial" w:eastAsia="Arial" w:hAnsi="Arial"/>
          <w:b/>
          <w:bCs/>
          <w:sz w:val="22"/>
          <w:szCs w:val="22"/>
        </w:rPr>
        <w:t xml:space="preserve">Priority: </w:t>
      </w:r>
      <w:r>
        <w:rPr>
          <w:rFonts w:ascii="Arial" w:cs="Arial" w:eastAsia="Arial" w:hAnsi="Arial"/>
          <w:b/>
          <w:bCs/>
          <w:color w:val="CC3333"/>
          <w:sz w:val="22"/>
          <w:szCs w:val="22"/>
        </w:rPr>
        <w:t xml:space="preserve">CRITICAL</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Stripe is currently running in test mode. Before accepting any payment, live keys must be configured, live products created at the correct prices ($199/mo Starter, $399/mo Pro), webhook endpoint secret updated, and a full billing lifecycle smoke test completed in test mode first. If the webhook secret is wrong, payments succeed in Stripe but the database never activates the subscription. This is the revenue blocker.</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This is a manual + configuration task, not a code change. Do not hardcode Stripe keys in source code. Keys go in Vercel environment variables only. Run the full lifecycle test in test mode BEFORE switching to live. Document the verification steps. One commit: ops(billing): stripe live mode configuration checklist.</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Stripe test mode lifecycle verified end-to-end (signup, trial, checkout, subscription active in DB, cancel, data_deletion_scheduled_at set). Live products created in Stripe dashboard. Vercel env vars updated with live keys. Live webhook endpoint registered and secret matches STRIPE_WEBHOOK_SECRET. Stripe keys added to 90-day secret rotation schedule.</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Updated: Vercel environment variables (STRIPE_SECRET_KEY, NEXT_PUBLIC_STRIPE_PUBLISHABLE_KEY, STRIPE_WEBHOOK_SECRET, STRIPE_STARTER_PRICE_ID, STRIPE_PRO_PRICE_ID). Updated: soc2-evidence/access-control/SECURITY_ROTATION.md. New: docs/STRIPE_LIVE_CHECKLIST.md with verification steps. Updated docs/STATUS.md.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P1-P3 - Stripe live mode configuration and billing lifecycle smoke test.
Repo: 00-FLEET-COMPLIANCE-SENTINEL
Context:
- Stripe currently in test mode. Webhook route at src/app/api/stripe/webhook/route.ts.
- Offboarding lifecycle in src/lib/offboarding-lifecycle.ts.
- Prices: $199/mo Starter, $399/mo Pro.
- Secret rotation schedule at soc2-evidence/access-control/SECURITY_ROTATION.md.
Constraints:
- Do not hardcode keys in source code (Vercel env vars only).
- Run full lifecycle test in test mode BEFORE switching to live.
- Document every verification step.
- One commit: ops(billing): stripe live mode configuration checklist.
Deliverables:
- Full test-mode lifecycle verified (signup &gt; trial &gt; checkout &gt; active &gt; cancel &gt; deletion scheduled).
- Live products created at correct prices.
- Vercel env vars updated.
- Stripe keys in rotation schedule.
Outputs:
- docs/STRIPE_LIVE_CHECKLIST.md.
- Updated SECURITY_ROTATION.md.
- Updated docs/STATUS.md.
At task end: confirm webhook fires successfully with live endpoint.</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11: </w:t>
      </w:r>
      <w:r>
        <w:rPr>
          <w:rFonts w:ascii="Arial" w:cs="Arial" w:eastAsia="Arial" w:hAnsi="Arial"/>
          <w:b/>
          <w:bCs/>
          <w:color w:val="1A3A5C"/>
          <w:sz w:val="24"/>
          <w:szCs w:val="24"/>
        </w:rPr>
        <w:t xml:space="preserve">Retention Policy Fixes + Legal Page Updates (R-Series + P4)</w:t>
      </w:r>
    </w:p>
    <w:p>
      <w:pPr>
        <w:spacing w:after="60"/>
      </w:pPr>
      <w:r>
        <w:rPr>
          <w:rFonts w:ascii="Arial" w:cs="Arial" w:eastAsia="Arial" w:hAnsi="Arial"/>
          <w:b/>
          <w:bCs/>
          <w:sz w:val="22"/>
          <w:szCs w:val="22"/>
        </w:rPr>
        <w:t xml:space="preserve">Priority: </w:t>
      </w:r>
      <w:r>
        <w:rPr>
          <w:rFonts w:ascii="Arial" w:cs="Arial" w:eastAsia="Arial" w:hAnsi="Arial"/>
          <w:b/>
          <w:bCs/>
          <w:color w:val="D4A017"/>
          <w:sz w:val="22"/>
          <w:szCs w:val="22"/>
        </w:rPr>
        <w:t xml:space="preserve">HIGH</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Four data retention gaps were identified: Datadog log retention not matching policy (R1), org_audit_events missing hard-delete on offboarding (R2), fleet data retention window undefined (R3), GPS/telematics purge not implemented (R4). Privacy policy and terms of service both say '30/60 days' for retention but the actual retention periods have not been finalized in code. Legal pages need to match whatever retention periods are decided.</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Decide retention periods before updating legal text. Do not change retention periods without documenting the business rationale. Keep legal page changes minimal (just update the numbers). Do not change privacy/terms page structure or layout. One commit per concern or one combined commit: fix(compliance): retention policy alignment and legal page updates.</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Datadog audit-logs-soc2 index retention set to 365 days (match policy). Offboarding lifecycle includes hard-delete of org_audit_events after retention window. Fleet data retention window defined and enforced. GPS purge cron or offboarding step implemented. Privacy policy and terms of service updated with actual retention periods.</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src/lib/offboarding-lifecycle.ts. Modified: src/app/privacy/page.tsx, src/app/terms/page.tsx. New or modified: GPS purge logic. Updated docs/STATUS.md. Run npm run compliance:legal-check to verify.</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R-Series retention fixes and legal page updates.
Repo: 00-FLEET-COMPLIANCE-SENTINEL
Context:
- Four retention gaps: R1 (Datadog index), R2 (audit hard-delete), R3 (fleet data window), R4 (GPS purge).
- Privacy at src/app/privacy/page.tsx and terms at src/app/terms/page.tsx say "30/60 days".
- Offboarding lifecycle at src/lib/offboarding-lifecycle.ts handles subscription offboarding.
- Legal check script: npm run compliance:legal-check (7 checks).
Constraints:
- Decide retention periods before updating legal text.
- Document business rationale for chosen periods.
- Keep legal page changes minimal.
- Verify with npm run compliance:legal-check after changes.
Deliverables:
- Retention periods defined and enforced in code.
- Legal pages match actual retention behavior.
- Offboarding includes audit data cleanup.
Outputs:
- Modified offboarding-lifecycle.ts, privacy page, terms page.
- GPS purge logic.
- Updated docs/STATUS.md.
At task end: npm run compliance:legal-check passes.</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12: </w:t>
      </w:r>
      <w:r>
        <w:rPr>
          <w:rFonts w:ascii="Arial" w:cs="Arial" w:eastAsia="Arial" w:hAnsi="Arial"/>
          <w:b/>
          <w:bCs/>
          <w:color w:val="1A3A5C"/>
          <w:sz w:val="24"/>
          <w:szCs w:val="24"/>
        </w:rPr>
        <w:t xml:space="preserve">Datadog Cost Controls + Sentry Tuning</w:t>
      </w:r>
    </w:p>
    <w:p>
      <w:pPr>
        <w:spacing w:after="60"/>
      </w:pPr>
      <w:r>
        <w:rPr>
          <w:rFonts w:ascii="Arial" w:cs="Arial" w:eastAsia="Arial" w:hAnsi="Arial"/>
          <w:b/>
          <w:bCs/>
          <w:sz w:val="22"/>
          <w:szCs w:val="22"/>
        </w:rPr>
        <w:t xml:space="preserve">Priority: </w:t>
      </w:r>
      <w:r>
        <w:rPr>
          <w:rFonts w:ascii="Arial" w:cs="Arial" w:eastAsia="Arial" w:hAnsi="Arial"/>
          <w:b/>
          <w:bCs/>
          <w:color w:val="D4A017"/>
          <w:sz w:val="22"/>
          <w:szCs w:val="22"/>
        </w:rPr>
        <w:t xml:space="preserve">HIGH</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Datadog auto-enables 10+ products on billing activation that FCS does not use (APM, Infrastructure, RUM, Synthetic, Database Monitoring, CI Visibility, Cloud Cost, Profiler, Network, Watchdog). Only Log Management is intentional. Sentry tracesSampleRate is set to 100% in both sentry.server.config.ts and sentry.edge.config.ts, which will generate span overages as traffic grows. These are cost time-bombs before scaling.</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Datadog changes are UI-only (no code). Sentry changes are two-line config edits. Capture SOC 2 evidence screenshots after Datadog cleanup. One commit: ops(monitoring): datadog product cleanup and sentry sampling tuning.</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All unused Datadog products disabled via Datadog UI. Only Log Management remains enabled. audit-logs-soc2 index verified at 365-day retention. Sentry tracesSampleRate reduced to 0.1 (10%) in both config files. SOC 2 evidence screenshot of Datadog index config captured.</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sentry.server.config.ts, sentry.edge.config.ts. New: soc2-evidence/monitoring/datadog-index-retention screenshot. Updated docs/STATUS.md.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Datadog cost controls and Sentry sampling tuning.
Repo: 00-FLEET-COMPLIANCE-SENTINEL
Context:
- Datadog has 10+ auto-enabled products; only Log Management is used.
- Sentry tracesSampleRate=1.0 at sentry.server.config.ts:13 and sentry.edge.config.ts:13.
- SOC 2 evidence needed for Datadog audit log retention.
Constraints:
- Datadog changes are UI-only (document steps, no code).
- Sentry changes are config-only (two files, one line each).
- Capture evidence screenshots after Datadog cleanup.
- One commit: ops(monitoring): datadog product cleanup and sentry sampling tuning.
Deliverables:
- Unused Datadog products disabled.
- Sentry sample rate reduced to 10%.
- SOC 2 evidence captured.
Outputs:
- Modified sentry config files.
- Screenshot in soc2-evidence/monitoring/.
- Updated docs/STATUS.md.
At task end: verify Sentry still captures error events at reduced sample rate.</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13: </w:t>
      </w:r>
      <w:r>
        <w:rPr>
          <w:rFonts w:ascii="Arial" w:cs="Arial" w:eastAsia="Arial" w:hAnsi="Arial"/>
          <w:b/>
          <w:bCs/>
          <w:color w:val="1A3A5C"/>
          <w:sz w:val="24"/>
          <w:szCs w:val="24"/>
        </w:rPr>
        <w:t xml:space="preserve">Landing Page Refresh for Sales Readiness</w:t>
      </w:r>
    </w:p>
    <w:p>
      <w:pPr>
        <w:spacing w:after="60"/>
      </w:pPr>
      <w:r>
        <w:rPr>
          <w:rFonts w:ascii="Arial" w:cs="Arial" w:eastAsia="Arial" w:hAnsi="Arial"/>
          <w:b/>
          <w:bCs/>
          <w:sz w:val="22"/>
          <w:szCs w:val="22"/>
        </w:rPr>
        <w:t xml:space="preserve">Priority: </w:t>
      </w:r>
      <w:r>
        <w:rPr>
          <w:rFonts w:ascii="Arial" w:cs="Arial" w:eastAsia="Arial" w:hAnsi="Arial"/>
          <w:b/>
          <w:bCs/>
          <w:color w:val="D4A017"/>
          <w:sz w:val="22"/>
          <w:szCs w:val="22"/>
        </w:rPr>
        <w:t xml:space="preserve">HIGH</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The current pipelinepunks.com landing page needs updating to reflect the completed platform capabilities. It should position FCS as the DOT compliance SaaS product it now is, with clear pricing ($199/mo Starter, $399/mo Pro), feature differentiation from Tenstreet (pre-hire focus) and J.J. Keller (manual training), and a clear call-to-action for the Direction Protocol sales flow. The landing page is the first thing prospects see.</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rebuild the landing page from scratch. Update existing content sections. Keep the page structure and component architecture stable. Match TNDS brand (Navy #1A3A5C, Teal #3D8EB9). Do not add features that are not production-ready. Do not reference SOC 2 certification (observation window still active; say 'SOC 2 program active' only). One commit: feat(landing): sales-ready landing page refresh.</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Updated hero section with clear value proposition. Feature grid showing production-ready capabilities (compliance tracking, training LMS, Penny AI, telematics, module gateway). Pricing section with Starter and Pro tiers. Social proof / trust signals section (VOSB, SOC 2 program, FMCSA integration). Call-to-action leading to Direction Protocol intake.</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src/app/page.tsx (or equivalent landing page component). Updated docs/STATUS.md.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Landing page refresh for sales readiness.
Repo: 00-FLEET-COMPLIANCE-SENTINEL
Context:
- Landing page at src/app/page.tsx (pipelinepunks.com).
- Platform has 33 feature pages, training LMS, Penny AI, telematics, module gateway all production.
- Pricing: $199/mo Starter, $399/mo Pro.
- Competitors: Tenstreet (pre-hire focus), J.J. Keller (manual training).
- TNDS brand: Navy #1A3A5C, Teal #3D8EB9.
- SOC 2 observation window active (do NOT claim certified; say "SOC 2 program active").
Constraints:
- Update existing page, do not rebuild from scratch.
- Keep component architecture stable.
- Only reference production-ready features.
- Match TNDS brand colors and voice.
- One commit: feat(landing): sales-ready landing page refresh.
Deliverables:
- Updated hero, features, pricing, trust signals, CTA sections.
- Mobile-responsive layout.
Outputs:
- Modified landing page component(s).
- Updated docs/STATUS.md.
At task end: verify page renders correctly and links work.</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14: </w:t>
      </w:r>
      <w:r>
        <w:rPr>
          <w:rFonts w:ascii="Arial" w:cs="Arial" w:eastAsia="Arial" w:hAnsi="Arial"/>
          <w:b/>
          <w:bCs/>
          <w:color w:val="1A3A5C"/>
          <w:sz w:val="24"/>
          <w:szCs w:val="24"/>
        </w:rPr>
        <w:t xml:space="preserve">Training Offboarding + Non-Transactional Write Cleanup (H-4, M-1 Fixes)</w:t>
      </w:r>
    </w:p>
    <w:p>
      <w:pPr>
        <w:spacing w:after="60"/>
      </w:pPr>
      <w:r>
        <w:rPr>
          <w:rFonts w:ascii="Arial" w:cs="Arial" w:eastAsia="Arial" w:hAnsi="Arial"/>
          <w:b/>
          <w:bCs/>
          <w:sz w:val="22"/>
          <w:szCs w:val="22"/>
        </w:rPr>
        <w:t xml:space="preserve">Priority: </w:t>
      </w:r>
      <w:r>
        <w:rPr>
          <w:rFonts w:ascii="Arial" w:cs="Arial" w:eastAsia="Arial" w:hAnsi="Arial"/>
          <w:b/>
          <w:bCs/>
          <w:color w:val="2E7D32"/>
          <w:sz w:val="22"/>
          <w:szCs w:val="22"/>
        </w:rPr>
        <w:t xml:space="preserve">MEDIUM</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H-4 (from B7-B9 audit): Training tables are missing from the offboarding hard-delete sequence, meaning when an org is offboarded, their training data (plans, assignments, progress, certificates, hazmat records) persists indefinitely. M-1: Assignment and progress writes in the training module are non-transactional, meaning partial writes are possible on concurrent operations.</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change the offboarding lifecycle for non-training tables. Add training table cleanup in the correct order (foreign key dependencies). For M-1, wrap the specific write sequences that need atomicity. One commit: fix(training): offboarding cleanup and transactional writes.</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Offboarding lifecycle deletes training_progress, training_assignments, training_plans, hazmat_training_records, and certificate storage for the offboarded org. Delete order respects foreign key dependencies. Assignment creation and progress update writes are wrapped in transactions where atomicity matters.</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src/lib/offboarding-lifecycle.ts. Modified: Training assignment and progress API routes. Updated docs/STATUS.md.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Fix H-4 and M-1 - Training offboarding and transactional writes.
Repo: 00-FLEET-COMPLIANCE-SENTINEL
Context:
- Offboarding lifecycle at src/lib/offboarding-lifecycle.ts does not include training tables.
- Training tables: training_plans, training_assignments, training_progress, hazmat_training_records.
- Certificate storage under storage/{org_id}/training-certs/.
- Assignment/progress writes are non-transactional.
Constraints:
- Do not change offboarding for non-training tables.
- Respect foreign key order on deletes.
- One commit: fix(training): offboarding cleanup and transactional writes.
Deliverables:
- Training data deleted on org offboarding.
- Certificate storage cleaned up.
- Critical write sequences wrapped in transactions.
Outputs:
- Modified offboarding-lifecycle.ts.
- Modified training API routes.
- Updated docs/STATUS.md.
At task end: verify offboarding sequence handles training data.</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15: </w:t>
      </w:r>
      <w:r>
        <w:rPr>
          <w:rFonts w:ascii="Arial" w:cs="Arial" w:eastAsia="Arial" w:hAnsi="Arial"/>
          <w:b/>
          <w:bCs/>
          <w:color w:val="1A3A5C"/>
          <w:sz w:val="24"/>
          <w:szCs w:val="24"/>
        </w:rPr>
        <w:t xml:space="preserve">Styling Pipeline Fix + Training UI Polish (S-1, S-2, S-3)</w:t>
      </w:r>
    </w:p>
    <w:p>
      <w:pPr>
        <w:spacing w:after="60"/>
      </w:pPr>
      <w:r>
        <w:rPr>
          <w:rFonts w:ascii="Arial" w:cs="Arial" w:eastAsia="Arial" w:hAnsi="Arial"/>
          <w:b/>
          <w:bCs/>
          <w:sz w:val="22"/>
          <w:szCs w:val="22"/>
        </w:rPr>
        <w:t xml:space="preserve">Priority: </w:t>
      </w:r>
      <w:r>
        <w:rPr>
          <w:rFonts w:ascii="Arial" w:cs="Arial" w:eastAsia="Arial" w:hAnsi="Arial"/>
          <w:b/>
          <w:bCs/>
          <w:color w:val="2E7D32"/>
          <w:sz w:val="22"/>
          <w:szCs w:val="22"/>
        </w:rPr>
        <w:t xml:space="preserve">MEDIUM</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S-1: Tailwind utility pipeline is missing from the global stylesheet, causing utility classes to not apply consistently. S-2: TrainingDeckViewer Previous/Next controls render unstyled due to the CSS pipeline gap. S-3: No training-specific fallback styles exist. These are all symptoms of the same root cause: the Tailwind CSS pipeline is not fully configured for the training module components.</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Fix the root cause (Tailwind pipeline) rather than adding inline styles as workarounds. Verify the fix propagates to all three styling findings. Do not change component structure or behavior. One commit: fix(ui): tailwind pipeline and training component styles.</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Tailwind CSS pipeline correctly processes training module components. TrainingDeckViewer navigation controls are properly styled. Training components have appropriate fallback styles. All three styling findings resolved.</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Modified: Tailwind config or global stylesheet. Possibly modified: TrainingDeckViewer.tsx if class names need updating. Updated docs/STATUS.md.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Fix S-1, S-2, S-3 - Tailwind pipeline and training UI styles.
Repo: 00-FLEET-COMPLIANCE-SENTINEL
Context:
- Tailwind utility classes not applying consistently to training components.
- TrainingDeckViewer.tsx Previous/Next controls unstyled.
- Global stylesheet may be missing training component paths in Tailwind content config.
- tailwind.config.js or tailwind.config.ts controls content scanning paths.
Constraints:
- Fix root cause (pipeline config), not symptoms (inline styles).
- Do not change component structure or behavior.
- One commit: fix(ui): tailwind pipeline and training component styles.
Deliverables:
- Tailwind processes training components correctly.
- Deck viewer controls styled.
- Fallback styles for training module.
Outputs:
- Modified Tailwind config or global CSS.
- Possibly modified training components.
- Updated docs/STATUS.md.
At task end: verify training pages render correctly in browser.</w:t>
      </w:r>
    </w:p>
    <w:p>
      <w:pPr>
        <w:pBdr>
          <w:bottom w:val="single" w:color="3D8EB9" w:sz="3" w:space="1"/>
        </w:pBdr>
        <w:spacing w:after="100"/>
      </w:pPr>
    </w:p>
    <w:p>
      <w:pPr>
        <w:spacing w:after="60" w:before="200"/>
      </w:pPr>
      <w:r>
        <w:rPr>
          <w:rFonts w:ascii="Arial" w:cs="Arial" w:eastAsia="Arial" w:hAnsi="Arial"/>
          <w:b/>
          <w:bCs/>
          <w:color w:val="1A3A5C"/>
          <w:sz w:val="24"/>
          <w:szCs w:val="24"/>
        </w:rPr>
        <w:t xml:space="preserve">TASK 16: </w:t>
      </w:r>
      <w:r>
        <w:rPr>
          <w:rFonts w:ascii="Arial" w:cs="Arial" w:eastAsia="Arial" w:hAnsi="Arial"/>
          <w:b/>
          <w:bCs/>
          <w:color w:val="1A3A5C"/>
          <w:sz w:val="24"/>
          <w:szCs w:val="24"/>
        </w:rPr>
        <w:t xml:space="preserve">Documentation Consolidation + Repo Reorganization</w:t>
      </w:r>
    </w:p>
    <w:p>
      <w:pPr>
        <w:spacing w:after="60"/>
      </w:pPr>
      <w:r>
        <w:rPr>
          <w:rFonts w:ascii="Arial" w:cs="Arial" w:eastAsia="Arial" w:hAnsi="Arial"/>
          <w:b/>
          <w:bCs/>
          <w:sz w:val="22"/>
          <w:szCs w:val="22"/>
        </w:rPr>
        <w:t xml:space="preserve">Priority: </w:t>
      </w:r>
      <w:r>
        <w:rPr>
          <w:rFonts w:ascii="Arial" w:cs="Arial" w:eastAsia="Arial" w:hAnsi="Arial"/>
          <w:b/>
          <w:bCs/>
          <w:color w:val="2E7D32"/>
          <w:sz w:val="22"/>
          <w:szCs w:val="22"/>
        </w:rPr>
        <w:t xml:space="preserve">MEDIUM</w:t>
      </w:r>
    </w:p>
    <w:p>
      <w:pPr>
        <w:spacing w:after="40" w:before="100"/>
      </w:pPr>
      <w:r>
        <w:rPr>
          <w:rFonts w:ascii="Arial" w:cs="Arial" w:eastAsia="Arial" w:hAnsi="Arial"/>
          <w:b/>
          <w:bCs/>
          <w:color w:val="3D8EB9"/>
          <w:sz w:val="22"/>
          <w:szCs w:val="22"/>
        </w:rPr>
        <w:t xml:space="preserve">Context:</w:t>
      </w:r>
    </w:p>
    <w:p>
      <w:pPr>
        <w:spacing w:after="120"/>
      </w:pPr>
      <w:r>
        <w:rPr>
          <w:rFonts w:ascii="Arial" w:cs="Arial" w:eastAsia="Arial" w:hAnsi="Arial"/>
          <w:sz w:val="22"/>
          <w:szCs w:val="22"/>
        </w:rPr>
        <w:t xml:space="preserve">The project has 30+ documentation files across root, docs/, and docs/integration/. Some are stale (FLEET_COMPLIANCE_TODO_v2.md references Phase 6-9 as NOT STARTED but equivalent work was done in the April sprint under different names). The TODO files overlap (TODO-April 2-25 Sprint Plan.md vs FLEET_COMPLIANCE_TODO_v2.md vs landing page todo.md). INDEX.md may be outdated. The repo needs a single source of truth for what is done, what is open, and what is next.</w:t>
      </w:r>
    </w:p>
    <w:p>
      <w:pPr>
        <w:spacing w:after="40" w:before="100"/>
      </w:pPr>
      <w:r>
        <w:rPr>
          <w:rFonts w:ascii="Arial" w:cs="Arial" w:eastAsia="Arial" w:hAnsi="Arial"/>
          <w:b/>
          <w:bCs/>
          <w:color w:val="3D8EB9"/>
          <w:sz w:val="22"/>
          <w:szCs w:val="22"/>
        </w:rPr>
        <w:t xml:space="preserve">Constraints:</w:t>
      </w:r>
    </w:p>
    <w:p>
      <w:pPr>
        <w:spacing w:after="120"/>
      </w:pPr>
      <w:r>
        <w:rPr>
          <w:rFonts w:ascii="Arial" w:cs="Arial" w:eastAsia="Arial" w:hAnsi="Arial"/>
          <w:sz w:val="22"/>
          <w:szCs w:val="22"/>
        </w:rPr>
        <w:t xml:space="preserve">Do not delete any documentation files (archive stale ones to docs/archive/). Do not change any source code. Create a single master status/backlog document that replaces the scattered TODOs. Update INDEX.md to reflect current repo structure. One commit: docs(repo): documentation consolidation and index refresh.</w:t>
      </w:r>
    </w:p>
    <w:p>
      <w:pPr>
        <w:spacing w:after="40" w:before="100"/>
      </w:pPr>
      <w:r>
        <w:rPr>
          <w:rFonts w:ascii="Arial" w:cs="Arial" w:eastAsia="Arial" w:hAnsi="Arial"/>
          <w:b/>
          <w:bCs/>
          <w:color w:val="3D8EB9"/>
          <w:sz w:val="22"/>
          <w:szCs w:val="22"/>
        </w:rPr>
        <w:t xml:space="preserve">Deliverables:</w:t>
      </w:r>
    </w:p>
    <w:p>
      <w:pPr>
        <w:spacing w:after="120"/>
      </w:pPr>
      <w:r>
        <w:rPr>
          <w:rFonts w:ascii="Arial" w:cs="Arial" w:eastAsia="Arial" w:hAnsi="Arial"/>
          <w:sz w:val="22"/>
          <w:szCs w:val="22"/>
        </w:rPr>
        <w:t xml:space="preserve">Stale TODO files archived to docs/archive/ with a header noting they are superseded. Single master backlog document created (docs/BACKLOG.md) combining all open items from all TODO files with priority, status, and dependency info. INDEX.md updated to reflect current file counts, directories, and structure. README.md updated with current links and references.</w:t>
      </w:r>
    </w:p>
    <w:p>
      <w:pPr>
        <w:spacing w:after="40" w:before="100"/>
      </w:pPr>
      <w:r>
        <w:rPr>
          <w:rFonts w:ascii="Arial" w:cs="Arial" w:eastAsia="Arial" w:hAnsi="Arial"/>
          <w:b/>
          <w:bCs/>
          <w:color w:val="3D8EB9"/>
          <w:sz w:val="22"/>
          <w:szCs w:val="22"/>
        </w:rPr>
        <w:t xml:space="preserve">Outputs:</w:t>
      </w:r>
    </w:p>
    <w:p>
      <w:pPr>
        <w:spacing w:after="120"/>
      </w:pPr>
      <w:r>
        <w:rPr>
          <w:rFonts w:ascii="Arial" w:cs="Arial" w:eastAsia="Arial" w:hAnsi="Arial"/>
          <w:sz w:val="22"/>
          <w:szCs w:val="22"/>
        </w:rPr>
        <w:t xml:space="preserve">New: docs/BACKLOG.md. Moved: stale TODO files to docs/archive/. Updated: INDEX.md, README.md. Updated: docs/STATUS.md.</w:t>
      </w:r>
    </w:p>
    <w:p>
      <w:pPr>
        <w:spacing w:after="40" w:before="100"/>
      </w:pPr>
      <w:r>
        <w:rPr>
          <w:rFonts w:ascii="Arial" w:cs="Arial" w:eastAsia="Arial" w:hAnsi="Arial"/>
          <w:b/>
          <w:bCs/>
          <w:color w:val="3D8EB9"/>
          <w:sz w:val="22"/>
          <w:szCs w:val="22"/>
        </w:rPr>
        <w:t xml:space="preserve">Agent Prompt:</w:t>
      </w:r>
    </w:p>
    <w:p>
      <w:pPr>
        <w:spacing w:after="200"/>
      </w:pPr>
      <w:r>
        <w:rPr>
          <w:rFonts w:ascii="Courier New" w:cs="Courier New" w:eastAsia="Courier New" w:hAnsi="Courier New"/>
          <w:sz w:val="18"/>
          <w:szCs w:val="18"/>
        </w:rPr>
        <w:t xml:space="preserve">Task: Documentation consolidation and repo reorganization.
Repo: 00-FLEET-COMPLIANCE-SENTINEL
Context:
- 30+ docs across root, docs/, docs/integration/.
- FLEET_COMPLIANCE_TODO_v2.md is partially stale (Phases 6-9 status wrong).
- Three separate TODO files with overlapping items.
- INDEX.md may not reflect current repo structure.
Constraints:
- Do not delete any docs (archive stale ones to docs/archive/).
- Do not change source code.
- Create a single source of truth for backlog.
- One commit: docs(repo): documentation consolidation and index refresh.
Deliverables:
- docs/BACKLOG.md with all open items, prioritized.
- Stale TODOs archived with superseded header.
- INDEX.md reflects current repo state.
- README.md links updated.
Outputs:
- New: docs/BACKLOG.md.
- Moved: stale TODOs to docs/archive/.
- Updated: INDEX.md, README.md, STATUS.md.
At task end: verify no broken internal doc references.</w:t>
      </w:r>
    </w:p>
    <w:p>
      <w:pPr>
        <w:pBdr>
          <w:bottom w:val="single" w:color="3D8EB9" w:sz="3" w:space="1"/>
        </w:pBdr>
        <w:spacing w:after="10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D8EB9" w:sz="2" w:space="1"/>
      </w:pBdr>
      <w:jc w:val="center"/>
    </w:pPr>
    <w:r>
      <w:rPr>
        <w:rFonts w:ascii="Arial" w:cs="Arial" w:eastAsia="Arial" w:hAnsi="Arial"/>
        <w:color w:val="1A3A5C"/>
        <w:sz w:val="16"/>
        <w:szCs w:val="16"/>
      </w:rPr>
      <w:t xml:space="preserve">Jacob Johnston | 719-204-6365 | jacob@truenorthstrategyops.com</w:t>
    </w:r>
    <w:r>
      <w:rPr>
        <w:rFonts w:ascii="Arial" w:cs="Arial" w:eastAsia="Arial" w:hAnsi="Arial"/>
        <w:color w:val="666666"/>
        <w:sz w:val="16"/>
        <w:szCs w:val="16"/>
      </w:rPr>
      <w:t xml:space="preserve">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D8EB9" w:sz="6" w:space="1"/>
      </w:pBdr>
    </w:pPr>
    <w:r>
      <w:rPr>
        <w:rFonts w:ascii="Arial" w:cs="Arial" w:eastAsia="Arial" w:hAnsi="Arial"/>
        <w:b/>
        <w:bCs/>
        <w:color w:val="1A3A5C"/>
        <w:sz w:val="18"/>
        <w:szCs w:val="18"/>
      </w:rPr>
      <w:t xml:space="preserve">TRUE NORTH DATA STRATEGIES</w:t>
    </w:r>
    <w:r>
      <w:rPr>
        <w:rFonts w:ascii="Arial" w:cs="Arial" w:eastAsia="Arial" w:hAnsi="Arial"/>
        <w:color w:val="3D8EB9"/>
        <w:sz w:val="18"/>
        <w:szCs w:val="18"/>
      </w:rPr>
      <w:t xml:space="preserve">  |  Fleet-Compliance Sentinel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A5C"/>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1A3A5C"/>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D8EB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2026-04-06T02:23:53.415Z</dcterms:created>
  <dcterms:modified xsi:type="dcterms:W3CDTF">2026-04-06T02:23:53.415Z</dcterms:modified>
</cp:coreProperties>
</file>

<file path=docProps/custom.xml><?xml version="1.0" encoding="utf-8"?>
<Properties xmlns="http://schemas.openxmlformats.org/officeDocument/2006/custom-properties" xmlns:vt="http://schemas.openxmlformats.org/officeDocument/2006/docPropsVTypes"/>
</file>