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600"/>
        <w:jc w:val="center"/>
      </w:pPr>
      <w:r>
        <w:rPr>
          <w:rFonts w:ascii="Times New Roman" w:hAnsi="Times New Roman"/>
          <w:b/>
          <w:sz w:val="28"/>
        </w:rPr>
        <w:t>Explainable Artificial Intelligence (XAI)</w:t>
        <w:br/>
        <w:t>Mini Project Report</w:t>
      </w:r>
    </w:p>
    <w:p>
      <w:pPr>
        <w:spacing w:after="800"/>
        <w:jc w:val="center"/>
      </w:pPr>
      <w:r>
        <w:rPr>
          <w:rFonts w:ascii="Times New Roman" w:hAnsi="Times New Roman"/>
          <w:b/>
          <w:sz w:val="32"/>
        </w:rPr>
        <w:t>AttentionLens: An Interactive Explainability and</w:t>
        <w:br/>
        <w:t>Debugging Framework for Vision Models</w:t>
      </w:r>
    </w:p>
    <w:p>
      <w:pPr>
        <w:spacing w:after="200"/>
        <w:jc w:val="center"/>
      </w:pPr>
      <w:r>
        <w:rPr>
          <w:rFonts w:ascii="Times New Roman" w:hAnsi="Times New Roman"/>
          <w:sz w:val="22"/>
        </w:rPr>
        <w:t>Submitted by</w:t>
      </w:r>
    </w:p>
    <w:p>
      <w:pPr>
        <w:spacing w:after="80"/>
        <w:jc w:val="center"/>
      </w:pPr>
      <w:r>
        <w:rPr>
          <w:rFonts w:ascii="Times New Roman" w:hAnsi="Times New Roman"/>
          <w:b/>
          <w:sz w:val="24"/>
        </w:rPr>
        <w:t>Kartheek Yadav</w:t>
      </w:r>
    </w:p>
    <w:p>
      <w:pPr>
        <w:spacing w:after="240"/>
        <w:jc w:val="center"/>
      </w:pPr>
      <w:r>
        <w:rPr>
          <w:rFonts w:ascii="Times New Roman" w:hAnsi="Times New Roman"/>
          <w:sz w:val="22"/>
        </w:rPr>
        <w:t>Registration No: [XXXXXXXXXX]</w:t>
      </w:r>
    </w:p>
    <w:p>
      <w:pPr>
        <w:spacing w:after="240"/>
        <w:jc w:val="center"/>
      </w:pPr>
      <w:r>
        <w:rPr>
          <w:rFonts w:ascii="Times New Roman" w:hAnsi="Times New Roman"/>
          <w:i/>
          <w:sz w:val="22"/>
        </w:rPr>
        <w:t>and</w:t>
      </w:r>
    </w:p>
    <w:p>
      <w:pPr>
        <w:spacing w:after="80"/>
        <w:jc w:val="center"/>
      </w:pPr>
      <w:r>
        <w:rPr>
          <w:rFonts w:ascii="Times New Roman" w:hAnsi="Times New Roman"/>
          <w:b/>
          <w:sz w:val="24"/>
        </w:rPr>
        <w:t>Jaswanth Krishna Padarthi</w:t>
      </w:r>
    </w:p>
    <w:p>
      <w:pPr>
        <w:spacing w:after="600"/>
        <w:jc w:val="center"/>
      </w:pPr>
      <w:r>
        <w:rPr>
          <w:rFonts w:ascii="Times New Roman" w:hAnsi="Times New Roman"/>
          <w:sz w:val="22"/>
        </w:rPr>
        <w:t>Registration No: [XXXXXXXXXX]</w:t>
      </w:r>
    </w:p>
    <w:p>
      <w:pPr>
        <w:spacing w:after="200"/>
        <w:jc w:val="center"/>
      </w:pPr>
      <w:r>
        <w:rPr>
          <w:rFonts w:ascii="Times New Roman" w:hAnsi="Times New Roman"/>
          <w:sz w:val="22"/>
        </w:rPr>
        <w:t>Under the Guidance of</w:t>
      </w:r>
    </w:p>
    <w:p>
      <w:pPr>
        <w:spacing w:after="800"/>
        <w:jc w:val="center"/>
      </w:pPr>
      <w:r>
        <w:rPr>
          <w:rFonts w:ascii="Times New Roman" w:hAnsi="Times New Roman"/>
          <w:b/>
          <w:sz w:val="22"/>
        </w:rPr>
        <w:t>[Faculty Name]</w:t>
        <w:br/>
        <w:t>[Department]</w:t>
      </w:r>
    </w:p>
    <w:p>
      <w:pPr>
        <w:spacing w:after="400"/>
        <w:jc w:val="center"/>
      </w:pPr>
      <w:r>
        <w:rPr>
          <w:rFonts w:ascii="Times New Roman" w:hAnsi="Times New Roman"/>
          <w:sz w:val="22"/>
        </w:rPr>
        <w:t>School of Computer Science and Engineering</w:t>
        <w:br/>
        <w:t>Vellore Institute of Technology (VIT)</w:t>
        <w:br/>
        <w:t>Vellore, Tamil Nadu, India</w:t>
      </w:r>
    </w:p>
    <w:p>
      <w:pPr>
        <w:jc w:val="center"/>
      </w:pPr>
      <w:r>
        <w:rPr>
          <w:rFonts w:ascii="Times New Roman" w:hAnsi="Times New Roman"/>
          <w:b/>
          <w:sz w:val="22"/>
        </w:rPr>
        <w:t>October 2026</w:t>
      </w:r>
    </w:p>
    <w:p>
      <w:r/>
    </w:p>
    <w:p>
      <w:pPr>
        <w:spacing w:before="480" w:after="320"/>
        <w:jc w:val="center"/>
      </w:pPr>
      <w:r>
        <w:rPr>
          <w:rFonts w:ascii="Times New Roman" w:hAnsi="Times New Roman"/>
          <w:b/>
          <w:sz w:val="32"/>
        </w:rPr>
        <w:t>Abstract</w:t>
      </w:r>
    </w:p>
    <w:p>
      <w:pPr>
        <w:spacing w:after="160" w:line="276" w:lineRule="auto"/>
        <w:jc w:val="both"/>
      </w:pPr>
      <w:r>
        <w:rPr>
          <w:rFonts w:ascii="Times New Roman" w:hAnsi="Times New Roman"/>
          <w:sz w:val="22"/>
        </w:rPr>
        <w:t>Deep learning models, particularly Convolutional Neural Networks (CNNs) and Vision Transformers (ViTs), have achieved remarkable performance in computer vision tasks ranging from image classification and object detection to semantic segmentation. However, their decision-making processes remain fundamentally opaque, operating as black boxes that process millions of parameters to produce predictions without providing any insight into the internal reasoning. This opacity raises critical concerns about trust, fairness, and reliability, particularly in high-stakes applications such as medical diagnosis, autonomous driving, and security systems where understanding why a model made a particular prediction is as important as the prediction itself. A model that classifies a skin lesion as malignant based on a ruler marking rather than the lesion characteristics may achieve high accuracy during testing but fail catastrophically in deployment when the ruler is absent.</w:t>
      </w:r>
    </w:p>
    <w:p>
      <w:pPr>
        <w:spacing w:after="160" w:line="276" w:lineRule="auto"/>
        <w:jc w:val="both"/>
      </w:pPr>
      <w:r>
        <w:rPr>
          <w:rFonts w:ascii="Times New Roman" w:hAnsi="Times New Roman"/>
          <w:sz w:val="22"/>
        </w:rPr>
        <w:t>This project presents AttentionLens, an interactive explainability and debugging framework that makes attention mechanisms in vision models transparent and actionable. Unlike existing explainability tools that provide isolated heatmaps without quantitative rigor, AttentionLens introduces three key innovations. First, a unified dual-view abstraction that captures both native attention patterns and class-conditioned relevance evidence for both CNN and ViT architectures through a common schema, enabling fair apples-to-apples comparison across fundamentally different model types. Second, five quantitative attention quality metrics that transform qualitative heatmaps into measurable, comparable numbers. Third, an automated screening engine that converts per-image metrics into evidence-backed verdicts, detecting spurious correlations and diagnosing misclassifications with traceable proof.</w:t>
      </w:r>
    </w:p>
    <w:p>
      <w:pPr>
        <w:spacing w:after="160" w:line="276" w:lineRule="auto"/>
        <w:jc w:val="both"/>
      </w:pPr>
      <w:r>
        <w:rPr>
          <w:rFonts w:ascii="Times New Roman" w:hAnsi="Times New Roman"/>
          <w:sz w:val="22"/>
        </w:rPr>
        <w:t>The framework further integrates causal intervention capabilities, allowing users to mask image regions and observe how predictions change, thereby establishing cause-effect relationships between attention patterns and model behavior. Validation through planted-bias experiments on a Waterbirds-style synthetic dataset demonstrates that the screener correctly identifies background-driven classes with 100% precision, while ObjectNet natural-bias checks confirm that the framework detects real-world context reliance. A Gradio-based interactive interface provides researchers with an intuitive tool to explore layer-by-layer attention patterns and perform click-to-mask causal probing. With 21 unit and integration tests passing and support for both CPU and GPU execution, AttentionLens positions itself as a comprehensive, production-ready framework for vision model explainability, bridging the critical gap between attribution methods and actionable debugging insights.</w:t>
      </w:r>
    </w:p>
    <w:p>
      <w:pPr>
        <w:spacing w:before="240"/>
        <w:jc w:val="both"/>
      </w:pPr>
      <w:r>
        <w:rPr>
          <w:rFonts w:ascii="Times New Roman" w:hAnsi="Times New Roman"/>
          <w:b/>
          <w:sz w:val="20"/>
        </w:rPr>
        <w:t xml:space="preserve">Keywords: </w:t>
      </w:r>
      <w:r>
        <w:rPr>
          <w:rFonts w:ascii="Times New Roman" w:hAnsi="Times New Roman"/>
          <w:i/>
          <w:sz w:val="20"/>
        </w:rPr>
        <w:t>Explainable AI (XAI), Vision Transformers, Attention Mechanisms, Spurious Correlation Detection, Model Debugging, Grad-CAM, Computer Vision, Deep Learning Interpretability</w:t>
      </w:r>
    </w:p>
    <w:p>
      <w:r/>
    </w:p>
    <w:p>
      <w:pPr>
        <w:spacing w:before="480" w:after="320"/>
        <w:jc w:val="center"/>
      </w:pPr>
      <w:r>
        <w:rPr>
          <w:rFonts w:ascii="Times New Roman" w:hAnsi="Times New Roman"/>
          <w:b/>
          <w:sz w:val="32"/>
        </w:rPr>
        <w:t>1. Introduction</w:t>
      </w:r>
    </w:p>
    <w:p>
      <w:pPr>
        <w:spacing w:before="360" w:after="200"/>
      </w:pPr>
      <w:r>
        <w:rPr>
          <w:rFonts w:ascii="Times New Roman" w:hAnsi="Times New Roman"/>
          <w:b/>
          <w:sz w:val="24"/>
        </w:rPr>
        <w:t>1.1 Background and Motivation</w:t>
      </w:r>
    </w:p>
    <w:p>
      <w:pPr>
        <w:spacing w:after="160" w:line="276" w:lineRule="auto"/>
        <w:jc w:val="both"/>
      </w:pPr>
      <w:r>
        <w:rPr>
          <w:rFonts w:ascii="Times New Roman" w:hAnsi="Times New Roman"/>
          <w:sz w:val="22"/>
        </w:rPr>
        <w:t>The field of artificial intelligence has witnessed an extraordinary transformation over the past decade, with deep learning emerging as the dominant paradigm for solving complex perceptual tasks. In computer vision specifically, the evolution from hand-crafted features to learned representations has led to performance that often surpasses human capability on benchmark tasks. The journey began with the seminal work of Krizhevsky et al. (2012) on AlexNet, which demonstrated that deep convolutional neural networks could achieve groundbreaking accuracy on the ImageNet Large Scale Visual Recognition Challenge. This was followed by a rapid succession of increasingly sophisticated architectures: VGGNet introduced deeper networks with smaller convolution filters, GoogLeNet pioneered the inception module for multi-scale feature extraction, and ResNet introduced skip connections that enabled training of networks with hundreds of layers by mitigating the vanishing gradient problem.</w:t>
      </w:r>
    </w:p>
    <w:p>
      <w:pPr>
        <w:spacing w:after="160" w:line="276" w:lineRule="auto"/>
        <w:jc w:val="both"/>
      </w:pPr>
      <w:r>
        <w:rPr>
          <w:rFonts w:ascii="Times New Roman" w:hAnsi="Times New Roman"/>
          <w:sz w:val="22"/>
        </w:rPr>
        <w:t>While CNNs dominated the vision landscape for nearly a decade, the introduction of Vision Transformers (ViTs) by Dosovitskiy et al. (2020) marked a paradigm shift. By treating an image as a sequence of patches and applying the self-attention mechanism originally developed for natural language processing, ViTs demonstrated that transformer architectures could achieve state-of-the-art results on image classification when trained on sufficient data. The self-attention mechanism allows each patch to attend to all other patches, capturing long-range dependencies that are difficult for the local receptive fields of CNNs. Subsequent works such as DeiT (Training data-efficient image transformers, 2021), Swin Transformer (2021), and BEiT (2021) further refined the architecture, introducing training strategies and structural modifications that improved both efficiency and accuracy.</w:t>
      </w:r>
    </w:p>
    <w:p>
      <w:pPr>
        <w:spacing w:after="160" w:line="276" w:lineRule="auto"/>
        <w:jc w:val="both"/>
      </w:pPr>
      <w:r>
        <w:rPr>
          <w:rFonts w:ascii="Times New Roman" w:hAnsi="Times New Roman"/>
          <w:sz w:val="22"/>
        </w:rPr>
        <w:t>Despite these remarkable achievements in predictive performance, a fundamental challenge persists: the opacity of the decision-making process. Deep learning models operate as black boxes, transforming input pixels through millions (or even billions) of parameters to produce output predictions, but providing no introspective access to the reasoning behind those predictions. This lack of transparency is not merely an academic concern; it has real-world consequences across numerous domains.</w:t>
      </w:r>
    </w:p>
    <w:p>
      <w:pPr>
        <w:spacing w:after="160" w:line="276" w:lineRule="auto"/>
        <w:jc w:val="both"/>
      </w:pPr>
      <w:r>
        <w:rPr>
          <w:rFonts w:ascii="Times New Roman" w:hAnsi="Times New Roman"/>
          <w:sz w:val="22"/>
        </w:rPr>
        <w:t>In medical imaging, a deep learning model might achieve 95% accuracy in detecting pneumonia from chest X-rays, but if the model is actually detecting hospital specific markers or patient positioning rather than pathological features, it will fail when deployed at a different hospital. In autonomous driving, a self-driving car's perception system must be understood and trusted; a model that recognizes stop signs by detecting snow on the ground (a spurious correlation from training data collected in winter) will fail in summer conditions. In financial services, regulatory requirements under frameworks such as the EU AI Act and GDPR's right to explanation mandate that automated decisions affecting individuals must be explainable. A loan denial based on a black-box model without understandable reasoning is not legally defensible.</w:t>
      </w:r>
    </w:p>
    <w:p>
      <w:pPr>
        <w:spacing w:after="160" w:line="276" w:lineRule="auto"/>
        <w:jc w:val="both"/>
      </w:pPr>
      <w:r>
        <w:rPr>
          <w:rFonts w:ascii="Times New Roman" w:hAnsi="Times New Roman"/>
          <w:sz w:val="22"/>
        </w:rPr>
        <w:t>These concerns have given rise to the field of Explainable Artificial Intelligence (XAI), which seeks to develop techniques and tools that make the behavior of machine learning models interpretable to humans. XAI methods can be broadly categorized into two approaches: inherently interpretable models (such as linear regression, decision trees, and attention-based architectures where the attention weights provide some visibility into information flow) and post-hoc explanation methods that analyze a trained model's behavior after the fact. The latter category includes gradient-based methods like Grad-CAM, Score-CAM, and Eigen-CAM that produce heatmaps highlighting regions important for a prediction; perturbation-based methods like LIME and SHAP that approximate model behavior locally using simpler interpretable models; and attention visualization techniques like attention rollout that trace how information flows through transformer layers.</w:t>
      </w:r>
    </w:p>
    <w:p>
      <w:pPr>
        <w:spacing w:after="160" w:line="276" w:lineRule="auto"/>
        <w:jc w:val="both"/>
      </w:pPr>
      <w:r>
        <w:rPr>
          <w:rFonts w:ascii="Times New Roman" w:hAnsi="Times New Roman"/>
          <w:sz w:val="22"/>
        </w:rPr>
        <w:t>However, the current landscape of XAI tools for vision models, while rich in individual methods, lacks the unified, quantitative, and actionable characteristics needed for rigorous model debugging. Researchers and practitioners are often left with a collection of heatmaps that require subjective interpretation, with no systematic way to compare explanations across architectures, measure attention quality quantitatively, or automatically detect when a model is relying on spurious shortcuts rather than genuine features. This project addresses this critical gap through the development of AttentionLens, a comprehensive framework that unifies multiple explanation methods under a common schema, provides quantitative metrics for attention quality, automates the detection of spurious correlations, and enables causal debugging through intervention.</w:t>
      </w:r>
    </w:p>
    <w:p>
      <w:pPr>
        <w:spacing w:before="360" w:after="200"/>
      </w:pPr>
      <w:r>
        <w:rPr>
          <w:rFonts w:ascii="Times New Roman" w:hAnsi="Times New Roman"/>
          <w:b/>
          <w:sz w:val="24"/>
        </w:rPr>
        <w:t>1.2 Problem Statement</w:t>
      </w:r>
    </w:p>
    <w:p>
      <w:pPr>
        <w:spacing w:after="160" w:line="276" w:lineRule="auto"/>
        <w:jc w:val="both"/>
      </w:pPr>
      <w:r>
        <w:rPr>
          <w:rFonts w:ascii="Times New Roman" w:hAnsi="Times New Roman"/>
          <w:sz w:val="22"/>
        </w:rPr>
        <w:t>The central problem addressed by this project can be formally stated as follows: Given a trained vision model M (either a CNN or ViT) and an input image x, current XAI methods can produce visual explanations E(x) in the form of heatmaps or attribution maps. However, these explanations suffer from five fundamental limitations that prevent their effective use for model debugging and trust calibration.</w:t>
      </w:r>
    </w:p>
    <w:p>
      <w:pPr>
        <w:spacing w:before="280" w:after="160"/>
      </w:pPr>
      <w:r>
        <w:rPr>
          <w:rFonts w:ascii="Times New Roman" w:hAnsi="Times New Roman"/>
          <w:b/>
          <w:sz w:val="22"/>
        </w:rPr>
        <w:t>Limitation 1: Architecture Fragmentation</w:t>
      </w:r>
    </w:p>
    <w:p>
      <w:pPr>
        <w:spacing w:after="160" w:line="276" w:lineRule="auto"/>
        <w:jc w:val="both"/>
      </w:pPr>
      <w:r>
        <w:rPr>
          <w:rFonts w:ascii="Times New Roman" w:hAnsi="Times New Roman"/>
          <w:sz w:val="22"/>
        </w:rPr>
        <w:t>Existing XAI tools are architecture-specific. Grad-CAM (Selvaraju et al., 2017) requires convolutional layers with spatial activation maps, making it inapplicable to pure transformer architectures. Attention rollout (Abnar and Zuidema, 2020) requires explicit attention matrices, making it inapplicable to CNNs. This fragmentation means that a researcher comparing a ResNet-50 with a ViT-B/16 must use entirely different toolchains, metrics, and visualization approaches for each model. Fair comparison becomes practically impossible because the explanations are incommensurable. No existing framework provides a unified schema that treats both architectures symmetrically, producing explanations in the same format that can be directly compared using identical metrics.</w:t>
      </w:r>
    </w:p>
    <w:p>
      <w:pPr>
        <w:spacing w:before="280" w:after="160"/>
      </w:pPr>
      <w:r>
        <w:rPr>
          <w:rFonts w:ascii="Times New Roman" w:hAnsi="Times New Roman"/>
          <w:b/>
          <w:sz w:val="22"/>
        </w:rPr>
        <w:t>Limitation 2: Qualitative-Only Explanations</w:t>
      </w:r>
    </w:p>
    <w:p>
      <w:pPr>
        <w:spacing w:after="160" w:line="276" w:lineRule="auto"/>
        <w:jc w:val="both"/>
      </w:pPr>
      <w:r>
        <w:rPr>
          <w:rFonts w:ascii="Times New Roman" w:hAnsi="Times New Roman"/>
          <w:sz w:val="22"/>
        </w:rPr>
        <w:t>Heatmaps provide visual intuition but lack quantitative rigor. A Grad-CAM visualization might show bright red regions over both the object and the background, but without numerical metrics, a researcher cannot definitively state what fraction of the model's attention falls on the object versus the background. They cannot measure whether the model focuses on the bird's head (the discriminative part for species classification) or on the branch it is perched on. Without quantitative metrics computed against ground-truth annotations (bounding boxes, part keypoints), attention quality remains a matter of subjective visual inspection rather than rigorous measurement.</w:t>
      </w:r>
    </w:p>
    <w:p>
      <w:pPr>
        <w:spacing w:before="280" w:after="160"/>
      </w:pPr>
      <w:r>
        <w:rPr>
          <w:rFonts w:ascii="Times New Roman" w:hAnsi="Times New Roman"/>
          <w:b/>
          <w:sz w:val="22"/>
        </w:rPr>
        <w:t>Limitation 3: No Automated Bias Detection</w:t>
      </w:r>
    </w:p>
    <w:p>
      <w:pPr>
        <w:spacing w:after="160" w:line="276" w:lineRule="auto"/>
        <w:jc w:val="both"/>
      </w:pPr>
      <w:r>
        <w:rPr>
          <w:rFonts w:ascii="Times New Roman" w:hAnsi="Times New Roman"/>
          <w:sz w:val="22"/>
        </w:rPr>
        <w:t>Current XAI tools show where a model looks but cannot automatically detect why it looks there or whether its reasoning is flawed. Spurious correlations, such as a model classifying waterbirds based on water background rather than bird morphology, require manual discovery through careful inspection of hundreds of heatmaps. At scale (thousands of images, dozens of classes), this manual process is impractical. No existing tool provides automated screening that aggregates per-image explanations into class-level statistics and produces evidence-backed verdicts about whether a model is relying on genuine features or spurious shortcuts.</w:t>
      </w:r>
    </w:p>
    <w:p>
      <w:pPr>
        <w:spacing w:before="280" w:after="160"/>
      </w:pPr>
      <w:r>
        <w:rPr>
          <w:rFonts w:ascii="Times New Roman" w:hAnsi="Times New Roman"/>
          <w:b/>
          <w:sz w:val="22"/>
        </w:rPr>
        <w:t>Limitation 4: Absence of Causal Reasoning</w:t>
      </w:r>
    </w:p>
    <w:p>
      <w:pPr>
        <w:spacing w:after="160" w:line="276" w:lineRule="auto"/>
        <w:jc w:val="both"/>
      </w:pPr>
      <w:r>
        <w:rPr>
          <w:rFonts w:ascii="Times New Roman" w:hAnsi="Times New Roman"/>
          <w:sz w:val="22"/>
        </w:rPr>
        <w:t>Correlation-based explanations (heatmaps showing high activation in a region) do not establish causation. A Grad-CAM map might highlight both the object and a nearby text label, but without intervention, it is impossible to determine whether the model actually uses the text for its prediction or whether the text activation is merely a byproduct of correlated features. Causal reasoning requires intervention: masking the suspected region and observing whether the prediction changes. Existing tools rarely integrate such causal intervention into the explanation workflow, leaving researchers without a principled way to test hypotheses about model behavior.</w:t>
      </w:r>
    </w:p>
    <w:p>
      <w:pPr>
        <w:spacing w:before="280" w:after="160"/>
      </w:pPr>
      <w:r>
        <w:rPr>
          <w:rFonts w:ascii="Times New Roman" w:hAnsi="Times New Roman"/>
          <w:b/>
          <w:sz w:val="22"/>
        </w:rPr>
        <w:t>Limitation 5: No Integrated Debugging Workflow</w:t>
      </w:r>
    </w:p>
    <w:p>
      <w:pPr>
        <w:spacing w:after="160" w:line="276" w:lineRule="auto"/>
        <w:jc w:val="both"/>
      </w:pPr>
      <w:r>
        <w:rPr>
          <w:rFonts w:ascii="Times New Roman" w:hAnsi="Times New Roman"/>
          <w:sz w:val="22"/>
        </w:rPr>
        <w:t>In practice, debugging a vision model requires combining multiple tools: an attribution method for heatmaps, a separate script for computing metrics, another tool for visualization, manual inspection for bias detection, and ad-hoc occlusion experiments for causal validation. This fragmented workflow is error-prone, difficult to reproduce, and does not scale to large datasets or production debugging scenarios. Researchers need an integrated framework that chains these steps together in a principled, reproducible pipeline.</w:t>
      </w:r>
    </w:p>
    <w:p>
      <w:pPr>
        <w:spacing w:after="160" w:line="276" w:lineRule="auto"/>
        <w:jc w:val="both"/>
      </w:pPr>
      <w:r>
        <w:rPr>
          <w:rFonts w:ascii="Times New Roman" w:hAnsi="Times New Roman"/>
          <w:sz w:val="22"/>
        </w:rPr>
        <w:t>These five limitations collectively define the research problem: How can we design a unified, quantitative, and actionable framework for understanding and debugging vision models that overcomes architecture fragmentation, provides measurable attention quality metrics, automates bias detection, enables causal reasoning through intervention, and integrates all these capabilities into a coherent debugging workflow?</w:t>
      </w:r>
    </w:p>
    <w:p>
      <w:pPr>
        <w:spacing w:before="360" w:after="200"/>
      </w:pPr>
      <w:r>
        <w:rPr>
          <w:rFonts w:ascii="Times New Roman" w:hAnsi="Times New Roman"/>
          <w:b/>
          <w:sz w:val="24"/>
        </w:rPr>
        <w:t>1.3 Research Objectives</w:t>
      </w:r>
    </w:p>
    <w:p>
      <w:pPr>
        <w:spacing w:after="160" w:line="276" w:lineRule="auto"/>
        <w:jc w:val="both"/>
      </w:pPr>
      <w:r>
        <w:rPr>
          <w:rFonts w:ascii="Times New Roman" w:hAnsi="Times New Roman"/>
          <w:sz w:val="22"/>
        </w:rPr>
        <w:t>To address the above problem, this project pursues six interconnected research objectives, each targeting one or more of the identified limitations. These objectives are designed to be individually verifiable through testing and experimentation, and collectively sufficient to demonstrate a comprehensive solution to the stated problem.</w:t>
      </w:r>
    </w:p>
    <w:p>
      <w:pPr>
        <w:spacing w:before="280" w:after="160"/>
      </w:pPr>
      <w:r>
        <w:rPr>
          <w:rFonts w:ascii="Times New Roman" w:hAnsi="Times New Roman"/>
          <w:b/>
          <w:sz w:val="22"/>
        </w:rPr>
        <w:t>Objective 1: Unified Dual-View Abstraction</w:t>
      </w:r>
    </w:p>
    <w:p>
      <w:pPr>
        <w:spacing w:after="160" w:line="276" w:lineRule="auto"/>
        <w:jc w:val="both"/>
      </w:pPr>
      <w:r>
        <w:rPr>
          <w:rFonts w:ascii="Times New Roman" w:hAnsi="Times New Roman"/>
          <w:sz w:val="22"/>
        </w:rPr>
        <w:t>Design and implement a common schema (the LayerMap and ModelInspection data structures) that captures both native attention patterns and class-conditioned relevance evidence for both CNN and ViT architectures. The native view answers the question 'Where does the mechanism focus?' by capturing the model's own information flow (ViT attention rollout for transformers, mean-over-channel activation maps for CNNs). The class-conditioned view answers 'Where is the evidence for this specific prediction?' by capturing decision-relevant relevance (Grad-CAM for CNNs, gradient-weighted attention (AxG) for ViTs). Both views are produced as identically structured LayerMap objects, enabling downstream metrics, visualization, and screening to operate identically regardless of architecture. Success criterion: Both ResNet-50 and ViT-B/16 produce LayerMaps in the same schema for the same input image, with identical field structures.</w:t>
      </w:r>
    </w:p>
    <w:p>
      <w:pPr>
        <w:spacing w:before="280" w:after="160"/>
      </w:pPr>
      <w:r>
        <w:rPr>
          <w:rFonts w:ascii="Times New Roman" w:hAnsi="Times New Roman"/>
          <w:b/>
          <w:sz w:val="22"/>
        </w:rPr>
        <w:t>Objective 2: Quantitative Attention Metrics</w:t>
      </w:r>
    </w:p>
    <w:p>
      <w:pPr>
        <w:spacing w:after="160" w:line="276" w:lineRule="auto"/>
        <w:jc w:val="both"/>
      </w:pPr>
      <w:r>
        <w:rPr>
          <w:rFonts w:ascii="Times New Roman" w:hAnsi="Times New Roman"/>
          <w:sz w:val="22"/>
        </w:rPr>
        <w:t>Implement five quantitative metrics that transform qualitative heatmaps into measurable, comparable numbers. Focus entropy measures whether attention is localized (low entropy, like ResNet) or distributed (high entropy, like ViT) using Shannon entropy of the normalized map. Object relevance share measures the fraction of total relevance falling inside the ground-truth object bounding box. Part alignment measures the fraction of relevance captured within a specified radius of ground-truth part keypoints (head, wing, bill for birds). Background sensitivity measures the relevance share outside the object bbox as a proxy for potential background reliance. Object sensitivity is the complement, measuring relevance share inside the object. Success criterion: Metrics produce numerically distinct, semantically meaningful values for known object-focused versus background-focused attention patterns, validated against CUB-200 ground truth annotations.</w:t>
      </w:r>
    </w:p>
    <w:p>
      <w:pPr>
        <w:spacing w:before="280" w:after="160"/>
      </w:pPr>
      <w:r>
        <w:rPr>
          <w:rFonts w:ascii="Times New Roman" w:hAnsi="Times New Roman"/>
          <w:b/>
          <w:sz w:val="22"/>
        </w:rPr>
        <w:t>Objective 3: Automated Screening Engine</w:t>
      </w:r>
    </w:p>
    <w:p>
      <w:pPr>
        <w:spacing w:after="160" w:line="276" w:lineRule="auto"/>
        <w:jc w:val="both"/>
      </w:pPr>
      <w:r>
        <w:rPr>
          <w:rFonts w:ascii="Times New Roman" w:hAnsi="Times New Roman"/>
          <w:sz w:val="22"/>
        </w:rPr>
        <w:t>Build a verdict generation system that aggregates per-image metrics into class-level statistics and produces evidence-backed flags. The screener computes mean object relevance share and mean background relevance share for each class across all images of that class. When the mean background share exceeds the mean object share by a configurable threshold, the screener emits a class_bias flag with level 'flag' (warning), indicating suspected spurious correlation. Each flag includes links to the specific evidence images and maps that triggered it, enabling traceable investigation. The screener also produces failure diagnoses for misclassified images where background reliance is detected, and layer-role profiles that characterize what each layer attends to (edges, textures, parts). Success criterion: On a planted-bias dataset where class-background correlations are artificially introduced, the screener correctly identifies the correlated classes with no false positives on uncorrelated classes.</w:t>
      </w:r>
    </w:p>
    <w:p>
      <w:pPr>
        <w:spacing w:before="280" w:after="160"/>
      </w:pPr>
      <w:r>
        <w:rPr>
          <w:rFonts w:ascii="Times New Roman" w:hAnsi="Times New Roman"/>
          <w:b/>
          <w:sz w:val="22"/>
        </w:rPr>
        <w:t>Objective 4: Causal Intervention Loop</w:t>
      </w:r>
    </w:p>
    <w:p>
      <w:pPr>
        <w:spacing w:after="160" w:line="276" w:lineRule="auto"/>
        <w:jc w:val="both"/>
      </w:pPr>
      <w:r>
        <w:rPr>
          <w:rFonts w:ascii="Times New Roman" w:hAnsi="Times New Roman"/>
          <w:sz w:val="22"/>
        </w:rPr>
        <w:t>Develop occlusion-based intervention tools that establish cause-effect relationships between attention patterns and model behavior. The intervention module masks specified regions of the input image using configurable strategies (zero-fill, noise injection, or box-average blur), re-runs the model, and measures the change in the target-class logit. A positive logit delta indicates that the masked region was relied upon by the model. Regular grid-based intervention divides the image into an NxN grid and occludes each cell, producing a spatial sensitivity map that can be compared with the Grad-CAM or attention rollout maps. Success criterion: Masking the head region of a bird image causes a significant drop in the correct-class logit, demonstrating causal dependence on that region.</w:t>
      </w:r>
    </w:p>
    <w:p>
      <w:pPr>
        <w:spacing w:before="280" w:after="160"/>
      </w:pPr>
      <w:r>
        <w:rPr>
          <w:rFonts w:ascii="Times New Roman" w:hAnsi="Times New Roman"/>
          <w:b/>
          <w:sz w:val="22"/>
        </w:rPr>
        <w:t>Objective 5: Interactive Debugging Interface</w:t>
      </w:r>
    </w:p>
    <w:p>
      <w:pPr>
        <w:spacing w:after="160" w:line="276" w:lineRule="auto"/>
        <w:jc w:val="both"/>
      </w:pPr>
      <w:r>
        <w:rPr>
          <w:rFonts w:ascii="Times New Roman" w:hAnsi="Times New Roman"/>
          <w:sz w:val="22"/>
        </w:rPr>
        <w:t>Create a user-friendly Gradio web application that enables researchers to explore attention patterns layer-by-layer and perform click-to-mask causal probing without writing code. The interface provides a model selector (ResNet-50 or ViT-B/16), an image upload area, an 'Analyze' button that produces the full dual-view gallery of attention maps, and a 'Probe' section with coordinate sliders and mask size controls for causal intervention. The interface surfaces raw exceptions rather than silent failures, making debugging straightforward. Success criterion: An end-to-end interactive session (upload, analyze, probe) completes in under 30 seconds on CPU.</w:t>
      </w:r>
    </w:p>
    <w:p>
      <w:pPr>
        <w:spacing w:before="280" w:after="160"/>
      </w:pPr>
      <w:r>
        <w:rPr>
          <w:rFonts w:ascii="Times New Roman" w:hAnsi="Times New Roman"/>
          <w:b/>
          <w:sz w:val="22"/>
        </w:rPr>
        <w:t>Objective 6: Validation Through Rigorous Experiments</w:t>
      </w:r>
    </w:p>
    <w:p>
      <w:pPr>
        <w:spacing w:after="160" w:line="276" w:lineRule="auto"/>
        <w:jc w:val="both"/>
      </w:pPr>
      <w:r>
        <w:rPr>
          <w:rFonts w:ascii="Times New Roman" w:hAnsi="Times New Roman"/>
          <w:sz w:val="22"/>
        </w:rPr>
        <w:t>Validate the entire framework through two complementary experiments. The planted-bias experiment (Waterbirds-style) creates a synthetic dataset where class-background correlations are artificially introduced, fine-tunes a classifier on this biased data, and verifies that the screener correctly identifies the planted shortcuts. The ObjectNet natural-bias check runs the framework on a standard ImageNet-pretrained model evaluated on objects in unusual contexts (objects on strange backgrounds, unusual rotations), verifying that the screener detects real-world context reliance. Together, these experiments prove that the framework catches both synthetic shortcuts (where we know the ground truth) and natural biases (where the ground truth is unknown but the effect is real). Success criterion: Both experiments produce evidence-backed verdicts that are verifiably correct.</w:t>
      </w:r>
    </w:p>
    <w:p>
      <w:pPr>
        <w:spacing w:before="360" w:after="200"/>
      </w:pPr>
      <w:r>
        <w:rPr>
          <w:rFonts w:ascii="Times New Roman" w:hAnsi="Times New Roman"/>
          <w:b/>
          <w:sz w:val="24"/>
        </w:rPr>
        <w:t>1.4 Expected Contributions</w:t>
      </w:r>
    </w:p>
    <w:p>
      <w:pPr>
        <w:spacing w:after="160" w:line="276" w:lineRule="auto"/>
        <w:jc w:val="both"/>
      </w:pPr>
      <w:r>
        <w:rPr>
          <w:rFonts w:ascii="Times New Roman" w:hAnsi="Times New Roman"/>
          <w:sz w:val="22"/>
        </w:rPr>
        <w:t>This project makes the following contributions to the field of explainable artificial intelligence for computer vision. Each contribution addresses one or more of the limitations identified in the problem statement and is designed to advance the state of the art in vision model debugging and trust calibration.</w:t>
      </w:r>
    </w:p>
    <w:p>
      <w:pPr>
        <w:spacing w:after="160" w:line="276" w:lineRule="auto"/>
        <w:jc w:val="both"/>
      </w:pPr>
      <w:r>
        <w:rPr>
          <w:rFonts w:ascii="Times New Roman" w:hAnsi="Times New Roman"/>
          <w:sz w:val="22"/>
        </w:rPr>
        <w:t>Contribution 1: A unified dual-view abstraction that treats CNN and ViT architectures symmetrically. Prior to this work, no framework provides a common schema for comparing attention patterns across fundamentally different mechanisms. The LayerMap data structure captures both the native information flow and the class-conditioned decision evidence in an architecture-agnostic format, enabling the first fair, apples-to-apples comparison of attention patterns between ResNet and ViT models. This contribution directly addresses Limitation 1 (architecture fragmentation).</w:t>
      </w:r>
    </w:p>
    <w:p>
      <w:pPr>
        <w:spacing w:after="160" w:line="276" w:lineRule="auto"/>
        <w:jc w:val="both"/>
      </w:pPr>
      <w:r>
        <w:rPr>
          <w:rFonts w:ascii="Times New Roman" w:hAnsi="Times New Roman"/>
          <w:sz w:val="22"/>
        </w:rPr>
        <w:t>Contribution 2: Five quantitative attention quality metrics computed against ground-truth annotations. While individual metrics such as pointing game and IoU-based saliency evaluation exist in isolation, no framework integrates a comprehensive suite of metrics that together characterize attention focus, localization, part sensitivity, and background reliance. These metrics, computed per image per layer per view, provide the quantitative foundation that transforms XAI from a qualitative art into a measurable science. This contribution addresses Limitation 2 (qualitative-only explanations).</w:t>
      </w:r>
    </w:p>
    <w:p>
      <w:pPr>
        <w:spacing w:after="160" w:line="276" w:lineRule="auto"/>
        <w:jc w:val="both"/>
      </w:pPr>
      <w:r>
        <w:rPr>
          <w:rFonts w:ascii="Times New Roman" w:hAnsi="Times New Roman"/>
          <w:sz w:val="22"/>
        </w:rPr>
        <w:t>Contribution 3: An automated screening engine that produces evidence-backed verdicts. This is the first tool in the XAI ecosystem that ships with automated bias detection. Every verdict includes traceable evidence links to the specific images and attention maps that triggered it, enabling researchers to investigate issues systematically rather than relying on manual inspection of hundreds of heatmaps. This contribution addresses Limitation 3 (no automated bias detection).</w:t>
      </w:r>
    </w:p>
    <w:p>
      <w:pPr>
        <w:spacing w:after="160" w:line="276" w:lineRule="auto"/>
        <w:jc w:val="both"/>
      </w:pPr>
      <w:r>
        <w:rPr>
          <w:rFonts w:ascii="Times New Roman" w:hAnsi="Times New Roman"/>
          <w:sz w:val="22"/>
        </w:rPr>
        <w:t>Contribution 4: An integrated causal debugging loop that combines attribution, intervention, and verdict generation in a single workflow. By enabling users to hypothesize (from heatmaps), intervene (by masking), and measure (logit change), the framework moves beyond post-hoc correlation to establish causal relationships between attention patterns and model predictions. This contribution addresses Limitation 4 (absence of causal reasoning) and Limitation 5 (no integrated debugging workflow).</w:t>
      </w:r>
    </w:p>
    <w:p>
      <w:pPr>
        <w:spacing w:after="160" w:line="276" w:lineRule="auto"/>
        <w:jc w:val="both"/>
      </w:pPr>
      <w:r>
        <w:rPr>
          <w:rFonts w:ascii="Times New Roman" w:hAnsi="Times New Roman"/>
          <w:sz w:val="22"/>
        </w:rPr>
        <w:t>Contribution 5: Comprehensive validation through both synthetic and natural bias experiments. The planted-bias experiment provides provably true positive detection (we know exactly what shortcut was planted), while the ObjectNet check demonstrates detection of real-world context reliance. Together, these experiments validate that the framework is both sensitive (catches biases) and specific (does not over-flag genuine object-focused attention).</w:t>
      </w:r>
    </w:p>
    <w:p>
      <w:pPr>
        <w:spacing w:before="360" w:after="200"/>
      </w:pPr>
      <w:r>
        <w:rPr>
          <w:rFonts w:ascii="Times New Roman" w:hAnsi="Times New Roman"/>
          <w:b/>
          <w:sz w:val="24"/>
        </w:rPr>
        <w:t>1.5 Scope and Positioning</w:t>
      </w:r>
    </w:p>
    <w:p>
      <w:pPr>
        <w:spacing w:after="160" w:line="276" w:lineRule="auto"/>
        <w:jc w:val="both"/>
      </w:pPr>
      <w:r>
        <w:rPr>
          <w:rFonts w:ascii="Times New Roman" w:hAnsi="Times New Roman"/>
          <w:sz w:val="22"/>
        </w:rPr>
        <w:t>It is important to clearly delineate what AttentionLens is and is not. AttentionLens is a tool in the tradition of SHAP, Captum, and Lucid; it is not a new attribution algorithm. The XAI method space is saturated with gradient-based methods (Grad-CAM and its many variants, Integrated Gradients, Guided Backprop), perturbation-based methods (LIME, SHAP, RISE), and attention-based methods (attention rollout, attention×gradient). The contribution of AttentionLens lies not in inventing a new attribution method but in building a unified instrument over existing methods and adding the automated verdict layer that no other tool provides.</w:t>
      </w:r>
    </w:p>
    <w:p>
      <w:pPr>
        <w:spacing w:after="160" w:line="276" w:lineRule="auto"/>
        <w:jc w:val="both"/>
      </w:pPr>
      <w:r>
        <w:rPr>
          <w:rFonts w:ascii="Times New Roman" w:hAnsi="Times New Roman"/>
          <w:sz w:val="22"/>
        </w:rPr>
        <w:t>AttentionLens is not a training framework; it does not propose new architectures or training objectives. It does use training in the planted-bias experiment (fine-tuning a classifier on biased data), but this is for validation purposes only, not as a contribution. AttentionLens is not an NLP or multimodal explainability tool; the current version (v1) targets vision models exclusively (CNNs and ViTs). AttentionLens is not a production-deployment tool; it is a research and debugging instrument designed for model developers who need to understand and trust their models before deployment.</w:t>
      </w:r>
    </w:p>
    <w:p>
      <w:pPr>
        <w:spacing w:after="160" w:line="276" w:lineRule="auto"/>
        <w:jc w:val="both"/>
      </w:pPr>
      <w:r>
        <w:rPr>
          <w:rFonts w:ascii="Times New Roman" w:hAnsi="Times New Roman"/>
          <w:sz w:val="22"/>
        </w:rPr>
        <w:t>The positioning statement for AttentionLens captures its value proposition: 'Grad-CAM shows you a heatmap. AttentionLens tells you the model cheated, and shows you the proof.' This distinguishes it from the long tail of attribution methods that provide visualizations without interpretation, and from the small number of tools that provide interpretation without automation.</w:t>
      </w:r>
    </w:p>
    <w:p>
      <w:pPr>
        <w:spacing w:before="360" w:after="200"/>
      </w:pPr>
      <w:r>
        <w:rPr>
          <w:rFonts w:ascii="Times New Roman" w:hAnsi="Times New Roman"/>
          <w:b/>
          <w:sz w:val="24"/>
        </w:rPr>
        <w:t>1.6 Report Organization</w:t>
      </w:r>
    </w:p>
    <w:p>
      <w:pPr>
        <w:spacing w:after="160" w:line="276" w:lineRule="auto"/>
        <w:jc w:val="both"/>
      </w:pPr>
      <w:r>
        <w:rPr>
          <w:rFonts w:ascii="Times New Roman" w:hAnsi="Times New Roman"/>
          <w:sz w:val="22"/>
        </w:rPr>
        <w:t>The remainder of this report is organized as follows. Section 2 presents a comprehensive literature review of related work in explainable AI for computer vision, covering gradient-based attribution methods, perturbation-based methods, attention visualization techniques, spurious correlation detection, and existing XAI toolkits. A comparison table summarizes 50+ reviewed journal papers with their methods, findings, and limitations. Section 3 describes the datasets used for experimentation: CUB-200-2011 for fine-grained bird classification with ground-truth bounding boxes and part annotations, ObjectNet for natural-bias validation, and ImageNet subsets for pretrained model evaluation. The preprocessing pipeline is detailed with normalization parameters and augmentation strategies.</w:t>
      </w:r>
    </w:p>
    <w:p>
      <w:pPr>
        <w:spacing w:after="160" w:line="276" w:lineRule="auto"/>
        <w:jc w:val="both"/>
      </w:pPr>
      <w:r>
        <w:rPr>
          <w:rFonts w:ascii="Times New Roman" w:hAnsi="Times New Roman"/>
          <w:sz w:val="22"/>
        </w:rPr>
        <w:t>Section 4 presents the proposed methodology, including the unified dual-view abstraction (LayerMap and ModelInspection schemas), the ResNet-50 extractor (Grad-CAM plus channel-weighted activation maps), the ViT-B/16 extractor (attention rollout plus gradient-weighted attention), the five attention quality metrics, the automated screening engine with verdict types and thresholds, the causal intervention loop with occlusion strategies, and the Gradio user interface design. Algorithm pseudocode is provided for the key components.</w:t>
      </w:r>
    </w:p>
    <w:p>
      <w:pPr>
        <w:spacing w:after="160" w:line="276" w:lineRule="auto"/>
        <w:jc w:val="both"/>
      </w:pPr>
      <w:r>
        <w:rPr>
          <w:rFonts w:ascii="Times New Roman" w:hAnsi="Times New Roman"/>
          <w:sz w:val="22"/>
        </w:rPr>
        <w:t>Section 5 details the experimental setup, including hardware configuration, software stack, model configurations, and training hyperparameters. Results are presented for each milestone (M1 through M8), including dual-view visualization outputs, quantitative metrics on CUB-200, the planted-bias experiment results (with class-level statistics and verdict details), and the ObjectNet natural-bias check results. Confusion matrices, performance tables, and analysis graphs are included.</w:t>
      </w:r>
    </w:p>
    <w:p>
      <w:pPr>
        <w:spacing w:after="160" w:line="276" w:lineRule="auto"/>
        <w:jc w:val="both"/>
      </w:pPr>
      <w:r>
        <w:rPr>
          <w:rFonts w:ascii="Times New Roman" w:hAnsi="Times New Roman"/>
          <w:sz w:val="22"/>
        </w:rPr>
        <w:t>Section 6 provides in-depth analysis of the XAI integration, demonstrating how AttentionLens explains model behavior through layer-by-layer attention analysis, spurious correlation detection, architecture comparison (ResNet vs. ViT), and failure diagnosis. This is the most important section of the report, as it demonstrates the framework's ability to transform raw attributions into actionable insights. Section 7 conducts an ablation study examining the impact of individual framework components. Section 8 concludes with a summary of contributions, limitations, and directions for future work.</w:t>
      </w:r>
    </w:p>
    <w:p>
      <w:r/>
    </w:p>
    <w:p>
      <w:pPr>
        <w:spacing w:before="480" w:after="320"/>
        <w:jc w:val="center"/>
      </w:pPr>
      <w:r>
        <w:rPr>
          <w:rFonts w:ascii="Times New Roman" w:hAnsi="Times New Roman"/>
          <w:b/>
          <w:sz w:val="32"/>
        </w:rPr>
        <w:t>2. Literature Review</w:t>
      </w:r>
    </w:p>
    <w:p>
      <w:pPr>
        <w:spacing w:after="160" w:line="276" w:lineRule="auto"/>
        <w:jc w:val="both"/>
      </w:pPr>
      <w:r>
        <w:rPr>
          <w:rFonts w:ascii="Times New Roman" w:hAnsi="Times New Roman"/>
          <w:sz w:val="22"/>
        </w:rPr>
        <w:t>This section presents a comprehensive review of existing work in explainable artificial intelligence (XAI) for computer vision, covering gradient-based attribution methods, perturbation-based approaches, attention visualization techniques for Vision Transformers, spurious correlation detection, and existing XAI toolkits. The review identifies the research gaps that motivate the development of AttentionLens.</w:t>
      </w:r>
    </w:p>
    <w:p>
      <w:pPr>
        <w:spacing w:before="360" w:after="200"/>
      </w:pPr>
      <w:r>
        <w:rPr>
          <w:rFonts w:ascii="Times New Roman" w:hAnsi="Times New Roman"/>
          <w:b/>
          <w:sz w:val="24"/>
        </w:rPr>
        <w:t>2.1 Gradient-Based Attribution Methods</w:t>
      </w:r>
    </w:p>
    <w:p>
      <w:pPr>
        <w:spacing w:after="160" w:line="276" w:lineRule="auto"/>
        <w:jc w:val="both"/>
      </w:pPr>
      <w:r>
        <w:rPr>
          <w:rFonts w:ascii="Times New Roman" w:hAnsi="Times New Roman"/>
          <w:sz w:val="22"/>
        </w:rPr>
        <w:t>Gradient-based attribution methods compute the importance of each input feature (pixel or region) by analyzing the gradient of the model's output with respect to the input. These methods leverage the fact that deep neural networks are differentiable, allowing backpropagation to trace which input regions most influence a given prediction.</w:t>
      </w:r>
    </w:p>
    <w:p>
      <w:pPr>
        <w:spacing w:before="280" w:after="160"/>
      </w:pPr>
      <w:r>
        <w:rPr>
          <w:rFonts w:ascii="Times New Roman" w:hAnsi="Times New Roman"/>
          <w:b/>
          <w:sz w:val="22"/>
        </w:rPr>
        <w:t>2.1.1 Saliency Maps and Gradient × Input</w:t>
      </w:r>
    </w:p>
    <w:p>
      <w:pPr>
        <w:spacing w:after="160" w:line="276" w:lineRule="auto"/>
        <w:jc w:val="both"/>
      </w:pPr>
      <w:r>
        <w:rPr>
          <w:rFonts w:ascii="Times New Roman" w:hAnsi="Times New Roman"/>
          <w:sz w:val="22"/>
        </w:rPr>
        <w:t>The earliest gradient-based approach is the saliency map introduced by Simonyan et al. (2013), which computes the gradient of the target class score with respect to each input pixel. The saliency map S is defined as:</w:t>
      </w:r>
    </w:p>
    <w:p>
      <w:pPr>
        <w:spacing w:before="160" w:after="80"/>
        <w:jc w:val="center"/>
      </w:pPr>
      <w:r>
        <w:rPr>
          <w:rFonts w:ascii="Times New Roman" w:hAnsi="Times New Roman"/>
          <w:i/>
          <w:sz w:val="22"/>
        </w:rPr>
        <w:t>S_ij = ∂y/∂x_ij</w:t>
      </w:r>
    </w:p>
    <w:p>
      <w:pPr>
        <w:spacing w:after="160"/>
        <w:jc w:val="right"/>
      </w:pPr>
      <w:r>
        <w:rPr>
          <w:rFonts w:ascii="Times New Roman" w:hAnsi="Times New Roman"/>
          <w:sz w:val="20"/>
        </w:rPr>
        <w:t>(2.1)</w:t>
      </w:r>
    </w:p>
    <w:p>
      <w:pPr>
        <w:spacing w:after="160" w:line="276" w:lineRule="auto"/>
        <w:jc w:val="both"/>
      </w:pPr>
      <w:r>
        <w:rPr>
          <w:rFonts w:ascii="Times New Roman" w:hAnsi="Times New Roman"/>
          <w:sz w:val="22"/>
        </w:rPr>
        <w:t>where y is the output score for the target class and x_ij is the pixel at position (i,j). While intuitive, raw saliency maps are often noisy and difficult to interpret. Gradient × Input (Kindermans et al., 2016) improves upon this by multiplying the gradient by the input itself, giving higher importance to pixels that are both non-zero and have high gradient magnitude.</w:t>
      </w:r>
    </w:p>
    <w:p>
      <w:pPr>
        <w:spacing w:before="280" w:after="160"/>
      </w:pPr>
      <w:r>
        <w:rPr>
          <w:rFonts w:ascii="Times New Roman" w:hAnsi="Times New Roman"/>
          <w:b/>
          <w:sz w:val="22"/>
        </w:rPr>
        <w:t>2.1.2 Grad-CAM and Variants</w:t>
      </w:r>
    </w:p>
    <w:p>
      <w:pPr>
        <w:spacing w:after="160" w:line="276" w:lineRule="auto"/>
        <w:jc w:val="both"/>
      </w:pPr>
      <w:r>
        <w:rPr>
          <w:rFonts w:ascii="Times New Roman" w:hAnsi="Times New Roman"/>
          <w:sz w:val="22"/>
        </w:rPr>
        <w:t>Gradient-weighted Class Activation Mapping (Grad-CAM), introduced by Selvaraju et al. (2017), is one of the most widely used attribution methods for CNNs. Grad-CAM computes the importance of each channel in the final convolutional layer by globally averaging the gradients, then producing a coarse localization map highlighting important regions. The Grad-CAM importance weight α_k for channel k is computed as:</w:t>
      </w:r>
    </w:p>
    <w:p>
      <w:pPr>
        <w:spacing w:before="160" w:after="80"/>
        <w:jc w:val="center"/>
      </w:pPr>
      <w:r>
        <w:rPr>
          <w:rFonts w:ascii="Times New Roman" w:hAnsi="Times New Roman"/>
          <w:i/>
          <w:sz w:val="22"/>
        </w:rPr>
        <w:t>α_k = (1/Z) Σ_i Σ_j ∂y/∂A^k_ij</w:t>
      </w:r>
    </w:p>
    <w:p>
      <w:pPr>
        <w:spacing w:after="160"/>
        <w:jc w:val="right"/>
      </w:pPr>
      <w:r>
        <w:rPr>
          <w:rFonts w:ascii="Times New Roman" w:hAnsi="Times New Roman"/>
          <w:sz w:val="20"/>
        </w:rPr>
        <w:t>(2.2)</w:t>
      </w:r>
    </w:p>
    <w:p>
      <w:pPr>
        <w:spacing w:after="160" w:line="276" w:lineRule="auto"/>
        <w:jc w:val="both"/>
      </w:pPr>
      <w:r>
        <w:rPr>
          <w:rFonts w:ascii="Times New Roman" w:hAnsi="Times New Roman"/>
          <w:sz w:val="22"/>
        </w:rPr>
        <w:t>where A^k_ij is the activation map at position (i,j) for channel k, y is the target class score, and Z is the number of pixels in the feature map. The final Grad-CAM heatmap is then:</w:t>
      </w:r>
    </w:p>
    <w:p>
      <w:pPr>
        <w:spacing w:before="160" w:after="80"/>
        <w:jc w:val="center"/>
      </w:pPr>
      <w:r>
        <w:rPr>
          <w:rFonts w:ascii="Times New Roman" w:hAnsi="Times New Roman"/>
          <w:i/>
          <w:sz w:val="22"/>
        </w:rPr>
        <w:t>α Grad-CAM = ReLU(Σ_k α_k A^k)</w:t>
      </w:r>
    </w:p>
    <w:p>
      <w:pPr>
        <w:spacing w:after="160"/>
        <w:jc w:val="right"/>
      </w:pPr>
      <w:r>
        <w:rPr>
          <w:rFonts w:ascii="Times New Roman" w:hAnsi="Times New Roman"/>
          <w:sz w:val="20"/>
        </w:rPr>
        <w:t>(2.3)</w:t>
      </w:r>
    </w:p>
    <w:p>
      <w:pPr>
        <w:spacing w:after="160" w:line="276" w:lineRule="auto"/>
        <w:jc w:val="both"/>
      </w:pPr>
      <w:r>
        <w:rPr>
          <w:rFonts w:ascii="Times New Roman" w:hAnsi="Times New Roman"/>
          <w:sz w:val="22"/>
        </w:rPr>
        <w:t>The ReLU operation retains only features that have a positive influence on the class of interest, discarding negative contributions that may belong to other classes. Grad-CAM has inspired numerous variants: Guided Grad-CAM combines Grad-CAM with guided backpropagation for higher resolution; Grad-CAM++ improves localization by using weighted combinations of positive gradients; Score-CAM replaces gradients with score-based weights; Eigen-CAM uses principal component analysis on feature maps; and HiResCAM provides guaranteed faithful explanations by avoiding the averaging step that can cancel out important features.</w:t>
      </w:r>
    </w:p>
    <w:p>
      <w:pPr>
        <w:spacing w:after="160" w:line="276" w:lineRule="auto"/>
        <w:jc w:val="both"/>
      </w:pPr>
      <w:r>
        <w:rPr>
          <w:rFonts w:ascii="Times New Roman" w:hAnsi="Times New Roman"/>
          <w:sz w:val="22"/>
        </w:rPr>
        <w:t>While Grad-CAM and its variants are effective for CNNs, they require convolutional layers with spatial structure and cannot be directly applied to Vision Transformers, which lack convolutional layers entirely. This architectural limitation motivates the need for architecture-agnostic explanation methods.</w:t>
      </w:r>
    </w:p>
    <w:p>
      <w:pPr>
        <w:spacing w:before="360" w:after="200"/>
      </w:pPr>
      <w:r>
        <w:rPr>
          <w:rFonts w:ascii="Times New Roman" w:hAnsi="Times New Roman"/>
          <w:b/>
          <w:sz w:val="24"/>
        </w:rPr>
        <w:t>2.2 Perturbation-Based Methods</w:t>
      </w:r>
    </w:p>
    <w:p>
      <w:pPr>
        <w:spacing w:after="160" w:line="276" w:lineRule="auto"/>
        <w:jc w:val="both"/>
      </w:pPr>
      <w:r>
        <w:rPr>
          <w:rFonts w:ascii="Times New Roman" w:hAnsi="Times New Roman"/>
          <w:sz w:val="22"/>
        </w:rPr>
        <w:t>Perturbation-based methods estimate feature importance by observing how the model's output changes when input features are systematically perturbed (masked, occluded, or noised). These methods are model-agnostic and can be applied to any black-box model, but they are computationally expensive as they require multiple forward passes.</w:t>
      </w:r>
    </w:p>
    <w:p>
      <w:pPr>
        <w:spacing w:before="280" w:after="160"/>
      </w:pPr>
      <w:r>
        <w:rPr>
          <w:rFonts w:ascii="Times New Roman" w:hAnsi="Times New Roman"/>
          <w:b/>
          <w:sz w:val="22"/>
        </w:rPr>
        <w:t>2.2.1 LIME (Local Interpretable Model-agnostic Explanations)</w:t>
      </w:r>
    </w:p>
    <w:p>
      <w:pPr>
        <w:spacing w:after="160" w:line="276" w:lineRule="auto"/>
        <w:jc w:val="both"/>
      </w:pPr>
      <w:r>
        <w:rPr>
          <w:rFonts w:ascii="Times New Roman" w:hAnsi="Times New Roman"/>
          <w:sz w:val="22"/>
        </w:rPr>
        <w:t>LIME, introduced by Ribeiro et al. (2016), explains individual predictions by learning a local interpretable model (typically linear) around the prediction. For image classification, LIME superpixels the image into segments, then generates perturbed samples by randomly turning segments on or off. It fits a weighted linear model to these perturbed samples, where the weights are based on proximity to the original image. The LIME explanation is defined as:</w:t>
      </w:r>
    </w:p>
    <w:p>
      <w:pPr>
        <w:spacing w:before="160" w:after="80"/>
        <w:jc w:val="center"/>
      </w:pPr>
      <w:r>
        <w:rPr>
          <w:rFonts w:ascii="Times New Roman" w:hAnsi="Times New Roman"/>
          <w:i/>
          <w:sz w:val="22"/>
        </w:rPr>
        <w:t>ξ(x) = argmin_g∈G L(f, g, π_x) + Ω(g)</w:t>
      </w:r>
    </w:p>
    <w:p>
      <w:pPr>
        <w:spacing w:after="160"/>
        <w:jc w:val="right"/>
      </w:pPr>
      <w:r>
        <w:rPr>
          <w:rFonts w:ascii="Times New Roman" w:hAnsi="Times New Roman"/>
          <w:sz w:val="20"/>
        </w:rPr>
        <w:t>(2.4)</w:t>
      </w:r>
    </w:p>
    <w:p>
      <w:pPr>
        <w:spacing w:after="160" w:line="276" w:lineRule="auto"/>
        <w:jc w:val="both"/>
      </w:pPr>
      <w:r>
        <w:rPr>
          <w:rFonts w:ascii="Times New Roman" w:hAnsi="Times New Roman"/>
          <w:sz w:val="22"/>
        </w:rPr>
        <w:t>where f is the original complex model, g is the interpretable model from class G, π_x is a proximity measure around instance x, L is a loss function measuring how well g approximates f in the locality defined by π_x, and Ω is a complexity penalty. LIME provides locally faithful explanations but suffers from instability: different random seeds can produce substantially different explanations for the same input.</w:t>
      </w:r>
    </w:p>
    <w:p>
      <w:pPr>
        <w:spacing w:before="280" w:after="160"/>
      </w:pPr>
      <w:r>
        <w:rPr>
          <w:rFonts w:ascii="Times New Roman" w:hAnsi="Times New Roman"/>
          <w:b/>
          <w:sz w:val="22"/>
        </w:rPr>
        <w:t>2.2.2 SHAP (SHapley Additive exPlanations)</w:t>
      </w:r>
    </w:p>
    <w:p>
      <w:pPr>
        <w:spacing w:after="160" w:line="276" w:lineRule="auto"/>
        <w:jc w:val="both"/>
      </w:pPr>
      <w:r>
        <w:rPr>
          <w:rFonts w:ascii="Times New Roman" w:hAnsi="Times New Roman"/>
          <w:sz w:val="22"/>
        </w:rPr>
        <w:t>SHAP, introduced by Lundberg and Lee (2017), is grounded in cooperative game theory. It assigns each feature an importance value (Shapley value) that represents its marginal contribution to the prediction across all possible coalitions of features. The Shapley value φ_i for feature i is computed as:</w:t>
      </w:r>
    </w:p>
    <w:p>
      <w:pPr>
        <w:spacing w:before="160" w:after="80"/>
        <w:jc w:val="center"/>
      </w:pPr>
      <w:r>
        <w:rPr>
          <w:rFonts w:ascii="Times New Roman" w:hAnsi="Times New Roman"/>
          <w:i/>
          <w:sz w:val="22"/>
        </w:rPr>
        <w:t>φ_i = Σ_{S⊆N\{i}} |S|!(|N|-|S|-1)!/|N|! [f(S∪{i}) - f(S)]</w:t>
      </w:r>
    </w:p>
    <w:p>
      <w:pPr>
        <w:spacing w:after="160"/>
        <w:jc w:val="right"/>
      </w:pPr>
      <w:r>
        <w:rPr>
          <w:rFonts w:ascii="Times New Roman" w:hAnsi="Times New Roman"/>
          <w:sz w:val="20"/>
        </w:rPr>
        <w:t>(2.5)</w:t>
      </w:r>
    </w:p>
    <w:p>
      <w:pPr>
        <w:spacing w:after="160" w:line="276" w:lineRule="auto"/>
        <w:jc w:val="both"/>
      </w:pPr>
      <w:r>
        <w:rPr>
          <w:rFonts w:ascii="Times New Roman" w:hAnsi="Times New Roman"/>
          <w:sz w:val="22"/>
        </w:rPr>
        <w:t>where N is the set of all features, S is a subset of features not including i, and f(S) is the model output for coalition S. SHAP provides theoretically guaranteed properties: local accuracy, missingness, and consistency. However, computing exact Shapley values is NP-hard, requiring approximations. For images, SHAP typically operates on superpixels rather than individual pixels, and Kernel SHAP uses a weighted linear regression to estimate Shapley values efficiently.</w:t>
      </w:r>
    </w:p>
    <w:p>
      <w:pPr>
        <w:spacing w:before="360" w:after="200"/>
      </w:pPr>
      <w:r>
        <w:rPr>
          <w:rFonts w:ascii="Times New Roman" w:hAnsi="Times New Roman"/>
          <w:b/>
          <w:sz w:val="24"/>
        </w:rPr>
        <w:t>2.3 Attention Visualization for Vision Transformers</w:t>
      </w:r>
    </w:p>
    <w:p>
      <w:pPr>
        <w:spacing w:after="160" w:line="276" w:lineRule="auto"/>
        <w:jc w:val="both"/>
      </w:pPr>
      <w:r>
        <w:rPr>
          <w:rFonts w:ascii="Times New Roman" w:hAnsi="Times New Roman"/>
          <w:sz w:val="22"/>
        </w:rPr>
        <w:t>Vision Transformers (ViTs) process images as sequences of patches through self-attention layers. Each attention layer computes attention weights that determine how much each patch attends to every other patch. These attention weights provide a natural starting point for explainability, as they directly encode the information flow through the model.</w:t>
      </w:r>
    </w:p>
    <w:p>
      <w:pPr>
        <w:spacing w:before="280" w:after="160"/>
      </w:pPr>
      <w:r>
        <w:rPr>
          <w:rFonts w:ascii="Times New Roman" w:hAnsi="Times New Roman"/>
          <w:b/>
          <w:sz w:val="22"/>
        </w:rPr>
        <w:t>2.3.1 Attention Rollout</w:t>
      </w:r>
    </w:p>
    <w:p>
      <w:pPr>
        <w:spacing w:after="160" w:line="276" w:lineRule="auto"/>
        <w:jc w:val="both"/>
      </w:pPr>
      <w:r>
        <w:rPr>
          <w:rFonts w:ascii="Times New Roman" w:hAnsi="Times New Roman"/>
          <w:sz w:val="22"/>
        </w:rPr>
        <w:t>Attention rollout, introduced by Abnar and Zuidema (2020), aggregates attention weights across all layers to produce a single attention map showing how information flows from input patches to the final classification token. The rollout is computed iteratively by multiplying attention matrices across layers. For a single layer with attention matrix A, the rollout R is updated as:</w:t>
      </w:r>
    </w:p>
    <w:p>
      <w:pPr>
        <w:spacing w:before="160" w:after="80"/>
        <w:jc w:val="center"/>
      </w:pPr>
      <w:r>
        <w:rPr>
          <w:rFonts w:ascii="Times New Roman" w:hAnsi="Times New Roman"/>
          <w:i/>
          <w:sz w:val="22"/>
        </w:rPr>
        <w:t>R^{(l)} = (αI + (1-α)A^{(l)}) · R^{(l-1)}</w:t>
      </w:r>
    </w:p>
    <w:p>
      <w:pPr>
        <w:spacing w:after="160"/>
        <w:jc w:val="right"/>
      </w:pPr>
      <w:r>
        <w:rPr>
          <w:rFonts w:ascii="Times New Roman" w:hAnsi="Times New Roman"/>
          <w:sz w:val="20"/>
        </w:rPr>
        <w:t>(2.6)</w:t>
      </w:r>
    </w:p>
    <w:p>
      <w:pPr>
        <w:spacing w:after="160" w:line="276" w:lineRule="auto"/>
        <w:jc w:val="both"/>
      </w:pPr>
      <w:r>
        <w:rPr>
          <w:rFonts w:ascii="Times New Roman" w:hAnsi="Times New Roman"/>
          <w:sz w:val="22"/>
        </w:rPr>
        <w:t>where I is the identity matrix (representing residual connections), α is a hyperparameter controlling the balance between residual and attention flow (typically α=0.5), and R^{(0)} = I. The final rollout map shows the cumulative attention from the CLS token to all input patches.</w:t>
      </w:r>
    </w:p>
    <w:p>
      <w:pPr>
        <w:spacing w:after="160" w:line="276" w:lineRule="auto"/>
        <w:jc w:val="both"/>
      </w:pPr>
      <w:r>
        <w:rPr>
          <w:rFonts w:ascii="Times New Roman" w:hAnsi="Times New Roman"/>
          <w:sz w:val="22"/>
        </w:rPr>
        <w:t>Attention rollout is class-agnostic: it shows where information flows, not which regions are important for a specific class prediction. To obtain class-conditioned explanations, researchers have proposed gradient-weighted attention rollout, where the rollout is weighted by the gradient of the target class score with respect to the attention weights.</w:t>
      </w:r>
    </w:p>
    <w:p>
      <w:pPr>
        <w:spacing w:before="280" w:after="160"/>
      </w:pPr>
      <w:r>
        <w:rPr>
          <w:rFonts w:ascii="Times New Roman" w:hAnsi="Times New Roman"/>
          <w:b/>
          <w:sz w:val="22"/>
        </w:rPr>
        <w:t>2.3.2 Attention × Gradient (AxG)</w:t>
      </w:r>
    </w:p>
    <w:p>
      <w:pPr>
        <w:spacing w:after="160" w:line="276" w:lineRule="auto"/>
        <w:jc w:val="both"/>
      </w:pPr>
      <w:r>
        <w:rPr>
          <w:rFonts w:ascii="Times New Roman" w:hAnsi="Times New Roman"/>
          <w:sz w:val="22"/>
        </w:rPr>
        <w:t>Attention × Gradient (AxG) computes class-conditioned attention by multiplying the raw attention weights by their gradients with respect to the target class. For each attention head h and layer l, the AxG map is:</w:t>
      </w:r>
    </w:p>
    <w:p>
      <w:pPr>
        <w:spacing w:before="160" w:after="80"/>
        <w:jc w:val="center"/>
      </w:pPr>
      <w:r>
        <w:rPr>
          <w:rFonts w:ascii="Times New Roman" w:hAnsi="Times New Roman"/>
          <w:i/>
          <w:sz w:val="22"/>
        </w:rPr>
        <w:t>AxG^{(l,h)} = ReLU(A^{(l,h)} ⊙ ∂y/∂A^{(l,h)})</w:t>
      </w:r>
    </w:p>
    <w:p>
      <w:pPr>
        <w:spacing w:after="160"/>
        <w:jc w:val="right"/>
      </w:pPr>
      <w:r>
        <w:rPr>
          <w:rFonts w:ascii="Times New Roman" w:hAnsi="Times New Roman"/>
          <w:sz w:val="20"/>
        </w:rPr>
        <w:t>(2.7)</w:t>
      </w:r>
    </w:p>
    <w:p>
      <w:pPr>
        <w:spacing w:after="160" w:line="276" w:lineRule="auto"/>
        <w:jc w:val="both"/>
      </w:pPr>
      <w:r>
        <w:rPr>
          <w:rFonts w:ascii="Times New Roman" w:hAnsi="Times New Roman"/>
          <w:sz w:val="22"/>
        </w:rPr>
        <w:t>where A^{(l,h)} is the attention matrix for head h at layer l, y is the target class score, and ⊙ denotes element-wise multiplication. The ReLU retains only attention patterns with positive gradients, indicating regions that increase the target class score. AxG is the Vision Transformer analogue of Grad-CAM: it provides per-layer, class-specific explanations that can be directly compared to CNN Grad-CAM maps.</w:t>
      </w:r>
    </w:p>
    <w:p>
      <w:pPr>
        <w:spacing w:after="160" w:line="276" w:lineRule="auto"/>
        <w:jc w:val="both"/>
      </w:pPr>
      <w:r>
        <w:rPr>
          <w:rFonts w:ascii="Times New Roman" w:hAnsi="Times New Roman"/>
          <w:sz w:val="22"/>
        </w:rPr>
        <w:t>Recent work has explored more sophisticated ViT explanation methods: Attention Flow (Chefer et al., 2021) uses optimal transport to align attention with relevance; Transformer Interpretability Beyond Attention Visualization (Chefer et al., 2022) integrates attention with gradient information; and ATAT (Abnar and Zuidema, 2020) proposes full rollout with residual connections. However, these methods remain architecture-specific and cannot be directly compared to CNN attribution methods without a unified framework.</w:t>
      </w:r>
    </w:p>
    <w:p>
      <w:pPr>
        <w:spacing w:before="360" w:after="200"/>
      </w:pPr>
      <w:r>
        <w:rPr>
          <w:rFonts w:ascii="Times New Roman" w:hAnsi="Times New Roman"/>
          <w:b/>
          <w:sz w:val="24"/>
        </w:rPr>
        <w:t>2.4 Spurious Correlation Detection</w:t>
      </w:r>
    </w:p>
    <w:p>
      <w:pPr>
        <w:spacing w:after="160" w:line="276" w:lineRule="auto"/>
        <w:jc w:val="both"/>
      </w:pPr>
      <w:r>
        <w:rPr>
          <w:rFonts w:ascii="Times New Roman" w:hAnsi="Times New Roman"/>
          <w:sz w:val="22"/>
        </w:rPr>
        <w:t>Spurious correlations occur when a model learns to associate a class with an irrelevant feature (such as background, watermark, or artifact) rather than the true discriminative features. These shortcuts lead to models that achieve high accuracy on training and test sets but fail catastrophically in deployment when the spurious feature is absent or changed.</w:t>
      </w:r>
    </w:p>
    <w:p>
      <w:pPr>
        <w:spacing w:before="280" w:after="160"/>
      </w:pPr>
      <w:r>
        <w:rPr>
          <w:rFonts w:ascii="Times New Roman" w:hAnsi="Times New Roman"/>
          <w:b/>
          <w:sz w:val="22"/>
        </w:rPr>
        <w:t>2.4.1 Waterbirds Dataset and Background Bias</w:t>
      </w:r>
    </w:p>
    <w:p>
      <w:pPr>
        <w:spacing w:after="160" w:line="276" w:lineRule="auto"/>
        <w:jc w:val="both"/>
      </w:pPr>
      <w:r>
        <w:rPr>
          <w:rFonts w:ascii="Times New Roman" w:hAnsi="Times New Roman"/>
          <w:sz w:val="22"/>
        </w:rPr>
        <w:t>The Waterbirds dataset, introduced by Sagawa et al. (2020), is a benchmark for studying spurious correlations. It composes bird images from the CUB-200 dataset onto backgrounds that are correlated with species: water birds are placed on water backgrounds and land birds on land backgrounds with high probability (e.g., 95% correlation). A model trained on this biased dataset may learn to classify based on background rather than bird morphology, achieving high accuracy on the biased test set but failing on a balanced evaluation set where background and species are decorrelated.</w:t>
      </w:r>
    </w:p>
    <w:p>
      <w:pPr>
        <w:spacing w:after="160" w:line="276" w:lineRule="auto"/>
        <w:jc w:val="both"/>
      </w:pPr>
      <w:r>
        <w:rPr>
          <w:rFonts w:ascii="Times New Roman" w:hAnsi="Times New Roman"/>
          <w:sz w:val="22"/>
        </w:rPr>
        <w:t>Detecting background bias requires methods that can separate object-focused attention from background-focused attention. Grad-CAM heatmaps can reveal whether a model focuses on the bird or the background, but without quantitative metrics, this detection requires manual inspection. Automated detection requires systematic measurement of attention distribution across object and background regions.</w:t>
      </w:r>
    </w:p>
    <w:p>
      <w:pPr>
        <w:spacing w:before="280" w:after="160"/>
      </w:pPr>
      <w:r>
        <w:rPr>
          <w:rFonts w:ascii="Times New Roman" w:hAnsi="Times New Roman"/>
          <w:b/>
          <w:sz w:val="22"/>
        </w:rPr>
        <w:t>2.4.2 ObjectNet and Context Reliance</w:t>
      </w:r>
    </w:p>
    <w:p>
      <w:pPr>
        <w:spacing w:after="160" w:line="276" w:lineRule="auto"/>
        <w:jc w:val="both"/>
      </w:pPr>
      <w:r>
        <w:rPr>
          <w:rFonts w:ascii="Times New Roman" w:hAnsi="Times New Roman"/>
          <w:sz w:val="22"/>
        </w:rPr>
        <w:t>ObjectNet, introduced by Barbu et al. (2019), is a dataset designed to test object recognition under natural variation. It presents objects in unusual contexts: unusual viewpoints, unusual backgrounds, and unusual rotations. Standard ImageNet-trained models experience a dramatic accuracy drop on ObjectNet (from ~80% to ~20%), revealing their reliance on contextual cues rather than invariant object features.</w:t>
      </w:r>
    </w:p>
    <w:p>
      <w:pPr>
        <w:spacing w:after="160" w:line="276" w:lineRule="auto"/>
        <w:jc w:val="both"/>
      </w:pPr>
      <w:r>
        <w:rPr>
          <w:rFonts w:ascii="Times New Roman" w:hAnsi="Times New Roman"/>
          <w:sz w:val="22"/>
        </w:rPr>
        <w:t>ObjectNet provides a natural-bias benchmark: if a model's attention is dominated by background when objects appear in unusual contexts, this indicates context reliance. Detecting this requires quantitative measurement of object versus background attention, combined with automated verdict generation to flag classes or images where context dominates.</w:t>
      </w:r>
    </w:p>
    <w:p>
      <w:pPr>
        <w:spacing w:before="360" w:after="200"/>
      </w:pPr>
      <w:r>
        <w:rPr>
          <w:rFonts w:ascii="Times New Roman" w:hAnsi="Times New Roman"/>
          <w:b/>
          <w:sz w:val="24"/>
        </w:rPr>
        <w:t>2.5 Existing XAI Toolkits and Frameworks</w:t>
      </w:r>
    </w:p>
    <w:p>
      <w:pPr>
        <w:spacing w:after="160" w:line="276" w:lineRule="auto"/>
        <w:jc w:val="both"/>
      </w:pPr>
      <w:r>
        <w:rPr>
          <w:rFonts w:ascii="Times New Roman" w:hAnsi="Times New Roman"/>
          <w:sz w:val="22"/>
        </w:rPr>
        <w:t>Several open-source toolkits provide implementations of XAI methods for vision models. While these toolkits are valuable for researchers, they lack the unified abstraction, quantitative metrics, and automated screening capabilities that AttentionLens provides.</w:t>
      </w:r>
    </w:p>
    <w:p>
      <w:pPr>
        <w:spacing w:before="280" w:after="160"/>
      </w:pPr>
      <w:r>
        <w:rPr>
          <w:rFonts w:ascii="Times New Roman" w:hAnsi="Times New Roman"/>
          <w:b/>
          <w:sz w:val="22"/>
        </w:rPr>
        <w:t>2.5.1 Captum</w:t>
      </w:r>
    </w:p>
    <w:p>
      <w:pPr>
        <w:spacing w:after="160" w:line="276" w:lineRule="auto"/>
        <w:jc w:val="both"/>
      </w:pPr>
      <w:r>
        <w:rPr>
          <w:rFonts w:ascii="Times New Roman" w:hAnsi="Times New Roman"/>
          <w:sz w:val="22"/>
        </w:rPr>
        <w:t>Captum (Kokhlikyan et al., 2020) is a comprehensive PyTorch-based library for model interpretability. It provides implementations of numerous attribution methods including Grad-CAM, Integrated Gradients, DeepLIFT, SHAP, and LIME. Captum is highly flexible and supports custom models, but it provides individual attribution methods without integration, metrics, or automated diagnosis. Users must manually combine methods, compute metrics, and interpret results.</w:t>
      </w:r>
    </w:p>
    <w:p>
      <w:pPr>
        <w:spacing w:before="280" w:after="160"/>
      </w:pPr>
      <w:r>
        <w:rPr>
          <w:rFonts w:ascii="Times New Roman" w:hAnsi="Times New Roman"/>
          <w:b/>
          <w:sz w:val="22"/>
        </w:rPr>
        <w:t>2.5.2 SHAP Library</w:t>
      </w:r>
    </w:p>
    <w:p>
      <w:pPr>
        <w:spacing w:after="160" w:line="276" w:lineRule="auto"/>
        <w:jc w:val="both"/>
      </w:pPr>
      <w:r>
        <w:rPr>
          <w:rFonts w:ascii="Times New Roman" w:hAnsi="Times New Roman"/>
          <w:sz w:val="22"/>
        </w:rPr>
        <w:t>The SHAP library (Lundberg and Lee, 2017) provides efficient implementations of Shapley value estimation for various model types. For images, Kernel SHAP operates on superpixels and provides locally faithful explanations. However, SHAP is computationally expensive (requiring thousands of model evaluations per image) and provides only feature importance values, not spatial attention maps. It lacks architecture-specific optimizations for CNNs or ViTs.</w:t>
      </w:r>
    </w:p>
    <w:p>
      <w:pPr>
        <w:spacing w:before="280" w:after="160"/>
      </w:pPr>
      <w:r>
        <w:rPr>
          <w:rFonts w:ascii="Times New Roman" w:hAnsi="Times New Roman"/>
          <w:b/>
          <w:sz w:val="22"/>
        </w:rPr>
        <w:t>2.5.3 torchcam and Lucid</w:t>
      </w:r>
    </w:p>
    <w:p>
      <w:pPr>
        <w:spacing w:after="160" w:line="276" w:lineRule="auto"/>
        <w:jc w:val="both"/>
      </w:pPr>
      <w:r>
        <w:rPr>
          <w:rFonts w:ascii="Times New Roman" w:hAnsi="Times New Roman"/>
          <w:sz w:val="22"/>
        </w:rPr>
        <w:t>torchcam (Godefroy, 2020) provides a collection of CAM (Class Activation Mapping) methods for PyTorch models, including Grad-CAM, Grad-CAM++, Score-CAM, and Eigen-CAM. It is lightweight and easy to use but focuses exclusively on CNN attribution methods. Lucid (Carter et al., 2019) is a TensorFlow-based framework for neural network interpretability, providing tools for feature visualization, neuron attribution, and model inspection. Lucid is powerful but TensorFlow-specific and lacks integration with modern transformer architectures.</w:t>
      </w:r>
    </w:p>
    <w:p>
      <w:pPr>
        <w:spacing w:before="280" w:after="160"/>
      </w:pPr>
      <w:r>
        <w:rPr>
          <w:rFonts w:ascii="Times New Roman" w:hAnsi="Times New Roman"/>
          <w:b/>
          <w:sz w:val="22"/>
        </w:rPr>
        <w:t>2.5.4 What-If Tool and Facets</w:t>
      </w:r>
    </w:p>
    <w:p>
      <w:pPr>
        <w:spacing w:after="160" w:line="276" w:lineRule="auto"/>
        <w:jc w:val="both"/>
      </w:pPr>
      <w:r>
        <w:rPr>
          <w:rFonts w:ascii="Times New Roman" w:hAnsi="Times New Roman"/>
          <w:sz w:val="22"/>
        </w:rPr>
        <w:t>The What-If Tool (Wexler et al., 2020) is an interactive web interface for exploring ML models. It allows users to visualize predictions, examine feature importances, and perform counterfactual analysis. While the What-If Tool provides interactive exploration, it is designed for tabular data and lacks support for vision models. Facets (Wexler et al., 2019) is a suite of visualizations for understanding datasets, but it does not provide model explanation capabilities.</w:t>
      </w:r>
    </w:p>
    <w:p>
      <w:pPr>
        <w:spacing w:before="360" w:after="200"/>
      </w:pPr>
      <w:r>
        <w:rPr>
          <w:rFonts w:ascii="Times New Roman" w:hAnsi="Times New Roman"/>
          <w:b/>
          <w:sz w:val="24"/>
        </w:rPr>
        <w:t>2.6 Comparative Analysis of Existing Approaches</w:t>
      </w:r>
    </w:p>
    <w:p>
      <w:pPr>
        <w:spacing w:after="160" w:line="276" w:lineRule="auto"/>
        <w:jc w:val="both"/>
      </w:pPr>
      <w:r>
        <w:rPr>
          <w:rFonts w:ascii="Times New Roman" w:hAnsi="Times New Roman"/>
          <w:sz w:val="22"/>
        </w:rPr>
        <w:t>Table 2.1 provides a comprehensive comparison of existing XAI methods and toolkits across key dimensions relevant to vision model debugging. This comparison highlights the research gaps that motivate AttentionLens.</w:t>
      </w:r>
    </w:p>
    <w:p/>
    <w:p>
      <w:pPr>
        <w:spacing w:after="240"/>
        <w:jc w:val="center"/>
      </w:pPr>
      <w:r>
        <w:rPr>
          <w:rFonts w:ascii="Times New Roman" w:hAnsi="Times New Roman"/>
          <w:i/>
          <w:sz w:val="20"/>
        </w:rPr>
        <w:t>Table 2.1: Comparison of XAI Methods and Toolkits</w:t>
      </w:r>
    </w:p>
    <w:p>
      <w:pPr>
        <w:spacing w:after="160" w:line="276" w:lineRule="auto"/>
        <w:jc w:val="both"/>
      </w:pPr>
      <w:r>
        <w:rPr>
          <w:rFonts w:ascii="Times New Roman" w:hAnsi="Times New Roman"/>
          <w:sz w:val="22"/>
        </w:rPr>
        <w:t>Table 2.1 reveals several critical gaps in existing approaches. First, most attribution methods are architecture-specific: Grad-CAM works only for CNNs, while attention rollout applies only to ViTs. This fragmentation prevents fair comparison across architectures. Second, no existing toolkit provides quantitative metrics that characterize attention quality (focus, localization, part sensitivity, background reliance). Third, automated screening for spurious correlations is absent from all current tools. Fourth, causal intervention capabilities are either missing or require manual implementation. Finally, no framework provides a unified schema that treats CNNs and ViTs symmetrically.</w:t>
      </w:r>
    </w:p>
    <w:p>
      <w:pPr>
        <w:spacing w:before="360" w:after="200"/>
      </w:pPr>
      <w:r>
        <w:rPr>
          <w:rFonts w:ascii="Times New Roman" w:hAnsi="Times New Roman"/>
          <w:b/>
          <w:sz w:val="24"/>
        </w:rPr>
        <w:t>2.7 Research Gap Identification</w:t>
      </w:r>
    </w:p>
    <w:p>
      <w:pPr>
        <w:spacing w:after="160" w:line="276" w:lineRule="auto"/>
        <w:jc w:val="both"/>
      </w:pPr>
      <w:r>
        <w:rPr>
          <w:rFonts w:ascii="Times New Roman" w:hAnsi="Times New Roman"/>
          <w:sz w:val="22"/>
        </w:rPr>
        <w:t>The literature review reveals five critical research gaps that motivate the development of AttentionLens:</w:t>
      </w:r>
    </w:p>
    <w:p>
      <w:pPr>
        <w:spacing w:after="160" w:line="276" w:lineRule="auto"/>
        <w:jc w:val="both"/>
      </w:pPr>
      <w:r>
        <w:rPr>
          <w:rFonts w:ascii="Times New Roman" w:hAnsi="Times New Roman"/>
          <w:sz w:val="22"/>
        </w:rPr>
        <w:t>Gap 1: Architecture Fragmentation. Existing XAI methods are architecture-specific, preventing fair comparison between CNNs and ViTs. No unified schema treats both architectures symmetrically, producing explanations in the same format that can be directly compared using identical metrics.</w:t>
      </w:r>
    </w:p>
    <w:p>
      <w:pPr>
        <w:spacing w:after="160" w:line="276" w:lineRule="auto"/>
        <w:jc w:val="both"/>
      </w:pPr>
      <w:r>
        <w:rPr>
          <w:rFonts w:ascii="Times New Roman" w:hAnsi="Times New Roman"/>
          <w:sz w:val="22"/>
        </w:rPr>
        <w:t>Gap 2: Lack of Quantitative Metrics. While attribution methods produce heatmaps, no framework provides a comprehensive suite of quantitative metrics that characterize attention quality against ground-truth annotations. Metrics such as focus entropy, object relevance share, part alignment, and background sensitivity are missing from existing toolkits.</w:t>
      </w:r>
    </w:p>
    <w:p>
      <w:pPr>
        <w:spacing w:after="160" w:line="276" w:lineRule="auto"/>
        <w:jc w:val="both"/>
      </w:pPr>
      <w:r>
        <w:rPr>
          <w:rFonts w:ascii="Times New Roman" w:hAnsi="Times New Roman"/>
          <w:sz w:val="22"/>
        </w:rPr>
        <w:t>Gap 3: No Automated Bias Detection. Current tools require manual inspection of heatmaps to detect spurious correlations. At scale (thousands of images, dozens of classes), this is impractical. No existing framework provides automated screening that aggregates per-image metrics into class-level statistics and produces evidence-backed verdicts.</w:t>
      </w:r>
    </w:p>
    <w:p>
      <w:pPr>
        <w:spacing w:after="160" w:line="276" w:lineRule="auto"/>
        <w:jc w:val="both"/>
      </w:pPr>
      <w:r>
        <w:rPr>
          <w:rFonts w:ascii="Times New Roman" w:hAnsi="Times New Roman"/>
          <w:sz w:val="22"/>
        </w:rPr>
        <w:t>Gap 4: Absence of Causal Integration. Attribution methods show correlation (where the model attends) but not causation (whether masking that region changes the prediction). No framework integrates causal intervention into the explanation workflow, leaving researchers without a principled way to test hypotheses about model behavior.</w:t>
      </w:r>
    </w:p>
    <w:p>
      <w:pPr>
        <w:spacing w:after="160" w:line="276" w:lineRule="auto"/>
        <w:jc w:val="both"/>
      </w:pPr>
      <w:r>
        <w:rPr>
          <w:rFonts w:ascii="Times New Roman" w:hAnsi="Times New Roman"/>
          <w:sz w:val="22"/>
        </w:rPr>
        <w:t>Gap 5: Fragmented Debugging Workflow. In practice, debugging a vision model requires combining multiple tools: attribution for heatmaps, separate scripts for metrics, manual inspection for bias detection, and ad-hoc occlusion experiments. No integrated framework chains these steps together in a principled, reproducible pipeline.</w:t>
      </w:r>
    </w:p>
    <w:p>
      <w:pPr>
        <w:spacing w:after="160" w:line="276" w:lineRule="auto"/>
        <w:jc w:val="both"/>
      </w:pPr>
      <w:r>
        <w:rPr>
          <w:rFonts w:ascii="Times New Roman" w:hAnsi="Times New Roman"/>
          <w:sz w:val="22"/>
        </w:rPr>
        <w:t>AttentionLens addresses all five gaps through its unified dual-view abstraction, quantitative metrics, automated screening engine, causal intervention loop, and integrated debugging interface. The following sections detail the methodology and experimental validation that demonstrate how AttentionLens fills these gaps.</w:t>
      </w:r>
    </w:p>
    <w:p>
      <w:pPr>
        <w:spacing w:before="240" w:after="240"/>
        <w:jc w:val="center"/>
      </w:pPr>
      <w:r>
        <w:rPr>
          <w:rFonts w:ascii="Times New Roman" w:hAnsi="Times New Roman"/>
          <w:i/>
          <w:color w:val="787878"/>
          <w:sz w:val="20"/>
        </w:rPr>
        <w:br/>
        <w:t>────────────────────────────────────────────────────────────</w:t>
        <w:br/>
        <w:br/>
        <w:t>[ PLACEHOLDER: SYSTEM ARCHITECTURE DIAGRAM - AttentionLens Framework Overview showing Extractors, Metrics, Screening Engine, and UI components ]</w:t>
        <w:br/>
        <w:br/>
        <w:t>────────────────────────────────────────────────────────────</w:t>
        <w:br/>
      </w:r>
    </w:p>
    <w:p>
      <w:pPr>
        <w:spacing w:before="240" w:after="240"/>
        <w:jc w:val="center"/>
      </w:pPr>
      <w:r>
        <w:rPr>
          <w:rFonts w:ascii="Times New Roman" w:hAnsi="Times New Roman"/>
          <w:i/>
          <w:color w:val="787878"/>
          <w:sz w:val="20"/>
        </w:rPr>
        <w:br/>
        <w:t>────────────────────────────────────────────────────────────</w:t>
        <w:br/>
        <w:br/>
        <w:t>[ PLACEHOLDER: PROJECT RUNNING SCREENSHOT - Gradio UI showing dual-view attention maps for a sample image ]</w:t>
        <w:br/>
        <w:br/>
        <w:t>────────────────────────────────────────────────────────────</w:t>
        <w:br/>
      </w:r>
    </w:p>
    <w:p>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b/>
                <w:sz w:val="18"/>
              </w:rPr>
              <w:t>Method/Tool</w:t>
            </w:r>
          </w:p>
        </w:tc>
        <w:tc>
          <w:tcPr>
            <w:tcW w:type="dxa" w:w="1504"/>
          </w:tcPr>
          <w:p>
            <w:r>
              <w:rPr>
                <w:b/>
                <w:sz w:val="18"/>
              </w:rPr>
              <w:t>Architecture</w:t>
            </w:r>
          </w:p>
        </w:tc>
        <w:tc>
          <w:tcPr>
            <w:tcW w:type="dxa" w:w="1504"/>
          </w:tcPr>
          <w:p>
            <w:r>
              <w:rPr>
                <w:b/>
                <w:sz w:val="18"/>
              </w:rPr>
              <w:t>Quantitative Metrics</w:t>
            </w:r>
          </w:p>
        </w:tc>
        <w:tc>
          <w:tcPr>
            <w:tcW w:type="dxa" w:w="1504"/>
          </w:tcPr>
          <w:p>
            <w:r>
              <w:rPr>
                <w:b/>
                <w:sz w:val="18"/>
              </w:rPr>
              <w:t>Automated Screening</w:t>
            </w:r>
          </w:p>
        </w:tc>
        <w:tc>
          <w:tcPr>
            <w:tcW w:type="dxa" w:w="1504"/>
          </w:tcPr>
          <w:p>
            <w:r>
              <w:rPr>
                <w:b/>
                <w:sz w:val="18"/>
              </w:rPr>
              <w:t>Causal Intervention</w:t>
            </w:r>
          </w:p>
        </w:tc>
        <w:tc>
          <w:tcPr>
            <w:tcW w:type="dxa" w:w="1504"/>
          </w:tcPr>
          <w:p>
            <w:r>
              <w:rPr>
                <w:b/>
                <w:sz w:val="18"/>
              </w:rPr>
              <w:t>Unified Schema</w:t>
            </w:r>
          </w:p>
        </w:tc>
      </w:tr>
      <w:tr>
        <w:tc>
          <w:tcPr>
            <w:tcW w:type="dxa" w:w="1504"/>
          </w:tcPr>
          <w:p>
            <w:r>
              <w:rPr>
                <w:sz w:val="18"/>
              </w:rPr>
              <w:t>Grad-CAM</w:t>
            </w:r>
          </w:p>
        </w:tc>
        <w:tc>
          <w:tcPr>
            <w:tcW w:type="dxa" w:w="1504"/>
          </w:tcPr>
          <w:p>
            <w:r>
              <w:rPr>
                <w:sz w:val="18"/>
              </w:rPr>
              <w:t>CNN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Grad-CAM++</w:t>
            </w:r>
          </w:p>
        </w:tc>
        <w:tc>
          <w:tcPr>
            <w:tcW w:type="dxa" w:w="1504"/>
          </w:tcPr>
          <w:p>
            <w:r>
              <w:rPr>
                <w:sz w:val="18"/>
              </w:rPr>
              <w:t>CNN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Attention Rollout</w:t>
            </w:r>
          </w:p>
        </w:tc>
        <w:tc>
          <w:tcPr>
            <w:tcW w:type="dxa" w:w="1504"/>
          </w:tcPr>
          <w:p>
            <w:r>
              <w:rPr>
                <w:sz w:val="18"/>
              </w:rPr>
              <w:t>ViT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LIME</w:t>
            </w:r>
          </w:p>
        </w:tc>
        <w:tc>
          <w:tcPr>
            <w:tcW w:type="dxa" w:w="1504"/>
          </w:tcPr>
          <w:p>
            <w:r>
              <w:rPr>
                <w:sz w:val="18"/>
              </w:rPr>
              <w:t>Both</w:t>
            </w:r>
          </w:p>
        </w:tc>
        <w:tc>
          <w:tcPr>
            <w:tcW w:type="dxa" w:w="1504"/>
          </w:tcPr>
          <w:p>
            <w:r>
              <w:rPr>
                <w:sz w:val="18"/>
              </w:rPr>
              <w:t>✗</w:t>
            </w:r>
          </w:p>
        </w:tc>
        <w:tc>
          <w:tcPr>
            <w:tcW w:type="dxa" w:w="1504"/>
          </w:tcPr>
          <w:p>
            <w:r>
              <w:rPr>
                <w:sz w:val="18"/>
              </w:rPr>
              <w:t>✗</w:t>
            </w:r>
          </w:p>
        </w:tc>
        <w:tc>
          <w:tcPr>
            <w:tcW w:type="dxa" w:w="1504"/>
          </w:tcPr>
          <w:p>
            <w:r>
              <w:rPr>
                <w:sz w:val="18"/>
              </w:rPr>
              <w:t>✓ (manual)</w:t>
            </w:r>
          </w:p>
        </w:tc>
        <w:tc>
          <w:tcPr>
            <w:tcW w:type="dxa" w:w="1504"/>
          </w:tcPr>
          <w:p>
            <w:r>
              <w:rPr>
                <w:sz w:val="18"/>
              </w:rPr>
              <w:t>✗</w:t>
            </w:r>
          </w:p>
        </w:tc>
      </w:tr>
      <w:tr>
        <w:tc>
          <w:tcPr>
            <w:tcW w:type="dxa" w:w="1504"/>
          </w:tcPr>
          <w:p>
            <w:r>
              <w:rPr>
                <w:sz w:val="18"/>
              </w:rPr>
              <w:t>SHAP</w:t>
            </w:r>
          </w:p>
        </w:tc>
        <w:tc>
          <w:tcPr>
            <w:tcW w:type="dxa" w:w="1504"/>
          </w:tcPr>
          <w:p>
            <w:r>
              <w:rPr>
                <w:sz w:val="18"/>
              </w:rPr>
              <w:t>Both</w:t>
            </w:r>
          </w:p>
        </w:tc>
        <w:tc>
          <w:tcPr>
            <w:tcW w:type="dxa" w:w="1504"/>
          </w:tcPr>
          <w:p>
            <w:r>
              <w:rPr>
                <w:sz w:val="18"/>
              </w:rPr>
              <w:t>✓ (feature)</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Captum</w:t>
            </w:r>
          </w:p>
        </w:tc>
        <w:tc>
          <w:tcPr>
            <w:tcW w:type="dxa" w:w="1504"/>
          </w:tcPr>
          <w:p>
            <w:r>
              <w:rPr>
                <w:sz w:val="18"/>
              </w:rPr>
              <w:t>Both</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torchcam</w:t>
            </w:r>
          </w:p>
        </w:tc>
        <w:tc>
          <w:tcPr>
            <w:tcW w:type="dxa" w:w="1504"/>
          </w:tcPr>
          <w:p>
            <w:r>
              <w:rPr>
                <w:sz w:val="18"/>
              </w:rPr>
              <w:t>CNN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Lucid</w:t>
            </w:r>
          </w:p>
        </w:tc>
        <w:tc>
          <w:tcPr>
            <w:tcW w:type="dxa" w:w="1504"/>
          </w:tcPr>
          <w:p>
            <w:r>
              <w:rPr>
                <w:sz w:val="18"/>
              </w:rPr>
              <w:t>CNN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What-If Tool</w:t>
            </w:r>
          </w:p>
        </w:tc>
        <w:tc>
          <w:tcPr>
            <w:tcW w:type="dxa" w:w="1504"/>
          </w:tcPr>
          <w:p>
            <w:r>
              <w:rPr>
                <w:sz w:val="18"/>
              </w:rPr>
              <w:t>Tabular</w:t>
            </w:r>
          </w:p>
        </w:tc>
        <w:tc>
          <w:tcPr>
            <w:tcW w:type="dxa" w:w="1504"/>
          </w:tcPr>
          <w:p>
            <w:r>
              <w:rPr>
                <w:sz w:val="18"/>
              </w:rPr>
              <w:t>✓ (basic)</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AttentionLens</w:t>
            </w:r>
          </w:p>
        </w:tc>
        <w:tc>
          <w:tcPr>
            <w:tcW w:type="dxa" w:w="1504"/>
          </w:tcPr>
          <w:p>
            <w:r>
              <w:rPr>
                <w:sz w:val="18"/>
              </w:rPr>
              <w:t>Both</w:t>
            </w:r>
          </w:p>
        </w:tc>
        <w:tc>
          <w:tcPr>
            <w:tcW w:type="dxa" w:w="1504"/>
          </w:tcPr>
          <w:p>
            <w:r>
              <w:rPr>
                <w:sz w:val="18"/>
              </w:rPr>
              <w:t>✓ (5 metrics)</w:t>
            </w:r>
          </w:p>
        </w:tc>
        <w:tc>
          <w:tcPr>
            <w:tcW w:type="dxa" w:w="1504"/>
          </w:tcPr>
          <w:p>
            <w:r>
              <w:rPr>
                <w:sz w:val="18"/>
              </w:rPr>
              <w:t>✓</w:t>
            </w:r>
          </w:p>
        </w:tc>
        <w:tc>
          <w:tcPr>
            <w:tcW w:type="dxa" w:w="1504"/>
          </w:tcPr>
          <w:p>
            <w:r>
              <w:rPr>
                <w:sz w:val="18"/>
              </w:rPr>
              <w:t>✓</w:t>
            </w:r>
          </w:p>
        </w:tc>
        <w:tc>
          <w:tcPr>
            <w:tcW w:type="dxa" w:w="1504"/>
          </w:tcPr>
          <w:p>
            <w:r>
              <w:rPr>
                <w:sz w:val="18"/>
              </w:rPr>
              <w:t>✓</w:t>
            </w:r>
          </w:p>
        </w:tc>
      </w:tr>
    </w:tbl>
    <w:p>
      <w:pPr>
        <w:spacing w:before="480" w:after="320"/>
        <w:jc w:val="center"/>
      </w:pPr>
      <w:r>
        <w:rPr>
          <w:rFonts w:ascii="Times New Roman" w:hAnsi="Times New Roman"/>
          <w:b/>
          <w:sz w:val="32"/>
        </w:rPr>
        <w:t>3. Dataset Description and Preprocessing</w:t>
      </w:r>
    </w:p>
    <w:p>
      <w:pPr>
        <w:spacing w:after="160" w:line="276" w:lineRule="auto"/>
        <w:jc w:val="both"/>
      </w:pPr>
      <w:r>
        <w:rPr>
          <w:rFonts w:ascii="Times New Roman" w:hAnsi="Times New Roman"/>
          <w:sz w:val="22"/>
        </w:rPr>
        <w:t>This section provides a comprehensive description of the datasets used for experimentation and validation of the AttentionLens framework. The project employs three primary datasets: CUB-200-2011 for fine-grained bird classification with ground-truth annotations, ObjectNet for natural-bias validation, and ImageNet subsets for pretrained model evaluation. Each dataset serves a specific purpose in the validation pipeline, from metric computation against ground truth to detection of real-world context reliance. This section details the dataset characteristics, preprocessing strategies, annotation formats, and splitting methodologies employed throughout the project.</w:t>
      </w:r>
    </w:p>
    <w:p>
      <w:pPr>
        <w:spacing w:before="360" w:after="200"/>
      </w:pPr>
      <w:r>
        <w:rPr>
          <w:rFonts w:ascii="Times New Roman" w:hAnsi="Times New Roman"/>
          <w:b/>
          <w:sz w:val="24"/>
        </w:rPr>
        <w:t>3.1 Overview of Datasets Used</w:t>
      </w:r>
    </w:p>
    <w:p>
      <w:pPr>
        <w:spacing w:after="160" w:line="276" w:lineRule="auto"/>
        <w:jc w:val="both"/>
      </w:pPr>
      <w:r>
        <w:rPr>
          <w:rFonts w:ascii="Times New Roman" w:hAnsi="Times New Roman"/>
          <w:sz w:val="22"/>
        </w:rPr>
        <w:t>The selection of datasets for this project was guided by three criteria: (1) the availability of ground-truth annotations (bounding boxes and part keypoints) for quantitative metric computation, (2) the presence of known biases or context variations for validation of the screening engine, and (3) compatibility with pretrained ImageNet models for realistic debugging scenarios. Table 3.1 summarizes the key characteristics of each dataset.</w:t>
      </w:r>
    </w:p>
    <w:p/>
    <w:p>
      <w:pPr>
        <w:spacing w:after="240"/>
        <w:jc w:val="center"/>
      </w:pPr>
      <w:r>
        <w:rPr>
          <w:rFonts w:ascii="Times New Roman" w:hAnsi="Times New Roman"/>
          <w:i/>
          <w:sz w:val="20"/>
        </w:rPr>
        <w:t>Table 3.1: Overview of Datasets Used in AttentionLens</w:t>
      </w:r>
    </w:p>
    <w:p>
      <w:pPr>
        <w:spacing w:after="160" w:line="276" w:lineRule="auto"/>
        <w:jc w:val="both"/>
      </w:pPr>
      <w:r>
        <w:rPr>
          <w:rFonts w:ascii="Times New Roman" w:hAnsi="Times New Roman"/>
          <w:sz w:val="22"/>
        </w:rPr>
        <w:t>The CUB-200-2011 dataset serves as the primary dataset for metric computation and fine-grained analysis, providing the richest annotation set among all datasets used. ObjectNet provides a natural-bias benchmark where objects appear in unusual contexts, allowing validation of the screening engine's ability to detect real-world context reliance. ImageNet-1K provides pretrained models (ResNet-50, ViT-B/16) that have been extensively studied in the literature, enabling comparison with published results. The planted-bias synthetic dataset provides controlled validation where the ground truth is known exactly, allowing provable verification of the screener's detection capabilities.</w:t>
      </w:r>
    </w:p>
    <w:p>
      <w:pPr>
        <w:spacing w:before="360" w:after="200"/>
      </w:pPr>
      <w:r>
        <w:rPr>
          <w:rFonts w:ascii="Times New Roman" w:hAnsi="Times New Roman"/>
          <w:b/>
          <w:sz w:val="24"/>
        </w:rPr>
        <w:t>3.2 CUB-200-2011 Dataset</w:t>
      </w:r>
    </w:p>
    <w:p>
      <w:pPr>
        <w:spacing w:after="160" w:line="276" w:lineRule="auto"/>
        <w:jc w:val="both"/>
      </w:pPr>
      <w:r>
        <w:rPr>
          <w:rFonts w:ascii="Times New Roman" w:hAnsi="Times New Roman"/>
          <w:sz w:val="22"/>
        </w:rPr>
        <w:t>The Caltech-UCSD Birds-200-2011 (CUB-200-2011) dataset, introduced by Wah et al. (2011), is a benchmark dataset for fine-grained visual categorization. It contains 11,788 images of 200 bird species native to North America, with each image accompanied by rich annotations including bounding boxes, part locations, and attribute labels. The dataset is specifically designed for challenging fine-grained classification tasks where inter-class variation is subtle (e.g., distinguishing between different species of warblers) and intra-class variation is significant (e.g., different poses, lighting conditions, and backgrounds for the same species).</w:t>
      </w:r>
    </w:p>
    <w:p>
      <w:pPr>
        <w:spacing w:before="280" w:after="160"/>
      </w:pPr>
      <w:r>
        <w:rPr>
          <w:rFonts w:ascii="Times New Roman" w:hAnsi="Times New Roman"/>
          <w:b/>
          <w:sz w:val="22"/>
        </w:rPr>
        <w:t>3.2.1 Dataset Structure and Statistics</w:t>
      </w:r>
    </w:p>
    <w:p>
      <w:pPr>
        <w:spacing w:after="160" w:line="276" w:lineRule="auto"/>
        <w:jc w:val="both"/>
      </w:pPr>
      <w:r>
        <w:rPr>
          <w:rFonts w:ascii="Times New Roman" w:hAnsi="Times New Roman"/>
          <w:sz w:val="22"/>
        </w:rPr>
        <w:t>The CUB-200-2011 dataset is organized into 200 class directories, each containing images of a single bird species. The number of images per class varies from approximately 30 to 60 images, with an average of about 59 images per class. The dataset provides the following annotations for each image:</w:t>
      </w:r>
    </w:p>
    <w:p>
      <w:pPr>
        <w:spacing w:after="160" w:line="276" w:lineRule="auto"/>
        <w:jc w:val="both"/>
      </w:pPr>
      <w:r>
        <w:rPr>
          <w:rFonts w:ascii="Times New Roman" w:hAnsi="Times New Roman"/>
          <w:sz w:val="22"/>
        </w:rPr>
        <w:t>Bounding Boxes: Each image is annotated with a tight bounding box (x, y, width, height) that encloses the bird. These bounding boxes are essential for computing the object relevance share and background sensitivity metrics, as they define the object region against which attention patterns are evaluated.</w:t>
      </w:r>
    </w:p>
    <w:p>
      <w:pPr>
        <w:spacing w:after="160" w:line="276" w:lineRule="auto"/>
        <w:jc w:val="both"/>
      </w:pPr>
      <w:r>
        <w:rPr>
          <w:rFonts w:ascii="Times New Roman" w:hAnsi="Times New Roman"/>
          <w:sz w:val="22"/>
        </w:rPr>
        <w:t>Part Keypoints: Each image includes 15 annotated part locations corresponding to anatomically meaningful regions: beak, head, left eye, right eye, throat, upper breast, lower breast, nape, left wing, right wing, back, tail, left leg, right leg, and belly. Each part location is specified as (x, y) pixel coordinates along with a visibility flag (indicating whether the part is visible in the image). These keypoints enable computation of the part alignment metric, which measures whether the model's attention focuses on discriminative body parts.</w:t>
      </w:r>
    </w:p>
    <w:p>
      <w:pPr>
        <w:spacing w:after="160" w:line="276" w:lineRule="auto"/>
        <w:jc w:val="both"/>
      </w:pPr>
      <w:r>
        <w:rPr>
          <w:rFonts w:ascii="Times New Roman" w:hAnsi="Times New Roman"/>
          <w:sz w:val="22"/>
        </w:rPr>
        <w:t>Attribute Labels: The dataset includes 312 binary attribute labels per image, describing visual characteristics such as bill shape, wing pattern, upper parts color, and under parts pattern. While not directly used in the current implementation of AttentionLens, these attributes provide additional semantic information that could be leveraged for more sophisticated attribute-based explanation methods in future work.</w:t>
      </w:r>
    </w:p>
    <w:p/>
    <w:p>
      <w:pPr>
        <w:spacing w:after="240"/>
        <w:jc w:val="center"/>
      </w:pPr>
      <w:r>
        <w:rPr>
          <w:rFonts w:ascii="Times New Roman" w:hAnsi="Times New Roman"/>
          <w:i/>
          <w:sz w:val="20"/>
        </w:rPr>
        <w:t>Table 3.2: CUB-200-2011 Dataset Statistics</w:t>
      </w:r>
    </w:p>
    <w:p>
      <w:pPr>
        <w:spacing w:before="280" w:after="160"/>
      </w:pPr>
      <w:r>
        <w:rPr>
          <w:rFonts w:ascii="Times New Roman" w:hAnsi="Times New Roman"/>
          <w:b/>
          <w:sz w:val="22"/>
        </w:rPr>
        <w:t>3.2.2 Relevance to AttentionLens</w:t>
      </w:r>
    </w:p>
    <w:p>
      <w:pPr>
        <w:spacing w:after="160" w:line="276" w:lineRule="auto"/>
        <w:jc w:val="both"/>
      </w:pPr>
      <w:r>
        <w:rPr>
          <w:rFonts w:ascii="Times New Roman" w:hAnsi="Times New Roman"/>
          <w:sz w:val="22"/>
        </w:rPr>
        <w:t>The CUB-200-2011 dataset is particularly well-suited for the AttentionLens framework for several reasons. First, the bounding box annotations enable computation of object relevance share, which measures what fraction of the model's attention falls on the bird versus the background. This is critical for detecting spurious correlations where the model may key on background features (water, branches) rather than the bird itself.</w:t>
      </w:r>
    </w:p>
    <w:p>
      <w:pPr>
        <w:spacing w:after="160" w:line="276" w:lineRule="auto"/>
        <w:jc w:val="both"/>
      </w:pPr>
      <w:r>
        <w:rPr>
          <w:rFonts w:ascii="Times New Roman" w:hAnsi="Times New Roman"/>
          <w:sz w:val="22"/>
        </w:rPr>
        <w:t>Second, the 15 part keypoints enable the part alignment metric, which measures whether the model's attention focuses on discriminative body parts. For bird species classification, the beak, head, and wing patterns are often the most discriminative features, so a well-calibrated model should show high attention on these regions. The part alignment metric quantifies this expectation.</w:t>
      </w:r>
    </w:p>
    <w:p>
      <w:pPr>
        <w:spacing w:after="160" w:line="276" w:lineRule="auto"/>
        <w:jc w:val="both"/>
      </w:pPr>
      <w:r>
        <w:rPr>
          <w:rFonts w:ascii="Times New Roman" w:hAnsi="Times New Roman"/>
          <w:sz w:val="22"/>
        </w:rPr>
        <w:t>Third, the fine-grained nature of the dataset (200 visually similar species) provides a challenging testbed for attention quality. Unlike coarse-grained datasets where objects are easily distinguishable, fine-grained classification requires the model to attend to subtle discriminative features, making attention analysis more informative.</w:t>
      </w:r>
    </w:p>
    <w:p>
      <w:pPr>
        <w:spacing w:after="160" w:line="276" w:lineRule="auto"/>
        <w:jc w:val="both"/>
      </w:pPr>
      <w:r>
        <w:rPr>
          <w:rFonts w:ascii="Times New Roman" w:hAnsi="Times New Roman"/>
          <w:sz w:val="22"/>
        </w:rPr>
        <w:t>Finally, the dataset is small enough (11,788 images) to allow comprehensive analysis of all images within reasonable computational time, yet large enough to provide statistically meaningful results. This balance makes CUB-200-2011 an ideal dataset for validating the AttentionLens framework's metrics and screening engine.</w:t>
      </w:r>
    </w:p>
    <w:p>
      <w:pPr>
        <w:spacing w:before="360" w:after="200"/>
      </w:pPr>
      <w:r>
        <w:rPr>
          <w:rFonts w:ascii="Times New Roman" w:hAnsi="Times New Roman"/>
          <w:b/>
          <w:sz w:val="24"/>
        </w:rPr>
        <w:t>3.3 ObjectNet Dataset</w:t>
      </w:r>
    </w:p>
    <w:p>
      <w:pPr>
        <w:spacing w:after="160" w:line="276" w:lineRule="auto"/>
        <w:jc w:val="both"/>
      </w:pPr>
      <w:r>
        <w:rPr>
          <w:rFonts w:ascii="Times New Roman" w:hAnsi="Times New Roman"/>
          <w:sz w:val="22"/>
        </w:rPr>
        <w:t>ObjectNet, introduced by Barbu et al. (2019), is a dataset specifically designed to test object recognition under natural variation. Unlike ImageNet, where objects are typically photographed in canonical poses and clean backgrounds, ObjectNet presents objects in unusual contexts: unusual viewpoints (rotated objects), unusual backgrounds (objects on strange surfaces), and unusual lighting conditions. The dataset contains over 50,000 images across 313 object categories, with each image carefully curated to maximize contextual variation while preserving object identity.</w:t>
      </w:r>
    </w:p>
    <w:p>
      <w:pPr>
        <w:spacing w:before="280" w:after="160"/>
      </w:pPr>
      <w:r>
        <w:rPr>
          <w:rFonts w:ascii="Times New Roman" w:hAnsi="Times New Roman"/>
          <w:b/>
          <w:sz w:val="22"/>
        </w:rPr>
        <w:t>3.3.1 Dataset Characteristics</w:t>
      </w:r>
    </w:p>
    <w:p>
      <w:pPr>
        <w:spacing w:after="160" w:line="276" w:lineRule="auto"/>
        <w:jc w:val="both"/>
      </w:pPr>
      <w:r>
        <w:rPr>
          <w:rFonts w:ascii="Times New Roman" w:hAnsi="Times New Roman"/>
          <w:sz w:val="22"/>
        </w:rPr>
        <w:t>ObjectNet's key characteristic is its emphasis on context variation. Standard ImageNet-trained models experience a dramatic accuracy drop on ObjectNet, falling from approximately 80% top-1 accuracy on ImageNet validation to approximately 20% on ObjectNet. This 60% collapse reveals that models rely heavily on contextual cues (typical backgrounds, canonical poses) rather than invariant object features. The dataset is designed to expose this reliance and test whether models can generalize to objects in novel contexts.</w:t>
      </w:r>
    </w:p>
    <w:p>
      <w:pPr>
        <w:spacing w:after="160" w:line="276" w:lineRule="auto"/>
        <w:jc w:val="both"/>
      </w:pPr>
      <w:r>
        <w:rPr>
          <w:rFonts w:ascii="Times New Roman" w:hAnsi="Times New Roman"/>
          <w:sz w:val="22"/>
        </w:rPr>
        <w:t>For AttentionLens, ObjectNet serves as a natural-bias benchmark. If the screening engine correctly identifies context reliance (background-dominated attention) on ObjectNet images, this demonstrates that the framework can detect real-world biases without requiring synthetic planted correlations. The dataset provides a complementary validation to the planted-bias experiment: the synthetic experiment proves the screener catches what we know (controlled shortcuts), while ObjectNet proves it catches what's real (natural context reliance).</w:t>
      </w:r>
    </w:p>
    <w:p>
      <w:pPr>
        <w:spacing w:before="280" w:after="160"/>
      </w:pPr>
      <w:r>
        <w:rPr>
          <w:rFonts w:ascii="Times New Roman" w:hAnsi="Times New Roman"/>
          <w:b/>
          <w:sz w:val="22"/>
        </w:rPr>
        <w:t>3.3.2 Integration with AttentionLens</w:t>
      </w:r>
    </w:p>
    <w:p>
      <w:pPr>
        <w:spacing w:after="160" w:line="276" w:lineRule="auto"/>
        <w:jc w:val="both"/>
      </w:pPr>
      <w:r>
        <w:rPr>
          <w:rFonts w:ascii="Times New Roman" w:hAnsi="Times New Roman"/>
          <w:sz w:val="22"/>
        </w:rPr>
        <w:t>In the AttentionLens framework, ObjectNet images are processed through the same pipeline as CUB-200 images: the ResNet-50 or ViT-B/16 extractor produces dual-view attention maps, the metrics module computes object relevance share and background sensitivity (using approximate bounding boxes since ObjectNet does not provide pixel-perfect annotations), and the screening engine produces verdicts indicating whether the model's attention is object-driven or context-driven.</w:t>
      </w:r>
    </w:p>
    <w:p>
      <w:pPr>
        <w:spacing w:after="160" w:line="276" w:lineRule="auto"/>
        <w:jc w:val="both"/>
      </w:pPr>
      <w:r>
        <w:rPr>
          <w:rFonts w:ascii="Times New Roman" w:hAnsi="Times New Roman"/>
          <w:sz w:val="22"/>
        </w:rPr>
        <w:t>The ObjectNet experiment (M8) revealed that standard pretrained models remain surprisingly object-focused even on unusual backgrounds, with background share typically below 0.10 for correctly classified images. However, for misclassified images, the screener identified 77 cases (approximately 10.8% of misclassifications) where background reliance exceeded object reliance, providing evidence-backed failure diagnoses. These cases represent instances where the model 'guessed from context' rather than recognizing the object, demonstrating the framework's ability to diagnose real-world failures.</w:t>
      </w:r>
    </w:p>
    <w:p>
      <w:pPr>
        <w:spacing w:before="360" w:after="200"/>
      </w:pPr>
      <w:r>
        <w:rPr>
          <w:rFonts w:ascii="Times New Roman" w:hAnsi="Times New Roman"/>
          <w:b/>
          <w:sz w:val="24"/>
        </w:rPr>
        <w:t>3.4 ImageNet-1K and Pretrained Models</w:t>
      </w:r>
    </w:p>
    <w:p>
      <w:pPr>
        <w:spacing w:after="160" w:line="276" w:lineRule="auto"/>
        <w:jc w:val="both"/>
      </w:pPr>
      <w:r>
        <w:rPr>
          <w:rFonts w:ascii="Times New Roman" w:hAnsi="Times New Roman"/>
          <w:sz w:val="22"/>
        </w:rPr>
        <w:t>ImageNet-1K (Deng et al., 2009) is the de facto standard benchmark for image classification, containing 1.28 million training images and 50,000 validation images across 1,000 object categories. While the full ImageNet dataset is too large for comprehensive attention analysis (requiring weeks of computation), AttentionLens uses ImageNet-pretrained models (ResNet-50 and ViT-B/16) as the primary subjects of analysis.</w:t>
      </w:r>
    </w:p>
    <w:p>
      <w:pPr>
        <w:spacing w:after="160" w:line="276" w:lineRule="auto"/>
        <w:jc w:val="both"/>
      </w:pPr>
      <w:r>
        <w:rPr>
          <w:rFonts w:ascii="Times New Roman" w:hAnsi="Times New Roman"/>
          <w:sz w:val="22"/>
        </w:rPr>
        <w:t>The ResNet-50 model used is torchvision's pretrained ResNet-50 with ImageNet1K_V2 weights, achieving approximately 80.8% top-1 accuracy on the ImageNet validation set. The ViT-B/16 model is timm's pretrained vit_base_patch16_224, achieving approximately 81.0% top-1 accuracy. Both models have been extensively studied in the literature, providing a basis for comparison with published attribution results.</w:t>
      </w:r>
    </w:p>
    <w:p>
      <w:pPr>
        <w:spacing w:after="160" w:line="276" w:lineRule="auto"/>
        <w:jc w:val="both"/>
      </w:pPr>
      <w:r>
        <w:rPr>
          <w:rFonts w:ascii="Times New Roman" w:hAnsi="Times New Roman"/>
          <w:sz w:val="22"/>
        </w:rPr>
        <w:t>For demonstration and testing purposes, AttentionLens also uses a small subset of ImageNet images (the sample.jpg image used throughout the experiments, which is a Samoyed dog image). This allows rapid iteration during development while the full dataset analysis is reserved for GPU-rented runs.</w:t>
      </w:r>
    </w:p>
    <w:p/>
    <w:p>
      <w:pPr>
        <w:spacing w:after="240"/>
        <w:jc w:val="center"/>
      </w:pPr>
      <w:r>
        <w:rPr>
          <w:rFonts w:ascii="Times New Roman" w:hAnsi="Times New Roman"/>
          <w:i/>
          <w:sz w:val="20"/>
        </w:rPr>
        <w:t>Table 3.3: Pretrained Model Configurations</w:t>
      </w:r>
    </w:p>
    <w:p>
      <w:pPr>
        <w:spacing w:before="360" w:after="200"/>
      </w:pPr>
      <w:r>
        <w:rPr>
          <w:rFonts w:ascii="Times New Roman" w:hAnsi="Times New Roman"/>
          <w:b/>
          <w:sz w:val="24"/>
        </w:rPr>
        <w:t>3.5 Planted-Bias Synthetic Dataset (Waterbirds-Style)</w:t>
      </w:r>
    </w:p>
    <w:p>
      <w:pPr>
        <w:spacing w:after="160" w:line="276" w:lineRule="auto"/>
        <w:jc w:val="both"/>
      </w:pPr>
      <w:r>
        <w:rPr>
          <w:rFonts w:ascii="Times New Roman" w:hAnsi="Times New Roman"/>
          <w:sz w:val="22"/>
        </w:rPr>
        <w:t>To provide controlled validation of the screening engine's bias detection capabilities, AttentionLens generates a synthetic planted-bias dataset inspired by the Waterbirds dataset (Sagawa et al., 2020). This dataset is constructed by compositing object crops onto backgrounds that are correlated with the object class, creating a known spurious correlation that the screener must detect.</w:t>
      </w:r>
    </w:p>
    <w:p>
      <w:pPr>
        <w:spacing w:before="280" w:after="160"/>
      </w:pPr>
      <w:r>
        <w:rPr>
          <w:rFonts w:ascii="Times New Roman" w:hAnsi="Times New Roman"/>
          <w:b/>
          <w:sz w:val="22"/>
        </w:rPr>
        <w:t>3.5.1 Dataset Construction</w:t>
      </w:r>
    </w:p>
    <w:p>
      <w:pPr>
        <w:spacing w:after="160" w:line="276" w:lineRule="auto"/>
        <w:jc w:val="both"/>
      </w:pPr>
      <w:r>
        <w:rPr>
          <w:rFonts w:ascii="Times New Roman" w:hAnsi="Times New Roman"/>
          <w:sz w:val="22"/>
        </w:rPr>
        <w:t>The synthetic dataset is constructed as follows. First, object crops are generated as colored blobs with distinct colors per class (serving as stand-ins for actual bird crops from CUB-200). Each class is assigned a unique color: class_0 is red, class_1 is blue, class_2 is green, class_3 is yellow, and so on. These crops are rendered as circular blobs of varying sizes (between 1/8 and 1/4 of the image width) at random positions within the central region of the image.</w:t>
      </w:r>
    </w:p>
    <w:p>
      <w:pPr>
        <w:spacing w:after="160" w:line="276" w:lineRule="auto"/>
        <w:jc w:val="both"/>
      </w:pPr>
      <w:r>
        <w:rPr>
          <w:rFonts w:ascii="Times New Roman" w:hAnsi="Times New Roman"/>
          <w:sz w:val="22"/>
        </w:rPr>
        <w:t>Second, backgrounds are generated for each class. For a 2-class experiment, the backgrounds are 'water' (blue-gray gradient) and 'land' (green gradient). For a 4-class experiment, additional backgrounds 'forest' (dark green gradient) and 'city' (gray gradient) are added. The critical step is the correlation: class_0 objects are composited onto 'water' backgrounds with 95% probability, class_1 objects onto 'land' backgrounds, and so on. This creates a spurious correlation where the model can achieve high accuracy by simply detecting the background rather than the object.</w:t>
      </w:r>
    </w:p>
    <w:p>
      <w:pPr>
        <w:spacing w:after="160" w:line="276" w:lineRule="auto"/>
        <w:jc w:val="both"/>
      </w:pPr>
      <w:r>
        <w:rPr>
          <w:rFonts w:ascii="Times New Roman" w:hAnsi="Times New Roman"/>
          <w:sz w:val="22"/>
        </w:rPr>
        <w:t>The compositing process uses a soft-edge blending algorithm with a 14-pixel alpha ramp to create realistic transitions between object and background. The object crop is resized to approximately 50% of the frame and centered, with the remaining 50% filled by the background. This ensures that both the object and background are visible and that the model has the opportunity to learn either the object features or the background shortcut.</w:t>
      </w:r>
    </w:p>
    <w:p>
      <w:pPr>
        <w:spacing w:before="160" w:after="80"/>
        <w:jc w:val="center"/>
      </w:pPr>
      <w:r>
        <w:rPr>
          <w:rFonts w:ascii="Times New Roman" w:hAnsi="Times New Roman"/>
          <w:i/>
          <w:sz w:val="22"/>
        </w:rPr>
        <w:t>composite(x,y) = α(x,y) · object(x,y) + (1-α(x,y)) · background(x,y)</w:t>
      </w:r>
    </w:p>
    <w:p>
      <w:pPr>
        <w:spacing w:after="160"/>
        <w:jc w:val="right"/>
      </w:pPr>
      <w:r>
        <w:rPr>
          <w:rFonts w:ascii="Times New Roman" w:hAnsi="Times New Roman"/>
          <w:sz w:val="20"/>
        </w:rPr>
        <w:t>(3.1)</w:t>
      </w:r>
    </w:p>
    <w:p>
      <w:pPr>
        <w:spacing w:after="160" w:line="276" w:lineRule="auto"/>
        <w:jc w:val="both"/>
      </w:pPr>
      <w:r>
        <w:rPr>
          <w:rFonts w:ascii="Times New Roman" w:hAnsi="Times New Roman"/>
          <w:sz w:val="22"/>
        </w:rPr>
        <w:t>where α(x,y) is the alpha mask with soft edges. The alpha ramp is defined as:</w:t>
      </w:r>
    </w:p>
    <w:p>
      <w:pPr>
        <w:spacing w:before="160" w:after="80"/>
        <w:jc w:val="center"/>
      </w:pPr>
      <w:r>
        <w:rPr>
          <w:rFonts w:ascii="Times New Roman" w:hAnsi="Times New Roman"/>
          <w:i/>
          <w:sz w:val="22"/>
        </w:rPr>
        <w:t>α(x,y) = min(d_edge(x,y) / r, 1.0)</w:t>
      </w:r>
    </w:p>
    <w:p>
      <w:pPr>
        <w:spacing w:after="160"/>
        <w:jc w:val="right"/>
      </w:pPr>
      <w:r>
        <w:rPr>
          <w:rFonts w:ascii="Times New Roman" w:hAnsi="Times New Roman"/>
          <w:sz w:val="20"/>
        </w:rPr>
        <w:t>(3.2)</w:t>
      </w:r>
    </w:p>
    <w:p>
      <w:pPr>
        <w:spacing w:after="160" w:line="276" w:lineRule="auto"/>
        <w:jc w:val="both"/>
      </w:pPr>
      <w:r>
        <w:rPr>
          <w:rFonts w:ascii="Times New Roman" w:hAnsi="Times New Roman"/>
          <w:sz w:val="22"/>
        </w:rPr>
        <w:t>where d_edge(x,y) is the distance from pixel (x,y) to the nearest edge of the object region, and r is the ramp width (14 pixels). This creates a smooth transition that avoids hard edges which would provide trivial cues.</w:t>
      </w:r>
    </w:p>
    <w:p>
      <w:pPr>
        <w:spacing w:before="280" w:after="160"/>
      </w:pPr>
      <w:r>
        <w:rPr>
          <w:rFonts w:ascii="Times New Roman" w:hAnsi="Times New Roman"/>
          <w:b/>
          <w:sz w:val="22"/>
        </w:rPr>
        <w:t>3.5.2 Dataset Configurations</w:t>
      </w:r>
    </w:p>
    <w:p/>
    <w:p>
      <w:pPr>
        <w:spacing w:after="240"/>
        <w:jc w:val="center"/>
      </w:pPr>
      <w:r>
        <w:rPr>
          <w:rFonts w:ascii="Times New Roman" w:hAnsi="Times New Roman"/>
          <w:i/>
          <w:sz w:val="20"/>
        </w:rPr>
        <w:t>Table 3.4: Planted-Bias Dataset Configurations</w:t>
      </w:r>
    </w:p>
    <w:p>
      <w:pPr>
        <w:spacing w:after="160" w:line="276" w:lineRule="auto"/>
        <w:jc w:val="both"/>
      </w:pPr>
      <w:r>
        <w:rPr>
          <w:rFonts w:ascii="Times New Roman" w:hAnsi="Times New Roman"/>
          <w:sz w:val="22"/>
        </w:rPr>
        <w:t>The planted-bias dataset is generated on-the-fly by the experiments/planted_bias.py script and stored in the experiments/m7/ or experiments/m7_gpu/ directories. The dataset is deterministic (controlled by a random seed) to ensure reproducibility. After training a classifier on this biased dataset, the AttentionLens screener is run to verify that it correctly identifies the planted correlations.</w:t>
      </w:r>
    </w:p>
    <w:p>
      <w:pPr>
        <w:spacing w:before="360" w:after="200"/>
      </w:pPr>
      <w:r>
        <w:rPr>
          <w:rFonts w:ascii="Times New Roman" w:hAnsi="Times New Roman"/>
          <w:b/>
          <w:sz w:val="24"/>
        </w:rPr>
        <w:t>3.6 Preprocessing Pipeline</w:t>
      </w:r>
    </w:p>
    <w:p>
      <w:pPr>
        <w:spacing w:after="160" w:line="276" w:lineRule="auto"/>
        <w:jc w:val="both"/>
      </w:pPr>
      <w:r>
        <w:rPr>
          <w:rFonts w:ascii="Times New Roman" w:hAnsi="Times New Roman"/>
          <w:sz w:val="22"/>
        </w:rPr>
        <w:t>All images processed by AttentionLens undergo a standardized preprocessing pipeline that ensures compatibility with pretrained ImageNet models and produces consistent tensor representations. The preprocessing pipeline is implemented in the attentionlens/preprocess.py module and consists of the following steps.</w:t>
      </w:r>
    </w:p>
    <w:p>
      <w:pPr>
        <w:spacing w:before="280" w:after="160"/>
      </w:pPr>
      <w:r>
        <w:rPr>
          <w:rFonts w:ascii="Times New Roman" w:hAnsi="Times New Roman"/>
          <w:b/>
          <w:sz w:val="22"/>
        </w:rPr>
        <w:t>3.6.1 Image Loading and Resizing</w:t>
      </w:r>
    </w:p>
    <w:p>
      <w:pPr>
        <w:spacing w:after="160" w:line="276" w:lineRule="auto"/>
        <w:jc w:val="both"/>
      </w:pPr>
      <w:r>
        <w:rPr>
          <w:rFonts w:ascii="Times New Roman" w:hAnsi="Times New Roman"/>
          <w:sz w:val="22"/>
        </w:rPr>
        <w:t>Input images are loaded using the PIL (Python Imaging Library) and converted to RGB color space to ensure consistency (grayscale or RGBA images are converted to 3-channel RGB). The images are then resized to 224×224 pixels, which is the standard input size for both ResNet-50 and ViT-B/16 models. Bilinear interpolation is used for resizing to preserve image quality while achieving the required resolution.</w:t>
      </w:r>
    </w:p>
    <w:p>
      <w:pPr>
        <w:spacing w:before="280" w:after="160"/>
      </w:pPr>
      <w:r>
        <w:rPr>
          <w:rFonts w:ascii="Times New Roman" w:hAnsi="Times New Roman"/>
          <w:b/>
          <w:sz w:val="22"/>
        </w:rPr>
        <w:t>3.6.2 Normalization</w:t>
      </w:r>
    </w:p>
    <w:p>
      <w:pPr>
        <w:spacing w:after="160" w:line="276" w:lineRule="auto"/>
        <w:jc w:val="both"/>
      </w:pPr>
      <w:r>
        <w:rPr>
          <w:rFonts w:ascii="Times New Roman" w:hAnsi="Times New Roman"/>
          <w:sz w:val="22"/>
        </w:rPr>
        <w:t>After resizing, images are normalized using the ImageNet mean and standard deviation statistics. This normalization is critical because pretrained models expect input distributions matching their training data. The normalization is applied per-channel using the following formula:</w:t>
      </w:r>
    </w:p>
    <w:p>
      <w:pPr>
        <w:spacing w:before="160" w:after="80"/>
        <w:jc w:val="center"/>
      </w:pPr>
      <w:r>
        <w:rPr>
          <w:rFonts w:ascii="Times New Roman" w:hAnsi="Times New Roman"/>
          <w:i/>
          <w:sz w:val="22"/>
        </w:rPr>
        <w:t>x_normalized = (x / 255.0 - μ) / σ</w:t>
      </w:r>
    </w:p>
    <w:p>
      <w:pPr>
        <w:spacing w:after="160"/>
        <w:jc w:val="right"/>
      </w:pPr>
      <w:r>
        <w:rPr>
          <w:rFonts w:ascii="Times New Roman" w:hAnsi="Times New Roman"/>
          <w:sz w:val="20"/>
        </w:rPr>
        <w:t>(3.3)</w:t>
      </w:r>
    </w:p>
    <w:p>
      <w:pPr>
        <w:spacing w:after="160" w:line="276" w:lineRule="auto"/>
        <w:jc w:val="both"/>
      </w:pPr>
      <w:r>
        <w:rPr>
          <w:rFonts w:ascii="Times New Roman" w:hAnsi="Times New Roman"/>
          <w:sz w:val="22"/>
        </w:rPr>
        <w:t>where x is the pixel value in [0, 255], μ is the channel mean, and σ is the channel standard deviation. The ImageNet statistics used are:</w:t>
      </w:r>
    </w:p>
    <w:p>
      <w:pPr>
        <w:spacing w:after="160" w:line="276" w:lineRule="auto"/>
        <w:jc w:val="both"/>
      </w:pPr>
      <w:r>
        <w:rPr>
          <w:rFonts w:ascii="Times New Roman" w:hAnsi="Times New Roman"/>
          <w:sz w:val="22"/>
        </w:rPr>
        <w:t>Mean: μ = [0.485, 0.456, 0.406] for R, G, B channels respectively. Standard Deviation: σ = [0.229, 0.224, 0.225] for R, G, B channels respectively. These values are computed from the ImageNet training set and are standard across the computer vision community.</w:t>
      </w:r>
    </w:p>
    <w:p>
      <w:pPr>
        <w:spacing w:before="280" w:after="160"/>
      </w:pPr>
      <w:r>
        <w:rPr>
          <w:rFonts w:ascii="Times New Roman" w:hAnsi="Times New Roman"/>
          <w:b/>
          <w:sz w:val="22"/>
        </w:rPr>
        <w:t>3.6.3 Tensor Conversion</w:t>
      </w:r>
    </w:p>
    <w:p>
      <w:pPr>
        <w:spacing w:after="160" w:line="276" w:lineRule="auto"/>
        <w:jc w:val="both"/>
      </w:pPr>
      <w:r>
        <w:rPr>
          <w:rFonts w:ascii="Times New Roman" w:hAnsi="Times New Roman"/>
          <w:sz w:val="22"/>
        </w:rPr>
        <w:t>The normalized image is converted from a NumPy array (H×W×3, float32) to a PyTorch tensor with shape [1, 3, 224, 224] (batch size 1, 3 channels, 224 height, 224 width). The channel dimension is moved from the last axis to the second axis using a permutation operation (HWC to CHW format), and a batch dimension is added. The tensor is then moved to the specified device (CPU or CUDA) for inference.</w:t>
      </w:r>
    </w:p>
    <w:p>
      <w:pPr>
        <w:spacing w:before="160" w:after="80"/>
        <w:jc w:val="center"/>
      </w:pPr>
      <w:r>
        <w:rPr>
          <w:rFonts w:ascii="Times New Roman" w:hAnsi="Times New Roman"/>
          <w:i/>
          <w:sz w:val="22"/>
        </w:rPr>
        <w:t>tensor = permute(normalized_array, (2, 0, 1)).unsqueeze(0).to(device)</w:t>
      </w:r>
    </w:p>
    <w:p>
      <w:pPr>
        <w:spacing w:after="160"/>
        <w:jc w:val="right"/>
      </w:pPr>
      <w:r>
        <w:rPr>
          <w:rFonts w:ascii="Times New Roman" w:hAnsi="Times New Roman"/>
          <w:sz w:val="20"/>
        </w:rPr>
        <w:t>(3.4)</w:t>
      </w:r>
    </w:p>
    <w:p>
      <w:pPr>
        <w:spacing w:after="160" w:line="276" w:lineRule="auto"/>
        <w:jc w:val="both"/>
      </w:pPr>
      <w:r>
        <w:rPr>
          <w:rFonts w:ascii="Times New Roman" w:hAnsi="Times New Roman"/>
          <w:sz w:val="22"/>
        </w:rPr>
        <w:t>The complete preprocessing pipeline is encapsulated in the load_image_tensor() function, which takes a file path and optional device parameter, and returns a ready-to-use tensor. The inverse operation, tensor_to_image(), reverses the normalization and converts the tensor back to a uint8 NumPy array for visualization purposes.</w:t>
      </w:r>
    </w:p>
    <w:p>
      <w:pPr>
        <w:spacing w:before="360" w:after="200"/>
      </w:pPr>
      <w:r>
        <w:rPr>
          <w:rFonts w:ascii="Times New Roman" w:hAnsi="Times New Roman"/>
          <w:b/>
          <w:sz w:val="24"/>
        </w:rPr>
        <w:t>3.7 Dataset Splitting Strategy</w:t>
      </w:r>
    </w:p>
    <w:p>
      <w:pPr>
        <w:spacing w:after="160" w:line="276" w:lineRule="auto"/>
        <w:jc w:val="both"/>
      </w:pPr>
      <w:r>
        <w:rPr>
          <w:rFonts w:ascii="Times New Roman" w:hAnsi="Times New Roman"/>
          <w:sz w:val="22"/>
        </w:rPr>
        <w:t>For the AttentionLens framework, dataset splitting follows different strategies depending on the experiment. For the CUB-200-2011 dataset, since the focus is on explainability rather than training, the entire dataset (or a representative subset) is used for analysis. The framework does not require train/validation/test splits because it analyzes pretrained models rather than training new ones.</w:t>
      </w:r>
    </w:p>
    <w:p>
      <w:pPr>
        <w:spacing w:after="160" w:line="276" w:lineRule="auto"/>
        <w:jc w:val="both"/>
      </w:pPr>
      <w:r>
        <w:rPr>
          <w:rFonts w:ascii="Times New Roman" w:hAnsi="Times New Roman"/>
          <w:sz w:val="22"/>
        </w:rPr>
        <w:t>For the planted-bias experiment (M7), the synthetic dataset is split into training and evaluation sets. The training set (80% of images) is used to fine-tune the classifier, while the evaluation set (20% of images) is used to assess the screener's detection accuracy. However, since the planted correlation is known, the evaluation set is primarily used to verify that the screener produces correct verdicts rather than to measure generalization performance.</w:t>
      </w:r>
    </w:p>
    <w:p>
      <w:pPr>
        <w:spacing w:after="160" w:line="276" w:lineRule="auto"/>
        <w:jc w:val="both"/>
      </w:pPr>
      <w:r>
        <w:rPr>
          <w:rFonts w:ascii="Times New Roman" w:hAnsi="Times New Roman"/>
          <w:sz w:val="22"/>
        </w:rPr>
        <w:t>For the ObjectNet experiment (M8), the entire ObjectNet validation set (or a random subset for computational efficiency) is used. Since ObjectNet is a pre-existing benchmark with established evaluation protocols, no additional splitting is performed. The framework analyzes all images in the subset and produces aggregate statistics and per-image verdicts.</w:t>
      </w:r>
    </w:p>
    <w:p>
      <w:pPr>
        <w:spacing w:before="360" w:after="200"/>
      </w:pPr>
      <w:r>
        <w:rPr>
          <w:rFonts w:ascii="Times New Roman" w:hAnsi="Times New Roman"/>
          <w:b/>
          <w:sz w:val="24"/>
        </w:rPr>
        <w:t>3.8 Ground Truth Annotations</w:t>
      </w:r>
    </w:p>
    <w:p>
      <w:pPr>
        <w:spacing w:after="160" w:line="276" w:lineRule="auto"/>
        <w:jc w:val="both"/>
      </w:pPr>
      <w:r>
        <w:rPr>
          <w:rFonts w:ascii="Times New Roman" w:hAnsi="Times New Roman"/>
          <w:sz w:val="22"/>
        </w:rPr>
        <w:t>The quality of attention metrics depends critically on the availability and accuracy of ground-truth annotations. This section describes the annotation formats used and how they are integrated into the AttentionLens pipeline.</w:t>
      </w:r>
    </w:p>
    <w:p>
      <w:pPr>
        <w:spacing w:before="280" w:after="160"/>
      </w:pPr>
      <w:r>
        <w:rPr>
          <w:rFonts w:ascii="Times New Roman" w:hAnsi="Times New Roman"/>
          <w:b/>
          <w:sz w:val="22"/>
        </w:rPr>
        <w:t>3.8.1 Bounding Box Annotations</w:t>
      </w:r>
    </w:p>
    <w:p>
      <w:pPr>
        <w:spacing w:after="160" w:line="276" w:lineRule="auto"/>
        <w:jc w:val="both"/>
      </w:pPr>
      <w:r>
        <w:rPr>
          <w:rFonts w:ascii="Times New Roman" w:hAnsi="Times New Roman"/>
          <w:sz w:val="22"/>
        </w:rPr>
        <w:t>Bounding boxes are provided in (x, y, width, height) format, where (x, y) is the top-left corner of the box in pixel coordinates, and width and height are the dimensions. For CUB-200-2011, these annotations are stored in the bounding_boxes.txt file, with one line per image specifying the image ID and the four bounding box coordinates.</w:t>
      </w:r>
    </w:p>
    <w:p>
      <w:pPr>
        <w:spacing w:after="160" w:line="276" w:lineRule="auto"/>
        <w:jc w:val="both"/>
      </w:pPr>
      <w:r>
        <w:rPr>
          <w:rFonts w:ascii="Times New Roman" w:hAnsi="Times New Roman"/>
          <w:sz w:val="22"/>
        </w:rPr>
        <w:t>The object_relevance_share() and background_sensitivity() metrics in the attentionlens/metrics.py module use these bounding boxes to compute the fraction of attention falling inside versus outside the object region. The bounding box is first clipped to the image boundaries to handle cases where the annotated box extends beyond the image (which can occur due to annotation errors or occlusion).</w:t>
      </w:r>
    </w:p>
    <w:p>
      <w:pPr>
        <w:spacing w:before="280" w:after="160"/>
      </w:pPr>
      <w:r>
        <w:rPr>
          <w:rFonts w:ascii="Times New Roman" w:hAnsi="Times New Roman"/>
          <w:b/>
          <w:sz w:val="22"/>
        </w:rPr>
        <w:t>3.8.2 Part Keypoint Annotations</w:t>
      </w:r>
    </w:p>
    <w:p>
      <w:pPr>
        <w:spacing w:after="160" w:line="276" w:lineRule="auto"/>
        <w:jc w:val="both"/>
      </w:pPr>
      <w:r>
        <w:rPr>
          <w:rFonts w:ascii="Times New Roman" w:hAnsi="Times New Roman"/>
          <w:sz w:val="22"/>
        </w:rPr>
        <w:t>Part keypoints are provided as (x, y, visible) triplets for each of the 15 anatomical landmarks. The visible flag indicates whether the part is visible in the image (1) or occluded/out-of-frame (0). For the part_alignment metric, only visible keypoints are used, and the metric computes the fraction of attention falling within a specified radius (default 6 pixels) of each keypoint.</w:t>
      </w:r>
    </w:p>
    <w:p>
      <w:pPr>
        <w:spacing w:after="160" w:line="276" w:lineRule="auto"/>
        <w:jc w:val="both"/>
      </w:pPr>
      <w:r>
        <w:rPr>
          <w:rFonts w:ascii="Times New Roman" w:hAnsi="Times New Roman"/>
          <w:sz w:val="22"/>
        </w:rPr>
        <w:t>The part alignment metric is particularly important for fine-grained classification tasks where discriminative features are localized to specific body parts. For bird species classification, the beak, head, and wing patterns are often the most informative regions, so a well-calibrated model should show high attention on these parts. The part_alignment metric quantifies this expectation and can be used to identify models that focus on non-discriminative regions.</w:t>
      </w:r>
    </w:p>
    <w:p>
      <w:pPr>
        <w:spacing w:before="360" w:after="200"/>
      </w:pPr>
      <w:r>
        <w:rPr>
          <w:rFonts w:ascii="Times New Roman" w:hAnsi="Times New Roman"/>
          <w:b/>
          <w:sz w:val="24"/>
        </w:rPr>
        <w:t>3.9 Data Augmentation</w:t>
      </w:r>
    </w:p>
    <w:p>
      <w:pPr>
        <w:spacing w:after="160" w:line="276" w:lineRule="auto"/>
        <w:jc w:val="both"/>
      </w:pPr>
      <w:r>
        <w:rPr>
          <w:rFonts w:ascii="Times New Roman" w:hAnsi="Times New Roman"/>
          <w:sz w:val="22"/>
        </w:rPr>
        <w:t>For the AttentionLens framework, data augmentation is used only in the planted-bias experiment where a classifier is trained on the synthetic biased dataset. Standard augmentation techniques are applied during training to improve generalization and prevent overfitting on the small synthetic dataset.</w:t>
      </w:r>
    </w:p>
    <w:p>
      <w:pPr>
        <w:spacing w:after="160" w:line="276" w:lineRule="auto"/>
        <w:jc w:val="both"/>
      </w:pPr>
      <w:r>
        <w:rPr>
          <w:rFonts w:ascii="Times New Roman" w:hAnsi="Times New Roman"/>
          <w:sz w:val="22"/>
        </w:rPr>
        <w:t>The following augmentations are applied with 50% probability per image: horizontal flip (random left-right mirroring), color jitter (random brightness, contrast, saturation, and hue adjustments within ±20% of original values), random rotation (±15 degrees), and random affine transformation (small translations and scaling within ±10%). These augmentations are implemented using torchvision.transforms and are applied only during training; the evaluation set uses only the standard preprocessing pipeline (resize + normalize) without augmentation.</w:t>
      </w:r>
    </w:p>
    <w:p>
      <w:pPr>
        <w:spacing w:after="160" w:line="276" w:lineRule="auto"/>
        <w:jc w:val="both"/>
      </w:pPr>
      <w:r>
        <w:rPr>
          <w:rFonts w:ascii="Times New Roman" w:hAnsi="Times New Roman"/>
          <w:sz w:val="22"/>
        </w:rPr>
        <w:t>For the analysis of pretrained models on CUB-200-2011 and ObjectNet, no data augmentation is applied. The framework analyzes the model's behavior on the original images to understand how it responds to real-world inputs. This is consistent with the goal of explainability: we want to understand the model's actual decision-making process, not its behavior on augmented variants.</w:t>
      </w:r>
    </w:p>
    <w:p>
      <w:pPr>
        <w:spacing w:before="360" w:after="200"/>
      </w:pPr>
      <w:r>
        <w:rPr>
          <w:rFonts w:ascii="Times New Roman" w:hAnsi="Times New Roman"/>
          <w:b/>
          <w:sz w:val="24"/>
        </w:rPr>
        <w:t>3.10 Dataset Access and Availability</w:t>
      </w:r>
    </w:p>
    <w:p>
      <w:pPr>
        <w:spacing w:after="160" w:line="276" w:lineRule="auto"/>
        <w:jc w:val="both"/>
      </w:pPr>
      <w:r>
        <w:rPr>
          <w:rFonts w:ascii="Times New Roman" w:hAnsi="Times New Roman"/>
          <w:sz w:val="22"/>
        </w:rPr>
        <w:t>All datasets used in this project are publicly available and can be accessed as follows. CUB-200-2011 is available from the Caltech website (http://www.vision.caltech.edu/visipedia/CUB-200-2011.html) and requires registration for download. ObjectNet is available from the ObjectNet website (https://objectnet.dev/) and also requires license acceptance. ImageNet-1K is available from the ImageNet website (https://image-net.org/) with similar access restrictions.</w:t>
      </w:r>
    </w:p>
    <w:p>
      <w:pPr>
        <w:spacing w:after="160" w:line="276" w:lineRule="auto"/>
        <w:jc w:val="both"/>
      </w:pPr>
      <w:r>
        <w:rPr>
          <w:rFonts w:ascii="Times New Roman" w:hAnsi="Times New Roman"/>
          <w:sz w:val="22"/>
        </w:rPr>
        <w:t>The planted-bias synthetic dataset is generated on-the-fly by the experiments/planted_bias.py script and does not require external download. The script is fully self-contained and generates the biased dataset in the experiments/m7/ or experiments/m7_gpu/ directories. This makes the validation experiment easily reproducible without requiring large dataset downloads.</w:t>
      </w:r>
    </w:p>
    <w:p>
      <w:pPr>
        <w:spacing w:before="240" w:after="240"/>
        <w:jc w:val="center"/>
      </w:pPr>
      <w:r>
        <w:rPr>
          <w:rFonts w:ascii="Times New Roman" w:hAnsi="Times New Roman"/>
          <w:i/>
          <w:color w:val="787878"/>
          <w:sz w:val="20"/>
        </w:rPr>
        <w:br/>
        <w:t>────────────────────────────────────────────────────────────</w:t>
        <w:br/>
        <w:br/>
        <w:t>[ PLACEHOLDER: DATASET VISUALIZATION - Sample images from CUB-200-2011 showing bounding boxes and part keypoints ]</w:t>
        <w:br/>
        <w:br/>
        <w:t>────────────────────────────────────────────────────────────</w:t>
        <w:br/>
      </w:r>
    </w:p>
    <w:p>
      <w:pPr>
        <w:spacing w:before="240" w:after="240"/>
        <w:jc w:val="center"/>
      </w:pPr>
      <w:r>
        <w:rPr>
          <w:rFonts w:ascii="Times New Roman" w:hAnsi="Times New Roman"/>
          <w:i/>
          <w:color w:val="787878"/>
          <w:sz w:val="20"/>
        </w:rPr>
        <w:br/>
        <w:t>────────────────────────────────────────────────────────────</w:t>
        <w:br/>
        <w:br/>
        <w:t>[ PLACEHOLDER: DATASET VISUALIZATION - Sample images from ObjectNet showing objects in unusual contexts ]</w:t>
        <w:br/>
        <w:br/>
        <w:t>────────────────────────────────────────────────────────────</w:t>
        <w:br/>
      </w:r>
    </w:p>
    <w:p>
      <w:pPr>
        <w:spacing w:before="240" w:after="240"/>
        <w:jc w:val="center"/>
      </w:pPr>
      <w:r>
        <w:rPr>
          <w:rFonts w:ascii="Times New Roman" w:hAnsi="Times New Roman"/>
          <w:i/>
          <w:color w:val="787878"/>
          <w:sz w:val="20"/>
        </w:rPr>
        <w:br/>
        <w:t>────────────────────────────────────────────────────────────</w:t>
        <w:br/>
        <w:br/>
        <w:t>[ PLACEHOLDER: DATASET VISUALIZATION - Sample images from planted-bias synthetic dataset showing object-background correlation ]</w:t>
        <w:br/>
        <w:br/>
        <w:t>────────────────────────────────────────────────────────────</w:t>
        <w:br/>
      </w:r>
    </w:p>
    <w:p>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b/>
                <w:sz w:val="18"/>
              </w:rPr>
              <w:t>Dataset</w:t>
            </w:r>
          </w:p>
        </w:tc>
        <w:tc>
          <w:tcPr>
            <w:tcW w:type="dxa" w:w="1504"/>
          </w:tcPr>
          <w:p>
            <w:r>
              <w:rPr>
                <w:b/>
                <w:sz w:val="18"/>
              </w:rPr>
              <w:t>Images</w:t>
            </w:r>
          </w:p>
        </w:tc>
        <w:tc>
          <w:tcPr>
            <w:tcW w:type="dxa" w:w="1504"/>
          </w:tcPr>
          <w:p>
            <w:r>
              <w:rPr>
                <w:b/>
                <w:sz w:val="18"/>
              </w:rPr>
              <w:t>Classes</w:t>
            </w:r>
          </w:p>
        </w:tc>
        <w:tc>
          <w:tcPr>
            <w:tcW w:type="dxa" w:w="1504"/>
          </w:tcPr>
          <w:p>
            <w:r>
              <w:rPr>
                <w:b/>
                <w:sz w:val="18"/>
              </w:rPr>
              <w:t>Annotations</w:t>
            </w:r>
          </w:p>
        </w:tc>
        <w:tc>
          <w:tcPr>
            <w:tcW w:type="dxa" w:w="1504"/>
          </w:tcPr>
          <w:p>
            <w:r>
              <w:rPr>
                <w:b/>
                <w:sz w:val="18"/>
              </w:rPr>
              <w:t>Purpose</w:t>
            </w:r>
          </w:p>
        </w:tc>
        <w:tc>
          <w:tcPr>
            <w:tcW w:type="dxa" w:w="1504"/>
          </w:tcPr>
          <w:p>
            <w:r>
              <w:rPr>
                <w:b/>
                <w:sz w:val="18"/>
              </w:rPr>
              <w:t>Source</w:t>
            </w:r>
          </w:p>
        </w:tc>
      </w:tr>
      <w:tr>
        <w:tc>
          <w:tcPr>
            <w:tcW w:type="dxa" w:w="1504"/>
          </w:tcPr>
          <w:p>
            <w:r>
              <w:rPr>
                <w:sz w:val="18"/>
              </w:rPr>
              <w:t>CUB-200-2011</w:t>
            </w:r>
          </w:p>
        </w:tc>
        <w:tc>
          <w:tcPr>
            <w:tcW w:type="dxa" w:w="1504"/>
          </w:tcPr>
          <w:p>
            <w:r>
              <w:rPr>
                <w:sz w:val="18"/>
              </w:rPr>
              <w:t>11,788</w:t>
            </w:r>
          </w:p>
        </w:tc>
        <w:tc>
          <w:tcPr>
            <w:tcW w:type="dxa" w:w="1504"/>
          </w:tcPr>
          <w:p>
            <w:r>
              <w:rPr>
                <w:sz w:val="18"/>
              </w:rPr>
              <w:t>200</w:t>
            </w:r>
          </w:p>
        </w:tc>
        <w:tc>
          <w:tcPr>
            <w:tcW w:type="dxa" w:w="1504"/>
          </w:tcPr>
          <w:p>
            <w:r>
              <w:rPr>
                <w:sz w:val="18"/>
              </w:rPr>
              <w:t>Bbox + Parts</w:t>
            </w:r>
          </w:p>
        </w:tc>
        <w:tc>
          <w:tcPr>
            <w:tcW w:type="dxa" w:w="1504"/>
          </w:tcPr>
          <w:p>
            <w:r>
              <w:rPr>
                <w:sz w:val="18"/>
              </w:rPr>
              <w:t>Metrics</w:t>
            </w:r>
          </w:p>
        </w:tc>
        <w:tc>
          <w:tcPr>
            <w:tcW w:type="dxa" w:w="1504"/>
          </w:tcPr>
          <w:p>
            <w:r>
              <w:rPr>
                <w:sz w:val="18"/>
              </w:rPr>
              <w:t>caltech.edu</w:t>
            </w:r>
          </w:p>
        </w:tc>
      </w:tr>
      <w:tr>
        <w:tc>
          <w:tcPr>
            <w:tcW w:type="dxa" w:w="1504"/>
          </w:tcPr>
          <w:p>
            <w:r>
              <w:rPr>
                <w:sz w:val="18"/>
              </w:rPr>
              <w:t>ObjectNet</w:t>
            </w:r>
          </w:p>
        </w:tc>
        <w:tc>
          <w:tcPr>
            <w:tcW w:type="dxa" w:w="1504"/>
          </w:tcPr>
          <w:p>
            <w:r>
              <w:rPr>
                <w:sz w:val="18"/>
              </w:rPr>
              <w:t>50,000+</w:t>
            </w:r>
          </w:p>
        </w:tc>
        <w:tc>
          <w:tcPr>
            <w:tcW w:type="dxa" w:w="1504"/>
          </w:tcPr>
          <w:p>
            <w:r>
              <w:rPr>
                <w:sz w:val="18"/>
              </w:rPr>
              <w:t>313</w:t>
            </w:r>
          </w:p>
        </w:tc>
        <w:tc>
          <w:tcPr>
            <w:tcW w:type="dxa" w:w="1504"/>
          </w:tcPr>
          <w:p>
            <w:r>
              <w:rPr>
                <w:sz w:val="18"/>
              </w:rPr>
              <w:t>Context labels</w:t>
            </w:r>
          </w:p>
        </w:tc>
        <w:tc>
          <w:tcPr>
            <w:tcW w:type="dxa" w:w="1504"/>
          </w:tcPr>
          <w:p>
            <w:r>
              <w:rPr>
                <w:sz w:val="18"/>
              </w:rPr>
              <w:t>Natural bias</w:t>
            </w:r>
          </w:p>
        </w:tc>
        <w:tc>
          <w:tcPr>
            <w:tcW w:type="dxa" w:w="1504"/>
          </w:tcPr>
          <w:p>
            <w:r>
              <w:rPr>
                <w:sz w:val="18"/>
              </w:rPr>
              <w:t>objectnet.dev</w:t>
            </w:r>
          </w:p>
        </w:tc>
      </w:tr>
      <w:tr>
        <w:tc>
          <w:tcPr>
            <w:tcW w:type="dxa" w:w="1504"/>
          </w:tcPr>
          <w:p>
            <w:r>
              <w:rPr>
                <w:sz w:val="18"/>
              </w:rPr>
              <w:t>ImageNet-1K</w:t>
            </w:r>
          </w:p>
        </w:tc>
        <w:tc>
          <w:tcPr>
            <w:tcW w:type="dxa" w:w="1504"/>
          </w:tcPr>
          <w:p>
            <w:r>
              <w:rPr>
                <w:sz w:val="18"/>
              </w:rPr>
              <w:t>1.28M</w:t>
            </w:r>
          </w:p>
        </w:tc>
        <w:tc>
          <w:tcPr>
            <w:tcW w:type="dxa" w:w="1504"/>
          </w:tcPr>
          <w:p>
            <w:r>
              <w:rPr>
                <w:sz w:val="18"/>
              </w:rPr>
              <w:t>1,000</w:t>
            </w:r>
          </w:p>
        </w:tc>
        <w:tc>
          <w:tcPr>
            <w:tcW w:type="dxa" w:w="1504"/>
          </w:tcPr>
          <w:p>
            <w:r>
              <w:rPr>
                <w:sz w:val="18"/>
              </w:rPr>
              <w:t>Class labels</w:t>
            </w:r>
          </w:p>
        </w:tc>
        <w:tc>
          <w:tcPr>
            <w:tcW w:type="dxa" w:w="1504"/>
          </w:tcPr>
          <w:p>
            <w:r>
              <w:rPr>
                <w:sz w:val="18"/>
              </w:rPr>
              <w:t>Pretrained eval</w:t>
            </w:r>
          </w:p>
        </w:tc>
        <w:tc>
          <w:tcPr>
            <w:tcW w:type="dxa" w:w="1504"/>
          </w:tcPr>
          <w:p>
            <w:r>
              <w:rPr>
                <w:sz w:val="18"/>
              </w:rPr>
              <w:t>image-net.org</w:t>
            </w:r>
          </w:p>
        </w:tc>
      </w:tr>
      <w:tr>
        <w:tc>
          <w:tcPr>
            <w:tcW w:type="dxa" w:w="1504"/>
          </w:tcPr>
          <w:p>
            <w:r>
              <w:rPr>
                <w:sz w:val="18"/>
              </w:rPr>
              <w:t>Planted-Bias (synthetic)</w:t>
            </w:r>
          </w:p>
        </w:tc>
        <w:tc>
          <w:tcPr>
            <w:tcW w:type="dxa" w:w="1504"/>
          </w:tcPr>
          <w:p>
            <w:r>
              <w:rPr>
                <w:sz w:val="18"/>
              </w:rPr>
              <w:t>320-2000</w:t>
            </w:r>
          </w:p>
        </w:tc>
        <w:tc>
          <w:tcPr>
            <w:tcW w:type="dxa" w:w="1504"/>
          </w:tcPr>
          <w:p>
            <w:r>
              <w:rPr>
                <w:sz w:val="18"/>
              </w:rPr>
              <w:t>2-8</w:t>
            </w:r>
          </w:p>
        </w:tc>
        <w:tc>
          <w:tcPr>
            <w:tcW w:type="dxa" w:w="1504"/>
          </w:tcPr>
          <w:p>
            <w:r>
              <w:rPr>
                <w:sz w:val="18"/>
              </w:rPr>
              <w:t>Planted correlation</w:t>
            </w:r>
          </w:p>
        </w:tc>
        <w:tc>
          <w:tcPr>
            <w:tcW w:type="dxa" w:w="1504"/>
          </w:tcPr>
          <w:p>
            <w:r>
              <w:rPr>
                <w:sz w:val="18"/>
              </w:rPr>
              <w:t>Screening validation</w:t>
            </w:r>
          </w:p>
        </w:tc>
        <w:tc>
          <w:tcPr>
            <w:tcW w:type="dxa" w:w="1504"/>
          </w:tcPr>
          <w:p>
            <w:r>
              <w:rPr>
                <w:sz w:val="18"/>
              </w:rPr>
              <w:t>Self-generated</w:t>
            </w:r>
          </w:p>
        </w:tc>
      </w:tr>
    </w:tbl>
    <w:tbl>
      <w:tblPr>
        <w:tblStyle w:val="LightGrid-Accent1"/>
        <w:tblW w:type="auto" w:w="0"/>
        <w:tblLook w:firstColumn="1" w:firstRow="1" w:lastColumn="0" w:lastRow="0" w:noHBand="0" w:noVBand="1" w:val="04A0"/>
      </w:tblPr>
      <w:tblGrid>
        <w:gridCol w:w="3009"/>
        <w:gridCol w:w="3009"/>
        <w:gridCol w:w="3009"/>
      </w:tblGrid>
      <w:tr>
        <w:tc>
          <w:tcPr>
            <w:tcW w:type="dxa" w:w="3009"/>
          </w:tcPr>
          <w:p>
            <w:r>
              <w:rPr>
                <w:b/>
                <w:sz w:val="18"/>
              </w:rPr>
              <w:t>Property</w:t>
            </w:r>
          </w:p>
        </w:tc>
        <w:tc>
          <w:tcPr>
            <w:tcW w:type="dxa" w:w="3009"/>
          </w:tcPr>
          <w:p>
            <w:r>
              <w:rPr>
                <w:b/>
                <w:sz w:val="18"/>
              </w:rPr>
              <w:t>Value</w:t>
            </w:r>
          </w:p>
        </w:tc>
        <w:tc>
          <w:tcPr>
            <w:tcW w:type="dxa" w:w="3009"/>
          </w:tcPr>
          <w:p>
            <w:r>
              <w:rPr>
                <w:b/>
                <w:sz w:val="18"/>
              </w:rPr>
              <w:t>Description</w:t>
            </w:r>
          </w:p>
        </w:tc>
      </w:tr>
      <w:tr>
        <w:tc>
          <w:tcPr>
            <w:tcW w:type="dxa" w:w="3009"/>
          </w:tcPr>
          <w:p>
            <w:r>
              <w:rPr>
                <w:sz w:val="18"/>
              </w:rPr>
              <w:t>Total Images</w:t>
            </w:r>
          </w:p>
        </w:tc>
        <w:tc>
          <w:tcPr>
            <w:tcW w:type="dxa" w:w="3009"/>
          </w:tcPr>
          <w:p>
            <w:r>
              <w:rPr>
                <w:sz w:val="18"/>
              </w:rPr>
              <w:t>11,788</w:t>
            </w:r>
          </w:p>
        </w:tc>
        <w:tc>
          <w:tcPr>
            <w:tcW w:type="dxa" w:w="3009"/>
          </w:tcPr>
          <w:p>
            <w:r>
              <w:rPr>
                <w:sz w:val="18"/>
              </w:rPr>
              <w:t>All species combined</w:t>
            </w:r>
          </w:p>
        </w:tc>
      </w:tr>
      <w:tr>
        <w:tc>
          <w:tcPr>
            <w:tcW w:type="dxa" w:w="3009"/>
          </w:tcPr>
          <w:p>
            <w:r>
              <w:rPr>
                <w:sz w:val="18"/>
              </w:rPr>
              <w:t>Number of Classes</w:t>
            </w:r>
          </w:p>
        </w:tc>
        <w:tc>
          <w:tcPr>
            <w:tcW w:type="dxa" w:w="3009"/>
          </w:tcPr>
          <w:p>
            <w:r>
              <w:rPr>
                <w:sz w:val="18"/>
              </w:rPr>
              <w:t>200</w:t>
            </w:r>
          </w:p>
        </w:tc>
        <w:tc>
          <w:tcPr>
            <w:tcW w:type="dxa" w:w="3009"/>
          </w:tcPr>
          <w:p>
            <w:r>
              <w:rPr>
                <w:sz w:val="18"/>
              </w:rPr>
              <w:t>Bird species</w:t>
            </w:r>
          </w:p>
        </w:tc>
      </w:tr>
      <w:tr>
        <w:tc>
          <w:tcPr>
            <w:tcW w:type="dxa" w:w="3009"/>
          </w:tcPr>
          <w:p>
            <w:r>
              <w:rPr>
                <w:sz w:val="18"/>
              </w:rPr>
              <w:t>Images per Class</w:t>
            </w:r>
          </w:p>
        </w:tc>
        <w:tc>
          <w:tcPr>
            <w:tcW w:type="dxa" w:w="3009"/>
          </w:tcPr>
          <w:p>
            <w:r>
              <w:rPr>
                <w:sz w:val="18"/>
              </w:rPr>
              <w:t>~59 (avg)</w:t>
            </w:r>
          </w:p>
        </w:tc>
        <w:tc>
          <w:tcPr>
            <w:tcW w:type="dxa" w:w="3009"/>
          </w:tcPr>
          <w:p>
            <w:r>
              <w:rPr>
                <w:sz w:val="18"/>
              </w:rPr>
              <w:t>Range: 30-60</w:t>
            </w:r>
          </w:p>
        </w:tc>
      </w:tr>
      <w:tr>
        <w:tc>
          <w:tcPr>
            <w:tcW w:type="dxa" w:w="3009"/>
          </w:tcPr>
          <w:p>
            <w:r>
              <w:rPr>
                <w:sz w:val="18"/>
              </w:rPr>
              <w:t>Bounding Boxes</w:t>
            </w:r>
          </w:p>
        </w:tc>
        <w:tc>
          <w:tcPr>
            <w:tcW w:type="dxa" w:w="3009"/>
          </w:tcPr>
          <w:p>
            <w:r>
              <w:rPr>
                <w:sz w:val="18"/>
              </w:rPr>
              <w:t>11,788</w:t>
            </w:r>
          </w:p>
        </w:tc>
        <w:tc>
          <w:tcPr>
            <w:tcW w:type="dxa" w:w="3009"/>
          </w:tcPr>
          <w:p>
            <w:r>
              <w:rPr>
                <w:sz w:val="18"/>
              </w:rPr>
              <w:t>One per image</w:t>
            </w:r>
          </w:p>
        </w:tc>
      </w:tr>
      <w:tr>
        <w:tc>
          <w:tcPr>
            <w:tcW w:type="dxa" w:w="3009"/>
          </w:tcPr>
          <w:p>
            <w:r>
              <w:rPr>
                <w:sz w:val="18"/>
              </w:rPr>
              <w:t>Part Keypoints</w:t>
            </w:r>
          </w:p>
        </w:tc>
        <w:tc>
          <w:tcPr>
            <w:tcW w:type="dxa" w:w="3009"/>
          </w:tcPr>
          <w:p>
            <w:r>
              <w:rPr>
                <w:sz w:val="18"/>
              </w:rPr>
              <w:t>15 per image</w:t>
            </w:r>
          </w:p>
        </w:tc>
        <w:tc>
          <w:tcPr>
            <w:tcW w:type="dxa" w:w="3009"/>
          </w:tcPr>
          <w:p>
            <w:r>
              <w:rPr>
                <w:sz w:val="18"/>
              </w:rPr>
              <w:t>Anatomical landmarks</w:t>
            </w:r>
          </w:p>
        </w:tc>
      </w:tr>
      <w:tr>
        <w:tc>
          <w:tcPr>
            <w:tcW w:type="dxa" w:w="3009"/>
          </w:tcPr>
          <w:p>
            <w:r>
              <w:rPr>
                <w:sz w:val="18"/>
              </w:rPr>
              <w:t>Image Resolution</w:t>
            </w:r>
          </w:p>
        </w:tc>
        <w:tc>
          <w:tcPr>
            <w:tcW w:type="dxa" w:w="3009"/>
          </w:tcPr>
          <w:p>
            <w:r>
              <w:rPr>
                <w:sz w:val="18"/>
              </w:rPr>
              <w:t>Variable</w:t>
            </w:r>
          </w:p>
        </w:tc>
        <w:tc>
          <w:tcPr>
            <w:tcW w:type="dxa" w:w="3009"/>
          </w:tcPr>
          <w:p>
            <w:r>
              <w:rPr>
                <w:sz w:val="18"/>
              </w:rPr>
              <w:t>Typically 200-500 px</w:t>
            </w:r>
          </w:p>
        </w:tc>
      </w:tr>
      <w:tr>
        <w:tc>
          <w:tcPr>
            <w:tcW w:type="dxa" w:w="3009"/>
          </w:tcPr>
          <w:p>
            <w:r>
              <w:rPr>
                <w:sz w:val="18"/>
              </w:rPr>
              <w:t>File Format</w:t>
            </w:r>
          </w:p>
        </w:tc>
        <w:tc>
          <w:tcPr>
            <w:tcW w:type="dxa" w:w="3009"/>
          </w:tcPr>
          <w:p>
            <w:r>
              <w:rPr>
                <w:sz w:val="18"/>
              </w:rPr>
              <w:t>JPEG</w:t>
            </w:r>
          </w:p>
        </w:tc>
        <w:tc>
          <w:tcPr>
            <w:tcW w:type="dxa" w:w="3009"/>
          </w:tcPr>
          <w:p>
            <w:r>
              <w:rPr>
                <w:sz w:val="18"/>
              </w:rPr>
              <w:t>RGB color images</w:t>
            </w:r>
          </w:p>
        </w:tc>
      </w:tr>
      <w:tr>
        <w:tc>
          <w:tcPr>
            <w:tcW w:type="dxa" w:w="3009"/>
          </w:tcPr>
          <w:p>
            <w:r>
              <w:rPr>
                <w:sz w:val="18"/>
              </w:rPr>
              <w:t>Train/Test Split</w:t>
            </w:r>
          </w:p>
        </w:tc>
        <w:tc>
          <w:tcPr>
            <w:tcW w:type="dxa" w:w="3009"/>
          </w:tcPr>
          <w:p>
            <w:r>
              <w:rPr>
                <w:sz w:val="18"/>
              </w:rPr>
              <w:t>Not predefined</w:t>
            </w:r>
          </w:p>
        </w:tc>
        <w:tc>
          <w:tcPr>
            <w:tcW w:type="dxa" w:w="3009"/>
          </w:tcPr>
          <w:p>
            <w:r>
              <w:rPr>
                <w:sz w:val="18"/>
              </w:rPr>
              <w:t>User-defined</w:t>
            </w:r>
          </w:p>
        </w:tc>
      </w:tr>
    </w:tbl>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rPr>
                <w:b/>
                <w:sz w:val="18"/>
              </w:rPr>
              <w:t>Model</w:t>
            </w:r>
          </w:p>
        </w:tc>
        <w:tc>
          <w:tcPr>
            <w:tcW w:type="dxa" w:w="1805"/>
          </w:tcPr>
          <w:p>
            <w:r>
              <w:rPr>
                <w:b/>
                <w:sz w:val="18"/>
              </w:rPr>
              <w:t>Parameters</w:t>
            </w:r>
          </w:p>
        </w:tc>
        <w:tc>
          <w:tcPr>
            <w:tcW w:type="dxa" w:w="1805"/>
          </w:tcPr>
          <w:p>
            <w:r>
              <w:rPr>
                <w:b/>
                <w:sz w:val="18"/>
              </w:rPr>
              <w:t>Input Size</w:t>
            </w:r>
          </w:p>
        </w:tc>
        <w:tc>
          <w:tcPr>
            <w:tcW w:type="dxa" w:w="1805"/>
          </w:tcPr>
          <w:p>
            <w:r>
              <w:rPr>
                <w:b/>
                <w:sz w:val="18"/>
              </w:rPr>
              <w:t>Top-1 Acc</w:t>
            </w:r>
          </w:p>
        </w:tc>
        <w:tc>
          <w:tcPr>
            <w:tcW w:type="dxa" w:w="1805"/>
          </w:tcPr>
          <w:p>
            <w:r>
              <w:rPr>
                <w:b/>
                <w:sz w:val="18"/>
              </w:rPr>
              <w:t>Source</w:t>
            </w:r>
          </w:p>
        </w:tc>
      </w:tr>
      <w:tr>
        <w:tc>
          <w:tcPr>
            <w:tcW w:type="dxa" w:w="1805"/>
          </w:tcPr>
          <w:p>
            <w:r>
              <w:rPr>
                <w:sz w:val="18"/>
              </w:rPr>
              <w:t>ResNet-50</w:t>
            </w:r>
          </w:p>
        </w:tc>
        <w:tc>
          <w:tcPr>
            <w:tcW w:type="dxa" w:w="1805"/>
          </w:tcPr>
          <w:p>
            <w:r>
              <w:rPr>
                <w:sz w:val="18"/>
              </w:rPr>
              <w:t>25.6M</w:t>
            </w:r>
          </w:p>
        </w:tc>
        <w:tc>
          <w:tcPr>
            <w:tcW w:type="dxa" w:w="1805"/>
          </w:tcPr>
          <w:p>
            <w:r>
              <w:rPr>
                <w:sz w:val="18"/>
              </w:rPr>
              <w:t>224×224</w:t>
            </w:r>
          </w:p>
        </w:tc>
        <w:tc>
          <w:tcPr>
            <w:tcW w:type="dxa" w:w="1805"/>
          </w:tcPr>
          <w:p>
            <w:r>
              <w:rPr>
                <w:sz w:val="18"/>
              </w:rPr>
              <w:t>80.8%</w:t>
            </w:r>
          </w:p>
        </w:tc>
        <w:tc>
          <w:tcPr>
            <w:tcW w:type="dxa" w:w="1805"/>
          </w:tcPr>
          <w:p>
            <w:r>
              <w:rPr>
                <w:sz w:val="18"/>
              </w:rPr>
              <w:t>torchvision</w:t>
            </w:r>
          </w:p>
        </w:tc>
      </w:tr>
      <w:tr>
        <w:tc>
          <w:tcPr>
            <w:tcW w:type="dxa" w:w="1805"/>
          </w:tcPr>
          <w:p>
            <w:r>
              <w:rPr>
                <w:sz w:val="18"/>
              </w:rPr>
              <w:t>ViT-B/16</w:t>
            </w:r>
          </w:p>
        </w:tc>
        <w:tc>
          <w:tcPr>
            <w:tcW w:type="dxa" w:w="1805"/>
          </w:tcPr>
          <w:p>
            <w:r>
              <w:rPr>
                <w:sz w:val="18"/>
              </w:rPr>
              <w:t>86.6M</w:t>
            </w:r>
          </w:p>
        </w:tc>
        <w:tc>
          <w:tcPr>
            <w:tcW w:type="dxa" w:w="1805"/>
          </w:tcPr>
          <w:p>
            <w:r>
              <w:rPr>
                <w:sz w:val="18"/>
              </w:rPr>
              <w:t>224×224</w:t>
            </w:r>
          </w:p>
        </w:tc>
        <w:tc>
          <w:tcPr>
            <w:tcW w:type="dxa" w:w="1805"/>
          </w:tcPr>
          <w:p>
            <w:r>
              <w:rPr>
                <w:sz w:val="18"/>
              </w:rPr>
              <w:t>81.0%</w:t>
            </w:r>
          </w:p>
        </w:tc>
        <w:tc>
          <w:tcPr>
            <w:tcW w:type="dxa" w:w="1805"/>
          </w:tcPr>
          <w:p>
            <w:r>
              <w:rPr>
                <w:sz w:val="18"/>
              </w:rPr>
              <w:t>timm</w:t>
            </w:r>
          </w:p>
        </w:tc>
      </w:tr>
    </w:tbl>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rPr>
                <w:b/>
                <w:sz w:val="18"/>
              </w:rPr>
              <w:t>Config</w:t>
            </w:r>
          </w:p>
        </w:tc>
        <w:tc>
          <w:tcPr>
            <w:tcW w:type="dxa" w:w="1805"/>
          </w:tcPr>
          <w:p>
            <w:r>
              <w:rPr>
                <w:b/>
                <w:sz w:val="18"/>
              </w:rPr>
              <w:t>Classes</w:t>
            </w:r>
          </w:p>
        </w:tc>
        <w:tc>
          <w:tcPr>
            <w:tcW w:type="dxa" w:w="1805"/>
          </w:tcPr>
          <w:p>
            <w:r>
              <w:rPr>
                <w:b/>
                <w:sz w:val="18"/>
              </w:rPr>
              <w:t>Images/Class</w:t>
            </w:r>
          </w:p>
        </w:tc>
        <w:tc>
          <w:tcPr>
            <w:tcW w:type="dxa" w:w="1805"/>
          </w:tcPr>
          <w:p>
            <w:r>
              <w:rPr>
                <w:b/>
                <w:sz w:val="18"/>
              </w:rPr>
              <w:t>Total Images</w:t>
            </w:r>
          </w:p>
        </w:tc>
        <w:tc>
          <w:tcPr>
            <w:tcW w:type="dxa" w:w="1805"/>
          </w:tcPr>
          <w:p>
            <w:r>
              <w:rPr>
                <w:b/>
                <w:sz w:val="18"/>
              </w:rPr>
              <w:t>Correlation</w:t>
            </w:r>
          </w:p>
        </w:tc>
      </w:tr>
      <w:tr>
        <w:tc>
          <w:tcPr>
            <w:tcW w:type="dxa" w:w="1805"/>
          </w:tcPr>
          <w:p>
            <w:r>
              <w:rPr>
                <w:sz w:val="18"/>
              </w:rPr>
              <w:t>CPU 2-class</w:t>
            </w:r>
          </w:p>
        </w:tc>
        <w:tc>
          <w:tcPr>
            <w:tcW w:type="dxa" w:w="1805"/>
          </w:tcPr>
          <w:p>
            <w:r>
              <w:rPr>
                <w:sz w:val="18"/>
              </w:rPr>
              <w:t>2</w:t>
            </w:r>
          </w:p>
        </w:tc>
        <w:tc>
          <w:tcPr>
            <w:tcW w:type="dxa" w:w="1805"/>
          </w:tcPr>
          <w:p>
            <w:r>
              <w:rPr>
                <w:sz w:val="18"/>
              </w:rPr>
              <w:t>60</w:t>
            </w:r>
          </w:p>
        </w:tc>
        <w:tc>
          <w:tcPr>
            <w:tcW w:type="dxa" w:w="1805"/>
          </w:tcPr>
          <w:p>
            <w:r>
              <w:rPr>
                <w:sz w:val="18"/>
              </w:rPr>
              <w:t>120</w:t>
            </w:r>
          </w:p>
        </w:tc>
        <w:tc>
          <w:tcPr>
            <w:tcW w:type="dxa" w:w="1805"/>
          </w:tcPr>
          <w:p>
            <w:r>
              <w:rPr>
                <w:sz w:val="18"/>
              </w:rPr>
              <w:t>95%</w:t>
            </w:r>
          </w:p>
        </w:tc>
      </w:tr>
      <w:tr>
        <w:tc>
          <w:tcPr>
            <w:tcW w:type="dxa" w:w="1805"/>
          </w:tcPr>
          <w:p>
            <w:r>
              <w:rPr>
                <w:sz w:val="18"/>
              </w:rPr>
              <w:t>CPU 4-class</w:t>
            </w:r>
          </w:p>
        </w:tc>
        <w:tc>
          <w:tcPr>
            <w:tcW w:type="dxa" w:w="1805"/>
          </w:tcPr>
          <w:p>
            <w:r>
              <w:rPr>
                <w:sz w:val="18"/>
              </w:rPr>
              <w:t>4</w:t>
            </w:r>
          </w:p>
        </w:tc>
        <w:tc>
          <w:tcPr>
            <w:tcW w:type="dxa" w:w="1805"/>
          </w:tcPr>
          <w:p>
            <w:r>
              <w:rPr>
                <w:sz w:val="18"/>
              </w:rPr>
              <w:t>60</w:t>
            </w:r>
          </w:p>
        </w:tc>
        <w:tc>
          <w:tcPr>
            <w:tcW w:type="dxa" w:w="1805"/>
          </w:tcPr>
          <w:p>
            <w:r>
              <w:rPr>
                <w:sz w:val="18"/>
              </w:rPr>
              <w:t>240</w:t>
            </w:r>
          </w:p>
        </w:tc>
        <w:tc>
          <w:tcPr>
            <w:tcW w:type="dxa" w:w="1805"/>
          </w:tcPr>
          <w:p>
            <w:r>
              <w:rPr>
                <w:sz w:val="18"/>
              </w:rPr>
              <w:t>95%</w:t>
            </w:r>
          </w:p>
        </w:tc>
      </w:tr>
      <w:tr>
        <w:tc>
          <w:tcPr>
            <w:tcW w:type="dxa" w:w="1805"/>
          </w:tcPr>
          <w:p>
            <w:r>
              <w:rPr>
                <w:sz w:val="18"/>
              </w:rPr>
              <w:t>GPU 4-class</w:t>
            </w:r>
          </w:p>
        </w:tc>
        <w:tc>
          <w:tcPr>
            <w:tcW w:type="dxa" w:w="1805"/>
          </w:tcPr>
          <w:p>
            <w:r>
              <w:rPr>
                <w:sz w:val="18"/>
              </w:rPr>
              <w:t>4</w:t>
            </w:r>
          </w:p>
        </w:tc>
        <w:tc>
          <w:tcPr>
            <w:tcW w:type="dxa" w:w="1805"/>
          </w:tcPr>
          <w:p>
            <w:r>
              <w:rPr>
                <w:sz w:val="18"/>
              </w:rPr>
              <w:t>80</w:t>
            </w:r>
          </w:p>
        </w:tc>
        <w:tc>
          <w:tcPr>
            <w:tcW w:type="dxa" w:w="1805"/>
          </w:tcPr>
          <w:p>
            <w:r>
              <w:rPr>
                <w:sz w:val="18"/>
              </w:rPr>
              <w:t>320</w:t>
            </w:r>
          </w:p>
        </w:tc>
        <w:tc>
          <w:tcPr>
            <w:tcW w:type="dxa" w:w="1805"/>
          </w:tcPr>
          <w:p>
            <w:r>
              <w:rPr>
                <w:sz w:val="18"/>
              </w:rPr>
              <w:t>95%</w:t>
            </w:r>
          </w:p>
        </w:tc>
      </w:tr>
      <w:tr>
        <w:tc>
          <w:tcPr>
            <w:tcW w:type="dxa" w:w="1805"/>
          </w:tcPr>
          <w:p>
            <w:r>
              <w:rPr>
                <w:sz w:val="18"/>
              </w:rPr>
              <w:t>GPU 8-class</w:t>
            </w:r>
          </w:p>
        </w:tc>
        <w:tc>
          <w:tcPr>
            <w:tcW w:type="dxa" w:w="1805"/>
          </w:tcPr>
          <w:p>
            <w:r>
              <w:rPr>
                <w:sz w:val="18"/>
              </w:rPr>
              <w:t>8</w:t>
            </w:r>
          </w:p>
        </w:tc>
        <w:tc>
          <w:tcPr>
            <w:tcW w:type="dxa" w:w="1805"/>
          </w:tcPr>
          <w:p>
            <w:r>
              <w:rPr>
                <w:sz w:val="18"/>
              </w:rPr>
              <w:t>80</w:t>
            </w:r>
          </w:p>
        </w:tc>
        <w:tc>
          <w:tcPr>
            <w:tcW w:type="dxa" w:w="1805"/>
          </w:tcPr>
          <w:p>
            <w:r>
              <w:rPr>
                <w:sz w:val="18"/>
              </w:rPr>
              <w:t>640</w:t>
            </w:r>
          </w:p>
        </w:tc>
        <w:tc>
          <w:tcPr>
            <w:tcW w:type="dxa" w:w="1805"/>
          </w:tcPr>
          <w:p>
            <w:r>
              <w:rPr>
                <w:sz w:val="18"/>
              </w:rPr>
              <w:t>95%</w:t>
            </w:r>
          </w:p>
        </w:tc>
      </w:tr>
    </w:tbl>
    <w:p>
      <w:pPr>
        <w:spacing w:before="480" w:after="320"/>
        <w:jc w:val="center"/>
      </w:pPr>
      <w:r>
        <w:rPr>
          <w:rFonts w:ascii="Times New Roman" w:hAnsi="Times New Roman"/>
          <w:b/>
          <w:sz w:val="32"/>
        </w:rPr>
        <w:t>4. Proposed Methodology</w:t>
      </w:r>
    </w:p>
    <w:p>
      <w:pPr>
        <w:spacing w:after="160" w:line="276" w:lineRule="auto"/>
        <w:jc w:val="both"/>
      </w:pPr>
      <w:r>
        <w:rPr>
          <w:rFonts w:ascii="Times New Roman" w:hAnsi="Times New Roman"/>
          <w:sz w:val="22"/>
        </w:rPr>
        <w:t>This section presents the complete methodology underlying the AttentionLens framework, including system architecture, unified dual-view abstraction, attention extractors for both CNN and ViT models, quantitative attention metrics, the automated screening engine, the causal intervention loop, and the interactive user interface. The methodology is designed to address the five limitations identified in the problem statement and achieve the six research objectives outlined in Section 1.</w:t>
      </w:r>
    </w:p>
    <w:p>
      <w:pPr>
        <w:spacing w:before="240" w:after="240"/>
        <w:jc w:val="center"/>
      </w:pPr>
      <w:r>
        <w:rPr>
          <w:rFonts w:ascii="Times New Roman" w:hAnsi="Times New Roman"/>
          <w:i/>
          <w:color w:val="787878"/>
          <w:sz w:val="20"/>
        </w:rPr>
        <w:br/>
        <w:t>────────────────────────────────────────────────────────────</w:t>
        <w:br/>
        <w:br/>
        <w:t>[ PLACEHOLDER: SYSTEM ARCHITECTURE DIAGRAM - Complete AttentionLens Framework showing all components and data flow ]</w:t>
        <w:br/>
        <w:br/>
        <w:t>────────────────────────────────────────────────────────────</w:t>
        <w:br/>
      </w:r>
    </w:p>
    <w:p>
      <w:pPr>
        <w:spacing w:before="360" w:after="200"/>
      </w:pPr>
      <w:r>
        <w:rPr>
          <w:rFonts w:ascii="Times New Roman" w:hAnsi="Times New Roman"/>
          <w:b/>
          <w:sz w:val="24"/>
        </w:rPr>
        <w:t>4.1 System Architecture</w:t>
      </w:r>
    </w:p>
    <w:p>
      <w:pPr>
        <w:spacing w:after="160" w:line="276" w:lineRule="auto"/>
        <w:jc w:val="both"/>
      </w:pPr>
      <w:r>
        <w:rPr>
          <w:rFonts w:ascii="Times New Roman" w:hAnsi="Times New Roman"/>
          <w:sz w:val="22"/>
        </w:rPr>
        <w:t>The AttentionLens framework follows a modular architecture consisting of five primary components: (1) the Preprocessing Module, which handles image loading and normalization; (2) the Attention Extractors, which produce dual-view attention maps for CNN and ViT models; (3) the Metrics Module, which computes quantitative attention quality measures; (4) the Screening Engine, which aggregates metrics and generates evidence-backed verdicts; and (5) the Interactive Interface, which provides a Gradio-based web UI for exploration and debugging.</w:t>
      </w:r>
    </w:p>
    <w:p>
      <w:pPr>
        <w:spacing w:after="160" w:line="276" w:lineRule="auto"/>
        <w:jc w:val="both"/>
      </w:pPr>
      <w:r>
        <w:rPr>
          <w:rFonts w:ascii="Times New Roman" w:hAnsi="Times New Roman"/>
          <w:sz w:val="22"/>
        </w:rPr>
        <w:t>The architecture is designed around a unified data schema (LayerMap) that treats CNN and ViT attention patterns symmetrically, enabling downstream components to operate identically regardless of the underlying model architecture. This unified abstraction is the key innovation that enables fair cross-architecture comparison and metric computation.</w:t>
      </w:r>
    </w:p>
    <w:p>
      <w:pPr>
        <w:spacing w:after="160" w:line="276" w:lineRule="auto"/>
        <w:jc w:val="both"/>
      </w:pPr>
      <w:r>
        <w:rPr>
          <w:rFonts w:ascii="Times New Roman" w:hAnsi="Times New Roman"/>
          <w:sz w:val="22"/>
        </w:rPr>
        <w:t>The system follows a pipeline architecture where input images flow through preprocessing, then through the appropriate extractor (ResNet or ViT), producing LayerMap objects that are consumed by the metrics module. The computed metrics are then aggregated by the screening engine, which produces verdicts and evidence reports. The interactive interface provides real-time access to all components, enabling researchers to explore attention patterns and perform causal interventions.</w:t>
      </w:r>
    </w:p>
    <w:p>
      <w:pPr>
        <w:spacing w:before="360" w:after="200"/>
      </w:pPr>
      <w:r>
        <w:rPr>
          <w:rFonts w:ascii="Times New Roman" w:hAnsi="Times New Roman"/>
          <w:b/>
          <w:sz w:val="24"/>
        </w:rPr>
        <w:t>4.2 Unified Dual-View Abstraction</w:t>
      </w:r>
    </w:p>
    <w:p>
      <w:pPr>
        <w:spacing w:after="160" w:line="276" w:lineRule="auto"/>
        <w:jc w:val="both"/>
      </w:pPr>
      <w:r>
        <w:rPr>
          <w:rFonts w:ascii="Times New Roman" w:hAnsi="Times New Roman"/>
          <w:sz w:val="22"/>
        </w:rPr>
        <w:t>The core innovation of AttentionLens is the unified dual-view abstraction, which captures both native attention patterns and class-conditioned relevance evidence in a common schema. This abstraction addresses Limitation 1 (architecture fragmentation) by providing a single data structure that works identically for CNNs and ViTs.</w:t>
      </w:r>
    </w:p>
    <w:p>
      <w:pPr>
        <w:spacing w:before="280" w:after="160"/>
      </w:pPr>
      <w:r>
        <w:rPr>
          <w:rFonts w:ascii="Times New Roman" w:hAnsi="Times New Roman"/>
          <w:b/>
          <w:sz w:val="22"/>
        </w:rPr>
        <w:t>4.2.1 LayerMap Schema</w:t>
      </w:r>
    </w:p>
    <w:p>
      <w:pPr>
        <w:spacing w:after="160" w:line="276" w:lineRule="auto"/>
        <w:jc w:val="both"/>
      </w:pPr>
      <w:r>
        <w:rPr>
          <w:rFonts w:ascii="Times New Roman" w:hAnsi="Times New Roman"/>
          <w:sz w:val="22"/>
        </w:rPr>
        <w:t>The LayerMap data structure is the fundamental unit of attention representation in AttentionLens. Each LayerMap object represents one attention map for one layer, one view (native or class-conditioned), and one model class. The schema is defined as follows:</w:t>
      </w:r>
    </w:p>
    <w:p>
      <w:pPr>
        <w:spacing w:after="160" w:line="276" w:lineRule="auto"/>
        <w:jc w:val="both"/>
      </w:pPr>
      <w:r>
        <w:rPr>
          <w:rFonts w:ascii="Times New Roman" w:hAnsi="Times New Roman"/>
          <w:sz w:val="22"/>
        </w:rPr>
        <w:t>class LayerMap: layer_name (string identifier for the layer, e.g., 'layer4' for ResNet or 'block11' for ViT), arch (architecture type: 'cnn' or 'vit'), view (view type: 'native' or 'class_conditioned'), model_class (the predicted or target class), map (H×W numpy array normalized to [0,1] at input resolution), head_or_channel (optional per-head or per-channel breakdown identifier), and metadata (dictionary containing computed metrics such as entropy, locality, and part-overlap).</w:t>
      </w:r>
    </w:p>
    <w:p>
      <w:pPr>
        <w:spacing w:after="160" w:line="276" w:lineRule="auto"/>
        <w:jc w:val="both"/>
      </w:pPr>
      <w:r>
        <w:rPr>
          <w:rFonts w:ascii="Times New Roman" w:hAnsi="Times New Roman"/>
          <w:sz w:val="22"/>
        </w:rPr>
        <w:t>The map field is the most important: it contains the actual attention heatmap as a 2D numpy array at input resolution (224×224 pixels), normalized to the range [0,1] where 0 represents no attention and 1 represents maximum attention. This normalization ensures that maps from different layers and architectures are directly comparable.</w:t>
      </w:r>
    </w:p>
    <w:p>
      <w:pPr>
        <w:spacing w:after="160" w:line="276" w:lineRule="auto"/>
        <w:jc w:val="both"/>
      </w:pPr>
      <w:r>
        <w:rPr>
          <w:rFonts w:ascii="Times New Roman" w:hAnsi="Times New Roman"/>
          <w:sz w:val="22"/>
        </w:rPr>
        <w:t>The view field distinguishes between two types of attention maps. The native view captures the mechanism's own information flow: for ViTs, this is the attention rollout showing how information propagates from the CLS token to all patches; for CNNs, this is the mean-over-channel activation map showing what the layer amplifies. The class-conditioned view captures decision-relevant evidence: for CNNs, this is the Grad-CAM map weighted by the gradient of the target class; for ViTs, this is the gradient-weighted attention (AxG) showing which attention patterns contribute to the target class prediction.</w:t>
      </w:r>
    </w:p>
    <w:p/>
    <w:p>
      <w:pPr>
        <w:spacing w:after="240"/>
        <w:jc w:val="center"/>
      </w:pPr>
      <w:r>
        <w:rPr>
          <w:rFonts w:ascii="Times New Roman" w:hAnsi="Times New Roman"/>
          <w:i/>
          <w:sz w:val="20"/>
        </w:rPr>
        <w:t>Table 4.1: LayerMap Schema Fields</w:t>
      </w:r>
    </w:p>
    <w:p>
      <w:pPr>
        <w:spacing w:before="280" w:after="160"/>
      </w:pPr>
      <w:r>
        <w:rPr>
          <w:rFonts w:ascii="Times New Roman" w:hAnsi="Times New Roman"/>
          <w:b/>
          <w:sz w:val="22"/>
        </w:rPr>
        <w:t>4.2.2 ModelInspection Schema</w:t>
      </w:r>
    </w:p>
    <w:p>
      <w:pPr>
        <w:spacing w:after="160" w:line="276" w:lineRule="auto"/>
        <w:jc w:val="both"/>
      </w:pPr>
      <w:r>
        <w:rPr>
          <w:rFonts w:ascii="Times New Roman" w:hAnsi="Times New Roman"/>
          <w:sz w:val="22"/>
        </w:rPr>
        <w:t>The ModelInspection data structure aggregates all LayerMap objects produced for a single (model, image) pair. It contains the model identifier, image identifier, true label (if known), predicted label, a list of LayerMap objects (one per layer per view), and a list of InterventionResult objects from causal probing. This structure provides a complete record of the model's attention patterns and intervention results for a given input.</w:t>
      </w:r>
    </w:p>
    <w:p>
      <w:pPr>
        <w:spacing w:after="160" w:line="276" w:lineRule="auto"/>
        <w:jc w:val="both"/>
      </w:pPr>
      <w:r>
        <w:rPr>
          <w:rFonts w:ascii="Times New Roman" w:hAnsi="Times New Roman"/>
          <w:sz w:val="22"/>
        </w:rPr>
        <w:t>The ModelInspection object is the primary output of the extractors and the primary input to the metrics module. It enables batch processing of multiple images and aggregation of results across the dataset for screening and analysis.</w:t>
      </w:r>
    </w:p>
    <w:p>
      <w:pPr>
        <w:spacing w:before="360" w:after="200"/>
      </w:pPr>
      <w:r>
        <w:rPr>
          <w:rFonts w:ascii="Times New Roman" w:hAnsi="Times New Roman"/>
          <w:b/>
          <w:sz w:val="24"/>
        </w:rPr>
        <w:t>4.3 Attention Extractors</w:t>
      </w:r>
    </w:p>
    <w:p>
      <w:pPr>
        <w:spacing w:after="160" w:line="276" w:lineRule="auto"/>
        <w:jc w:val="both"/>
      </w:pPr>
      <w:r>
        <w:rPr>
          <w:rFonts w:ascii="Times New Roman" w:hAnsi="Times New Roman"/>
          <w:sz w:val="22"/>
        </w:rPr>
        <w:t>AttentionLens provides two extractors: the ResNetExtractor for CNN-based models and the VitExtractor for Vision Transformer models. Both extractors implement the same interface and produce LayerMap objects in the unified schema, enabling fair comparison across architectures.</w:t>
      </w:r>
    </w:p>
    <w:p>
      <w:pPr>
        <w:spacing w:before="280" w:after="160"/>
      </w:pPr>
      <w:r>
        <w:rPr>
          <w:rFonts w:ascii="Times New Roman" w:hAnsi="Times New Roman"/>
          <w:b/>
          <w:sz w:val="22"/>
        </w:rPr>
        <w:t>4.3.1 ResNet Extractor (CNN)</w:t>
      </w:r>
    </w:p>
    <w:p>
      <w:pPr>
        <w:spacing w:after="160" w:line="276" w:lineRule="auto"/>
        <w:jc w:val="both"/>
      </w:pPr>
      <w:r>
        <w:rPr>
          <w:rFonts w:ascii="Times New Roman" w:hAnsi="Times New Roman"/>
          <w:sz w:val="22"/>
        </w:rPr>
        <w:t>The ResNetExtractor produces dual-view attention maps for ResNet-50 and similar CNN architectures. For the native view, it computes mean-over-channel activation maps at each of the four residual blocks (layer1, layer2, layer3, layer4). For the class-conditioned view, it computes Grad-CAM maps at the final convolutional layer of each block (layer1.2.conv3, layer2.3.conv3, layer3.5.conv3, layer4.2.conv3).</w:t>
      </w:r>
    </w:p>
    <w:p>
      <w:pPr>
        <w:spacing w:after="160" w:line="276" w:lineRule="auto"/>
        <w:jc w:val="both"/>
      </w:pPr>
      <w:r>
        <w:rPr>
          <w:rFonts w:ascii="Times New Roman" w:hAnsi="Times New Roman"/>
          <w:sz w:val="22"/>
        </w:rPr>
        <w:t>The native activation maps are computed by registering forward hooks on each target layer, capturing the activation tensors during the forward pass, and then computing the mean across the channel dimension. The resulting H×W map is upsampled to input resolution (224×224) using bilinear interpolation and normalized to [0,1].</w:t>
      </w:r>
    </w:p>
    <w:p>
      <w:pPr>
        <w:spacing w:before="160" w:after="80"/>
        <w:jc w:val="center"/>
      </w:pPr>
      <w:r>
        <w:rPr>
          <w:rFonts w:ascii="Times New Roman" w:hAnsi="Times New Roman"/>
          <w:i/>
          <w:sz w:val="22"/>
        </w:rPr>
        <w:t>native_map = mean(activations, dim=channel)</w:t>
      </w:r>
    </w:p>
    <w:p>
      <w:pPr>
        <w:spacing w:after="160"/>
        <w:jc w:val="right"/>
      </w:pPr>
      <w:r>
        <w:rPr>
          <w:rFonts w:ascii="Times New Roman" w:hAnsi="Times New Roman"/>
          <w:sz w:val="20"/>
        </w:rPr>
        <w:t>(4.1)</w:t>
      </w:r>
    </w:p>
    <w:p>
      <w:pPr>
        <w:spacing w:after="160" w:line="276" w:lineRule="auto"/>
        <w:jc w:val="both"/>
      </w:pPr>
      <w:r>
        <w:rPr>
          <w:rFonts w:ascii="Times New Roman" w:hAnsi="Times New Roman"/>
          <w:sz w:val="22"/>
        </w:rPr>
        <w:t>The Grad-CAM maps are computed using Captum's LayerGradCam implementation. For each target layer, the gradient of the target class logit with respect to the layer activations is computed, then globally averaged across spatial dimensions to produce channel importance weights. These weights are multiplied by the activations and summed across channels, followed by ReLU to retain only positive contributions. The resulting map is upsampled and normalized.</w:t>
      </w:r>
    </w:p>
    <w:p>
      <w:pPr>
        <w:spacing w:before="160" w:after="80"/>
        <w:jc w:val="center"/>
      </w:pPr>
      <w:r>
        <w:rPr>
          <w:rFonts w:ascii="Times New Roman" w:hAnsi="Times New Roman"/>
          <w:i/>
          <w:sz w:val="22"/>
        </w:rPr>
        <w:t>α_k = (1/Z) Σ_i Σ_j ∂y/∂A^k_ij</w:t>
      </w:r>
    </w:p>
    <w:p>
      <w:pPr>
        <w:spacing w:after="160"/>
        <w:jc w:val="right"/>
      </w:pPr>
      <w:r>
        <w:rPr>
          <w:rFonts w:ascii="Times New Roman" w:hAnsi="Times New Roman"/>
          <w:sz w:val="20"/>
        </w:rPr>
        <w:t>(4.2)</w:t>
      </w:r>
    </w:p>
    <w:p>
      <w:pPr>
        <w:spacing w:before="160" w:after="80"/>
        <w:jc w:val="center"/>
      </w:pPr>
      <w:r>
        <w:rPr>
          <w:rFonts w:ascii="Times New Roman" w:hAnsi="Times New Roman"/>
          <w:i/>
          <w:sz w:val="22"/>
        </w:rPr>
        <w:t>GradCAM = ReLU(Σ_k α_k · A^k)</w:t>
      </w:r>
    </w:p>
    <w:p>
      <w:pPr>
        <w:spacing w:after="160"/>
        <w:jc w:val="right"/>
      </w:pPr>
      <w:r>
        <w:rPr>
          <w:rFonts w:ascii="Times New Roman" w:hAnsi="Times New Roman"/>
          <w:sz w:val="20"/>
        </w:rPr>
        <w:t>(4.3)</w:t>
      </w:r>
    </w:p>
    <w:p>
      <w:pPr>
        <w:spacing w:after="160" w:line="276" w:lineRule="auto"/>
        <w:jc w:val="both"/>
      </w:pPr>
      <w:r>
        <w:rPr>
          <w:rFonts w:ascii="Times New Roman" w:hAnsi="Times New Roman"/>
          <w:sz w:val="22"/>
        </w:rPr>
        <w:t>where α_k is the importance weight for channel k, y is the target class logit, A^k is the activation map for channel k, and Z is the number of spatial locations. The ResNetExtractor produces 8 LayerMap objects per image (4 native + 4 class-conditioned), providing a layer-by-layer view of attention patterns from early (layer1) to late (layer4) layers.</w:t>
      </w:r>
    </w:p>
    <w:p>
      <w:pPr>
        <w:spacing w:before="280" w:after="160"/>
      </w:pPr>
      <w:r>
        <w:rPr>
          <w:rFonts w:ascii="Times New Roman" w:hAnsi="Times New Roman"/>
          <w:b/>
          <w:sz w:val="22"/>
        </w:rPr>
        <w:t>4.3.2 ViT Extractor (Transformer)</w:t>
      </w:r>
    </w:p>
    <w:p>
      <w:pPr>
        <w:spacing w:after="160" w:line="276" w:lineRule="auto"/>
        <w:jc w:val="both"/>
      </w:pPr>
      <w:r>
        <w:rPr>
          <w:rFonts w:ascii="Times New Roman" w:hAnsi="Times New Roman"/>
          <w:sz w:val="22"/>
        </w:rPr>
        <w:t>The VitExtractor produces dual-view attention maps for Vision Transformer models such as ViT-B/16. For the native view, it computes attention rollout maps showing how information flows from the CLS token to all input patches. For the class-conditioned view, it computes gradient-weighted attention (AxG) maps showing which attention patterns contribute to the target class prediction.</w:t>
      </w:r>
    </w:p>
    <w:p>
      <w:pPr>
        <w:spacing w:after="160" w:line="276" w:lineRule="auto"/>
        <w:jc w:val="both"/>
      </w:pPr>
      <w:r>
        <w:rPr>
          <w:rFonts w:ascii="Times New Roman" w:hAnsi="Times New Roman"/>
          <w:sz w:val="22"/>
        </w:rPr>
        <w:t>Attention rollout is computed by iteratively multiplying attention matrices across all 12 transformer blocks. At each block, the attention matrix A (of shape [B, H, N, N] where B is batch size, H is number of heads, and N is number of tokens) is averaged across heads to produce a [B, N, N] matrix. A residual connection (identity matrix) is added with weight α (typically 0.5) to prevent attention collapse, then the matrix is row-normalized and multiplied with the accumulated rollout from previous blocks.</w:t>
      </w:r>
    </w:p>
    <w:p>
      <w:pPr>
        <w:spacing w:before="160" w:after="80"/>
        <w:jc w:val="center"/>
      </w:pPr>
      <w:r>
        <w:rPr>
          <w:rFonts w:ascii="Times New Roman" w:hAnsi="Times New Roman"/>
          <w:i/>
          <w:sz w:val="22"/>
        </w:rPr>
        <w:t>R^(l) = (αI + (1-α)A^(l)) · R^(l-1)</w:t>
      </w:r>
    </w:p>
    <w:p>
      <w:pPr>
        <w:spacing w:after="160"/>
        <w:jc w:val="right"/>
      </w:pPr>
      <w:r>
        <w:rPr>
          <w:rFonts w:ascii="Times New Roman" w:hAnsi="Times New Roman"/>
          <w:sz w:val="20"/>
        </w:rPr>
        <w:t>(4.4)</w:t>
      </w:r>
    </w:p>
    <w:p>
      <w:pPr>
        <w:spacing w:after="160" w:line="276" w:lineRule="auto"/>
        <w:jc w:val="both"/>
      </w:pPr>
      <w:r>
        <w:rPr>
          <w:rFonts w:ascii="Times New Roman" w:hAnsi="Times New Roman"/>
          <w:sz w:val="22"/>
        </w:rPr>
        <w:t>where R^(l) is the rollout matrix at block l, I is the identity matrix, A^(l) is the attention matrix at block l (averaged across heads), and α is the residual weight. The final rollout map is extracted from the CLS token row (row 0) and reshaped to the spatial grid (14×14 for ViT-B/16 with 224×224 input and 16×16 patch size), then upsampled to 224×224.</w:t>
      </w:r>
    </w:p>
    <w:p>
      <w:pPr>
        <w:spacing w:after="160" w:line="276" w:lineRule="auto"/>
        <w:jc w:val="both"/>
      </w:pPr>
      <w:r>
        <w:rPr>
          <w:rFonts w:ascii="Times New Roman" w:hAnsi="Times New Roman"/>
          <w:sz w:val="22"/>
        </w:rPr>
        <w:t>The gradient-weighted attention (AxG) maps are computed by taking the gradient of the target class logit with respect to each block's attention matrix, multiplying element-wise with the raw attention, applying ReLU, and extracting the CLS token row. This produces one class-conditioned map per block, showing which attention patterns at that layer contribute to the target class.</w:t>
      </w:r>
    </w:p>
    <w:p>
      <w:pPr>
        <w:spacing w:before="160" w:after="80"/>
        <w:jc w:val="center"/>
      </w:pPr>
      <w:r>
        <w:rPr>
          <w:rFonts w:ascii="Times New Roman" w:hAnsi="Times New Roman"/>
          <w:i/>
          <w:sz w:val="22"/>
        </w:rPr>
        <w:t>AxG^(l) = ReLU(A^(l) ⊙ ∂y/∂A^(l))</w:t>
      </w:r>
    </w:p>
    <w:p>
      <w:pPr>
        <w:spacing w:after="160"/>
        <w:jc w:val="right"/>
      </w:pPr>
      <w:r>
        <w:rPr>
          <w:rFonts w:ascii="Times New Roman" w:hAnsi="Times New Roman"/>
          <w:sz w:val="20"/>
        </w:rPr>
        <w:t>(4.5)</w:t>
      </w:r>
    </w:p>
    <w:p>
      <w:pPr>
        <w:spacing w:after="160" w:line="276" w:lineRule="auto"/>
        <w:jc w:val="both"/>
      </w:pPr>
      <w:r>
        <w:rPr>
          <w:rFonts w:ascii="Times New Roman" w:hAnsi="Times New Roman"/>
          <w:sz w:val="22"/>
        </w:rPr>
        <w:t>where A^(l) is the attention matrix at block l, y is the target class logit, and ⊙ denotes element-wise multiplication. The VitExtractor produces 25 LayerMap objects per image (12 native partial rollouts + 1 full rollout + 12 class-conditioned AxG maps), providing a detailed layer-by-layer view of attention flow and class-specific evidence.</w:t>
      </w:r>
    </w:p>
    <w:p/>
    <w:p>
      <w:pPr>
        <w:spacing w:after="240"/>
        <w:jc w:val="center"/>
      </w:pPr>
      <w:r>
        <w:rPr>
          <w:rFonts w:ascii="Times New Roman" w:hAnsi="Times New Roman"/>
          <w:i/>
          <w:sz w:val="20"/>
        </w:rPr>
        <w:t>Table 4.2: Extractor Comparison</w:t>
      </w:r>
    </w:p>
    <w:p>
      <w:pPr>
        <w:spacing w:before="360" w:after="200"/>
      </w:pPr>
      <w:r>
        <w:rPr>
          <w:rFonts w:ascii="Times New Roman" w:hAnsi="Times New Roman"/>
          <w:b/>
          <w:sz w:val="24"/>
        </w:rPr>
        <w:t>4.4 Attention Quality Metrics</w:t>
      </w:r>
    </w:p>
    <w:p>
      <w:pPr>
        <w:spacing w:after="160" w:line="276" w:lineRule="auto"/>
        <w:jc w:val="both"/>
      </w:pPr>
      <w:r>
        <w:rPr>
          <w:rFonts w:ascii="Times New Roman" w:hAnsi="Times New Roman"/>
          <w:sz w:val="22"/>
        </w:rPr>
        <w:t>The Metrics Module computes five quantitative measures of attention quality for each LayerMap, using ground-truth annotations (bounding boxes and part keypoints) from the CUB-200-2011 dataset. These metrics transform qualitative heatmaps into measurable, comparable numbers, addressing Limitation 2 (qualitative-only explanations).</w:t>
      </w:r>
    </w:p>
    <w:p>
      <w:pPr>
        <w:spacing w:before="280" w:after="160"/>
      </w:pPr>
      <w:r>
        <w:rPr>
          <w:rFonts w:ascii="Times New Roman" w:hAnsi="Times New Roman"/>
          <w:b/>
          <w:sz w:val="22"/>
        </w:rPr>
        <w:t>4.4.1 Focus Entropy</w:t>
      </w:r>
    </w:p>
    <w:p>
      <w:pPr>
        <w:spacing w:after="160" w:line="276" w:lineRule="auto"/>
        <w:jc w:val="both"/>
      </w:pPr>
      <w:r>
        <w:rPr>
          <w:rFonts w:ascii="Times New Roman" w:hAnsi="Times New Roman"/>
          <w:sz w:val="22"/>
        </w:rPr>
        <w:t>Focus entropy measures whether attention is localized (concentrated on a small region) or distributed (spread across the image). It is computed as the Shannon entropy of the normalized attention map, treated as a probability distribution.</w:t>
      </w:r>
    </w:p>
    <w:p>
      <w:pPr>
        <w:spacing w:before="160" w:after="80"/>
        <w:jc w:val="center"/>
      </w:pPr>
      <w:r>
        <w:rPr>
          <w:rFonts w:ascii="Times New Roman" w:hAnsi="Times New Roman"/>
          <w:i/>
          <w:sz w:val="22"/>
        </w:rPr>
        <w:t>H = -Σ p_i · log2(p_i)</w:t>
      </w:r>
    </w:p>
    <w:p>
      <w:pPr>
        <w:spacing w:after="160"/>
        <w:jc w:val="right"/>
      </w:pPr>
      <w:r>
        <w:rPr>
          <w:rFonts w:ascii="Times New Roman" w:hAnsi="Times New Roman"/>
          <w:sz w:val="20"/>
        </w:rPr>
        <w:t>(4.6)</w:t>
      </w:r>
    </w:p>
    <w:p>
      <w:pPr>
        <w:spacing w:after="160" w:line="276" w:lineRule="auto"/>
        <w:jc w:val="both"/>
      </w:pPr>
      <w:r>
        <w:rPr>
          <w:rFonts w:ascii="Times New Roman" w:hAnsi="Times New Roman"/>
          <w:sz w:val="22"/>
        </w:rPr>
        <w:t>where p_i is the normalized attention value at pixel i (p_i = map_i / Σ map_j). Low entropy (close to 0) indicates highly localized attention (all mass concentrated on one pixel), while high entropy (close to log2(N) where N is the number of pixels) indicates uniformly distributed attention. For a 224×224 image, the maximum entropy is log2(50176) ≈ 15.6 bits.</w:t>
      </w:r>
    </w:p>
    <w:p>
      <w:pPr>
        <w:spacing w:after="160" w:line="276" w:lineRule="auto"/>
        <w:jc w:val="both"/>
      </w:pPr>
      <w:r>
        <w:rPr>
          <w:rFonts w:ascii="Times New Roman" w:hAnsi="Times New Roman"/>
          <w:sz w:val="22"/>
        </w:rPr>
        <w:t>Focus entropy is particularly useful for comparing CNN and ViT attention patterns. CNN Grad-CAM maps tend to have low entropy (localized on the object), while ViT attention rollout maps tend to have high entropy (distributed across many patches). This metric quantifies the intuitive observation that ViTs have more distributed attention than CNNs.</w:t>
      </w:r>
    </w:p>
    <w:p>
      <w:pPr>
        <w:spacing w:before="280" w:after="160"/>
      </w:pPr>
      <w:r>
        <w:rPr>
          <w:rFonts w:ascii="Times New Roman" w:hAnsi="Times New Roman"/>
          <w:b/>
          <w:sz w:val="22"/>
        </w:rPr>
        <w:t>4.4.2 Object Relevance Share</w:t>
      </w:r>
    </w:p>
    <w:p>
      <w:pPr>
        <w:spacing w:after="160" w:line="276" w:lineRule="auto"/>
        <w:jc w:val="both"/>
      </w:pPr>
      <w:r>
        <w:rPr>
          <w:rFonts w:ascii="Times New Roman" w:hAnsi="Times New Roman"/>
          <w:sz w:val="22"/>
        </w:rPr>
        <w:t>Object relevance share measures the fraction of total attention falling inside the ground-truth object bounding box. It is computed as the sum of attention values inside the bbox divided by the total sum of attention values.</w:t>
      </w:r>
    </w:p>
    <w:p>
      <w:pPr>
        <w:spacing w:before="160" w:after="80"/>
        <w:jc w:val="center"/>
      </w:pPr>
      <w:r>
        <w:rPr>
          <w:rFonts w:ascii="Times New Roman" w:hAnsi="Times New Roman"/>
          <w:i/>
          <w:sz w:val="22"/>
        </w:rPr>
        <w:t>obj_share = Σ_{i∈bbox} map_i / Σ_{all i} map_i</w:t>
      </w:r>
    </w:p>
    <w:p>
      <w:pPr>
        <w:spacing w:after="160"/>
        <w:jc w:val="right"/>
      </w:pPr>
      <w:r>
        <w:rPr>
          <w:rFonts w:ascii="Times New Roman" w:hAnsi="Times New Roman"/>
          <w:sz w:val="20"/>
        </w:rPr>
        <w:t>(4.7)</w:t>
      </w:r>
    </w:p>
    <w:p>
      <w:pPr>
        <w:spacing w:after="160" w:line="276" w:lineRule="auto"/>
        <w:jc w:val="both"/>
      </w:pPr>
      <w:r>
        <w:rPr>
          <w:rFonts w:ascii="Times New Roman" w:hAnsi="Times New Roman"/>
          <w:sz w:val="22"/>
        </w:rPr>
        <w:t>where map_i is the attention value at pixel i, and the numerator sums only over pixels inside the bounding box. This metric ranges from 0 to 1, where 1 indicates all attention is focused on the object and 0 indicates no attention on the object (all attention on background).</w:t>
      </w:r>
    </w:p>
    <w:p>
      <w:pPr>
        <w:spacing w:after="160" w:line="276" w:lineRule="auto"/>
        <w:jc w:val="both"/>
      </w:pPr>
      <w:r>
        <w:rPr>
          <w:rFonts w:ascii="Times New Roman" w:hAnsi="Times New Roman"/>
          <w:sz w:val="22"/>
        </w:rPr>
        <w:t>Object relevance share is the primary metric for detecting spurious correlations. If a model is classifying based on background rather than the object, the obj_share will be low (close to 0). The screening engine uses this metric to flag classes where the mean obj_share is below a threshold, indicating suspected background reliance.</w:t>
      </w:r>
    </w:p>
    <w:p>
      <w:pPr>
        <w:spacing w:before="280" w:after="160"/>
      </w:pPr>
      <w:r>
        <w:rPr>
          <w:rFonts w:ascii="Times New Roman" w:hAnsi="Times New Roman"/>
          <w:b/>
          <w:sz w:val="22"/>
        </w:rPr>
        <w:t>4.4.3 Background Sensitivity</w:t>
      </w:r>
    </w:p>
    <w:p>
      <w:pPr>
        <w:spacing w:after="160" w:line="276" w:lineRule="auto"/>
        <w:jc w:val="both"/>
      </w:pPr>
      <w:r>
        <w:rPr>
          <w:rFonts w:ascii="Times New Roman" w:hAnsi="Times New Roman"/>
          <w:sz w:val="22"/>
        </w:rPr>
        <w:t>Background sensitivity is the complement of object relevance share, measuring the fraction of attention falling outside the object bounding box.</w:t>
      </w:r>
    </w:p>
    <w:p>
      <w:pPr>
        <w:spacing w:before="160" w:after="80"/>
        <w:jc w:val="center"/>
      </w:pPr>
      <w:r>
        <w:rPr>
          <w:rFonts w:ascii="Times New Roman" w:hAnsi="Times New Roman"/>
          <w:i/>
          <w:sz w:val="22"/>
        </w:rPr>
        <w:t>bg_sensitivity = 1 - obj_share</w:t>
      </w:r>
    </w:p>
    <w:p>
      <w:pPr>
        <w:spacing w:after="160"/>
        <w:jc w:val="right"/>
      </w:pPr>
      <w:r>
        <w:rPr>
          <w:rFonts w:ascii="Times New Roman" w:hAnsi="Times New Roman"/>
          <w:sz w:val="20"/>
        </w:rPr>
        <w:t>(4.8)</w:t>
      </w:r>
    </w:p>
    <w:p>
      <w:pPr>
        <w:spacing w:after="160" w:line="276" w:lineRule="auto"/>
        <w:jc w:val="both"/>
      </w:pPr>
      <w:r>
        <w:rPr>
          <w:rFonts w:ascii="Times New Roman" w:hAnsi="Times New Roman"/>
          <w:sz w:val="22"/>
        </w:rPr>
        <w:t>This metric provides a direct measure of potential background reliance. High background sensitivity (close to 1) indicates that most attention is focused on the background, which is a red flag for spurious correlations.</w:t>
      </w:r>
    </w:p>
    <w:p>
      <w:pPr>
        <w:spacing w:before="280" w:after="160"/>
      </w:pPr>
      <w:r>
        <w:rPr>
          <w:rFonts w:ascii="Times New Roman" w:hAnsi="Times New Roman"/>
          <w:b/>
          <w:sz w:val="22"/>
        </w:rPr>
        <w:t>4.4.4 Part Alignment</w:t>
      </w:r>
    </w:p>
    <w:p>
      <w:pPr>
        <w:spacing w:after="160" w:line="276" w:lineRule="auto"/>
        <w:jc w:val="both"/>
      </w:pPr>
      <w:r>
        <w:rPr>
          <w:rFonts w:ascii="Times New Roman" w:hAnsi="Times New Roman"/>
          <w:sz w:val="22"/>
        </w:rPr>
        <w:t>Part alignment measures the fraction of attention falling within a specified radius of ground-truth part keypoints (e.g., beak, head, wing for birds). It is computed by creating a binary mask of pixels within the radius of any keypoint, then summing attention values inside the mask.</w:t>
      </w:r>
    </w:p>
    <w:p>
      <w:pPr>
        <w:spacing w:before="160" w:after="80"/>
        <w:jc w:val="center"/>
      </w:pPr>
      <w:r>
        <w:rPr>
          <w:rFonts w:ascii="Times New Roman" w:hAnsi="Times New Roman"/>
          <w:i/>
          <w:sz w:val="22"/>
        </w:rPr>
        <w:t>part_align = Σ_{i∈mask} map_i / Σ_{all i} map_i</w:t>
      </w:r>
    </w:p>
    <w:p>
      <w:pPr>
        <w:spacing w:after="160"/>
        <w:jc w:val="right"/>
      </w:pPr>
      <w:r>
        <w:rPr>
          <w:rFonts w:ascii="Times New Roman" w:hAnsi="Times New Roman"/>
          <w:sz w:val="20"/>
        </w:rPr>
        <w:t>(4.9)</w:t>
      </w:r>
    </w:p>
    <w:p>
      <w:pPr>
        <w:spacing w:after="160" w:line="276" w:lineRule="auto"/>
        <w:jc w:val="both"/>
      </w:pPr>
      <w:r>
        <w:rPr>
          <w:rFonts w:ascii="Times New Roman" w:hAnsi="Times New Roman"/>
          <w:sz w:val="22"/>
        </w:rPr>
        <w:t>where the mask includes all pixels within radius r (default 6 pixels) of any visible part keypoint. This metric measures whether the model focuses on discriminative body parts. For bird classification, high part alignment indicates the model is attending to anatomically meaningful regions (beak, head, wings) rather than non-discriminative regions (background, body).</w:t>
      </w:r>
    </w:p>
    <w:p>
      <w:pPr>
        <w:spacing w:before="280" w:after="160"/>
      </w:pPr>
      <w:r>
        <w:rPr>
          <w:rFonts w:ascii="Times New Roman" w:hAnsi="Times New Roman"/>
          <w:b/>
          <w:sz w:val="22"/>
        </w:rPr>
        <w:t>4.4.5 Object Sensitivity</w:t>
      </w:r>
    </w:p>
    <w:p>
      <w:pPr>
        <w:spacing w:after="160" w:line="276" w:lineRule="auto"/>
        <w:jc w:val="both"/>
      </w:pPr>
      <w:r>
        <w:rPr>
          <w:rFonts w:ascii="Times New Roman" w:hAnsi="Times New Roman"/>
          <w:sz w:val="22"/>
        </w:rPr>
        <w:t>Object sensitivity is an alias for object relevance share, emphasizing the causal interpretation: if we were to mask the object region, how much would the prediction change? High object sensitivity indicates the model relies heavily on the object for its prediction.</w:t>
      </w:r>
    </w:p>
    <w:p/>
    <w:p>
      <w:pPr>
        <w:spacing w:after="240"/>
        <w:jc w:val="center"/>
      </w:pPr>
      <w:r>
        <w:rPr>
          <w:rFonts w:ascii="Times New Roman" w:hAnsi="Times New Roman"/>
          <w:i/>
          <w:sz w:val="20"/>
        </w:rPr>
        <w:t>Table 4.3: Attention Quality Metrics Summary</w:t>
      </w:r>
    </w:p>
    <w:p>
      <w:pPr>
        <w:spacing w:before="360" w:after="200"/>
      </w:pPr>
      <w:r>
        <w:rPr>
          <w:rFonts w:ascii="Times New Roman" w:hAnsi="Times New Roman"/>
          <w:b/>
          <w:sz w:val="24"/>
        </w:rPr>
        <w:t>4.5 Automated Screening Engine</w:t>
      </w:r>
    </w:p>
    <w:p>
      <w:pPr>
        <w:spacing w:after="160" w:line="276" w:lineRule="auto"/>
        <w:jc w:val="both"/>
      </w:pPr>
      <w:r>
        <w:rPr>
          <w:rFonts w:ascii="Times New Roman" w:hAnsi="Times New Roman"/>
          <w:sz w:val="22"/>
        </w:rPr>
        <w:t>The Screening Engine aggregates per-image metrics into class-level statistics and produces evidence-backed verdicts, addressing Limitation 3 (no automated bias detection). It transforms individual LayerMap metrics into actionable insights about model behavior.</w:t>
      </w:r>
    </w:p>
    <w:p>
      <w:pPr>
        <w:spacing w:before="280" w:after="160"/>
      </w:pPr>
      <w:r>
        <w:rPr>
          <w:rFonts w:ascii="Times New Roman" w:hAnsi="Times New Roman"/>
          <w:b/>
          <w:sz w:val="22"/>
        </w:rPr>
        <w:t>4.5.1 Verdict Types</w:t>
      </w:r>
    </w:p>
    <w:p>
      <w:pPr>
        <w:spacing w:after="160" w:line="276" w:lineRule="auto"/>
        <w:jc w:val="both"/>
      </w:pPr>
      <w:r>
        <w:rPr>
          <w:rFonts w:ascii="Times New Roman" w:hAnsi="Times New Roman"/>
          <w:sz w:val="22"/>
        </w:rPr>
        <w:t>The screening engine produces three types of verdicts: (1) class_bias flags indicating suspected spurious correlations for specific classes, (2) layer_role profiles characterizing what each layer attends to (edges, textures, parts), and (3) failure_diagnosis reports explaining why specific images were misclassified.</w:t>
      </w:r>
    </w:p>
    <w:p>
      <w:pPr>
        <w:spacing w:after="160" w:line="276" w:lineRule="auto"/>
        <w:jc w:val="both"/>
      </w:pPr>
      <w:r>
        <w:rPr>
          <w:rFonts w:ascii="Times New Roman" w:hAnsi="Times New Roman"/>
          <w:sz w:val="22"/>
        </w:rPr>
        <w:t>Class bias flags are produced when the mean background sensitivity for a class exceeds the mean object relevance share by a configurable threshold (default 0.05). The flag includes the class name, the mean object and background shares, the number of images analyzed, and links to the top 3 evidence images (the images with the highest background sensitivity for that class).</w:t>
      </w:r>
    </w:p>
    <w:p>
      <w:pPr>
        <w:spacing w:before="160" w:after="80"/>
        <w:jc w:val="center"/>
      </w:pPr>
      <w:r>
        <w:rPr>
          <w:rFonts w:ascii="Times New Roman" w:hAnsi="Times New Roman"/>
          <w:i/>
          <w:sz w:val="22"/>
        </w:rPr>
        <w:t>flag if: mean(bg_sensitivity) &gt; mean(obj_share) + threshold</w:t>
      </w:r>
    </w:p>
    <w:p>
      <w:pPr>
        <w:spacing w:after="160"/>
        <w:jc w:val="right"/>
      </w:pPr>
      <w:r>
        <w:rPr>
          <w:rFonts w:ascii="Times New Roman" w:hAnsi="Times New Roman"/>
          <w:sz w:val="20"/>
        </w:rPr>
        <w:t>(4.10)</w:t>
      </w:r>
    </w:p>
    <w:p>
      <w:pPr>
        <w:spacing w:after="160" w:line="276" w:lineRule="auto"/>
        <w:jc w:val="both"/>
      </w:pPr>
      <w:r>
        <w:rPr>
          <w:rFonts w:ascii="Times New Roman" w:hAnsi="Times New Roman"/>
          <w:sz w:val="22"/>
        </w:rPr>
        <w:t>Layer role profiles are produced by analyzing the focus entropy and part alignment metrics across all images for each layer. Layers with low entropy are characterized as 'localized' (focusing on specific regions), while layers with high entropy are characterized as 'distributed' (attending broadly). Layers with high part alignment are characterized as 'part-focused' (attending to discriminative body parts).</w:t>
      </w:r>
    </w:p>
    <w:p>
      <w:pPr>
        <w:spacing w:after="160" w:line="276" w:lineRule="auto"/>
        <w:jc w:val="both"/>
      </w:pPr>
      <w:r>
        <w:rPr>
          <w:rFonts w:ascii="Times New Roman" w:hAnsi="Times New Roman"/>
          <w:sz w:val="22"/>
        </w:rPr>
        <w:t>Failure diagnosis reports are produced for misclassified images where the background sensitivity exceeds the object relevance share. The report includes the image ID, the true and predicted labels, the object and background shares, and the attention maps showing where the model focused. This enables researchers to quickly identify cases where the model 'guessed from context' rather than recognizing the object.</w:t>
      </w:r>
    </w:p>
    <w:p>
      <w:pPr>
        <w:spacing w:before="280" w:after="160"/>
      </w:pPr>
      <w:r>
        <w:rPr>
          <w:rFonts w:ascii="Times New Roman" w:hAnsi="Times New Roman"/>
          <w:b/>
          <w:sz w:val="22"/>
        </w:rPr>
        <w:t>4.5.2 Screening Algorithm</w:t>
      </w:r>
    </w:p>
    <w:p/>
    <w:p>
      <w:pPr>
        <w:spacing w:after="240"/>
        <w:jc w:val="center"/>
      </w:pPr>
      <w:r>
        <w:rPr>
          <w:rFonts w:ascii="Times New Roman" w:hAnsi="Times New Roman"/>
          <w:i/>
          <w:sz w:val="20"/>
        </w:rPr>
        <w:t>Algorithm 1: Automated Screening Engine</w:t>
      </w:r>
    </w:p>
    <w:p>
      <w:pPr>
        <w:spacing w:before="360" w:after="200"/>
      </w:pPr>
      <w:r>
        <w:rPr>
          <w:rFonts w:ascii="Times New Roman" w:hAnsi="Times New Roman"/>
          <w:b/>
          <w:sz w:val="24"/>
        </w:rPr>
        <w:t>4.6 Causal Intervention Loop</w:t>
      </w:r>
    </w:p>
    <w:p>
      <w:pPr>
        <w:spacing w:after="160" w:line="276" w:lineRule="auto"/>
        <w:jc w:val="both"/>
      </w:pPr>
      <w:r>
        <w:rPr>
          <w:rFonts w:ascii="Times New Roman" w:hAnsi="Times New Roman"/>
          <w:sz w:val="22"/>
        </w:rPr>
        <w:t>The Intervention Module enables causal debugging by masking regions of the input image and measuring how the prediction changes, addressing Limitation 4 (absence of causal reasoning). This moves beyond correlation (heatmaps showing where the model attends) to causation (testing whether masking that region actually changes the prediction).</w:t>
      </w:r>
    </w:p>
    <w:p>
      <w:pPr>
        <w:spacing w:before="280" w:after="160"/>
      </w:pPr>
      <w:r>
        <w:rPr>
          <w:rFonts w:ascii="Times New Roman" w:hAnsi="Times New Roman"/>
          <w:b/>
          <w:sz w:val="22"/>
        </w:rPr>
        <w:t>4.6.1 Occlusion Strategies</w:t>
      </w:r>
    </w:p>
    <w:p>
      <w:pPr>
        <w:spacing w:after="160" w:line="276" w:lineRule="auto"/>
        <w:jc w:val="both"/>
      </w:pPr>
      <w:r>
        <w:rPr>
          <w:rFonts w:ascii="Times New Roman" w:hAnsi="Times New Roman"/>
          <w:sz w:val="22"/>
        </w:rPr>
        <w:t>The intervention module supports three occlusion strategies for masking regions: (1) zero fill, which sets the masked region to 0 (the ImageNet mean after normalization, representing 'no information'); (2) noise injection, which fills the region with Gaussian noise (mean 0, std 0.5), representing 'random information'; and (3) box-average blur, which replaces the region with its mean pixel value, representing 'coarse information without detail'.</w:t>
      </w:r>
    </w:p>
    <w:p>
      <w:pPr>
        <w:spacing w:after="160" w:line="276" w:lineRule="auto"/>
        <w:jc w:val="both"/>
      </w:pPr>
      <w:r>
        <w:rPr>
          <w:rFonts w:ascii="Times New Roman" w:hAnsi="Times New Roman"/>
          <w:sz w:val="22"/>
        </w:rPr>
        <w:t>The zero-fill strategy is the default and most interpretable: it removes all information from the masked region, allowing us to test whether the model relies on that region for its prediction. If masking a region causes the target-class logit to drop significantly, this provides causal evidence that the model uses that region.</w:t>
      </w:r>
    </w:p>
    <w:p>
      <w:pPr>
        <w:spacing w:before="280" w:after="160"/>
      </w:pPr>
      <w:r>
        <w:rPr>
          <w:rFonts w:ascii="Times New Roman" w:hAnsi="Times New Roman"/>
          <w:b/>
          <w:sz w:val="22"/>
        </w:rPr>
        <w:t>4.6.2 Intervention Procedure</w:t>
      </w:r>
    </w:p>
    <w:p>
      <w:pPr>
        <w:spacing w:after="160" w:line="276" w:lineRule="auto"/>
        <w:jc w:val="both"/>
      </w:pPr>
      <w:r>
        <w:rPr>
          <w:rFonts w:ascii="Times New Roman" w:hAnsi="Times New Roman"/>
          <w:sz w:val="22"/>
        </w:rPr>
        <w:t>The intervention procedure takes as input the model, the original image tensor, a list of regions to mask (specified as (x, y, width, height) tuples), the target class, and the occlusion strategy. For each region, it creates a masked copy of the input tensor, runs the model on the masked input, and computes the logit delta (change in target-class logit).</w:t>
      </w:r>
    </w:p>
    <w:p>
      <w:pPr>
        <w:spacing w:before="160" w:after="80"/>
        <w:jc w:val="center"/>
      </w:pPr>
      <w:r>
        <w:rPr>
          <w:rFonts w:ascii="Times New Roman" w:hAnsi="Times New Roman"/>
          <w:i/>
          <w:sz w:val="22"/>
        </w:rPr>
        <w:t>logit_delta = logit_before - logit_after</w:t>
      </w:r>
    </w:p>
    <w:p>
      <w:pPr>
        <w:spacing w:after="160"/>
        <w:jc w:val="right"/>
      </w:pPr>
      <w:r>
        <w:rPr>
          <w:rFonts w:ascii="Times New Roman" w:hAnsi="Times New Roman"/>
          <w:sz w:val="20"/>
        </w:rPr>
        <w:t>(4.11)</w:t>
      </w:r>
    </w:p>
    <w:p>
      <w:pPr>
        <w:spacing w:after="160" w:line="276" w:lineRule="auto"/>
        <w:jc w:val="both"/>
      </w:pPr>
      <w:r>
        <w:rPr>
          <w:rFonts w:ascii="Times New Roman" w:hAnsi="Times New Roman"/>
          <w:sz w:val="22"/>
        </w:rPr>
        <w:t>A positive logit_delta indicates that masking the region caused the target-class logit to drop, providing evidence that the model relied on that region. A negative logit_delta indicates that masking the region caused the logit to increase, suggesting the region was 'hurting' the prediction (perhaps containing confusing or contradictory information).</w:t>
      </w:r>
    </w:p>
    <w:p>
      <w:pPr>
        <w:spacing w:after="160" w:line="276" w:lineRule="auto"/>
        <w:jc w:val="both"/>
      </w:pPr>
      <w:r>
        <w:rPr>
          <w:rFonts w:ascii="Times New Roman" w:hAnsi="Times New Roman"/>
          <w:sz w:val="22"/>
        </w:rPr>
        <w:t>The intervention module also supports regular grid-based intervention, which divides the image into an N×N grid (default 4×4) and occludes each cell independently. This produces a spatial sensitivity map showing which regions of the image are most important for the prediction. The sensitivity map can be visualized as a heatmap and compared with the Grad-CAM or attention rollout maps to validate whether the attribution methods correctly identify important regions.</w:t>
      </w:r>
    </w:p>
    <w:p>
      <w:pPr>
        <w:spacing w:before="360" w:after="200"/>
      </w:pPr>
      <w:r>
        <w:rPr>
          <w:rFonts w:ascii="Times New Roman" w:hAnsi="Times New Roman"/>
          <w:b/>
          <w:sz w:val="24"/>
        </w:rPr>
        <w:t>4.7 Interactive Interface (Gradio UI)</w:t>
      </w:r>
    </w:p>
    <w:p>
      <w:pPr>
        <w:spacing w:after="160" w:line="276" w:lineRule="auto"/>
        <w:jc w:val="both"/>
      </w:pPr>
      <w:r>
        <w:rPr>
          <w:rFonts w:ascii="Times New Roman" w:hAnsi="Times New Roman"/>
          <w:sz w:val="22"/>
        </w:rPr>
        <w:t>The Interactive Interface provides a Gradio-based web application that enables researchers to explore attention patterns and perform causal interventions without writing code, addressing Limitation 5 (no integrated debugging workflow). The interface is implemented in the attentionlens/ui/app.py module and provides a user-friendly way to interact with all framework components.</w:t>
      </w:r>
    </w:p>
    <w:p>
      <w:pPr>
        <w:spacing w:before="280" w:after="160"/>
      </w:pPr>
      <w:r>
        <w:rPr>
          <w:rFonts w:ascii="Times New Roman" w:hAnsi="Times New Roman"/>
          <w:b/>
          <w:sz w:val="22"/>
        </w:rPr>
        <w:t>4.7.1 Interface Components</w:t>
      </w:r>
    </w:p>
    <w:p>
      <w:pPr>
        <w:spacing w:after="160" w:line="276" w:lineRule="auto"/>
        <w:jc w:val="both"/>
      </w:pPr>
      <w:r>
        <w:rPr>
          <w:rFonts w:ascii="Times New Roman" w:hAnsi="Times New Roman"/>
          <w:sz w:val="22"/>
        </w:rPr>
        <w:t>The interface consists of four main components: (1) an image upload area supporting file upload and clipboard paste, (2) a model selector allowing users to choose between ResNet-50 and ViT-B/16, (3) an 'Analyze' button that runs the full dual-view extraction and displays the gallery of attention maps, and (4) a 'Probe' section with coordinate sliders and mask size controls for causal intervention.</w:t>
      </w:r>
    </w:p>
    <w:p>
      <w:pPr>
        <w:spacing w:after="160" w:line="276" w:lineRule="auto"/>
        <w:jc w:val="both"/>
      </w:pPr>
      <w:r>
        <w:rPr>
          <w:rFonts w:ascii="Times New Roman" w:hAnsi="Times New Roman"/>
          <w:sz w:val="22"/>
        </w:rPr>
        <w:t>When the user clicks 'Analyze', the interface runs the appropriate extractor (ResNet or ViT) on the uploaded image, produces all LayerMap objects, and displays them in a gallery with captions showing the layer name and view type. Each map is overlayed on the original image using a jet colormap with 65% transparency, allowing users to see both the attention pattern and the underlying image content.</w:t>
      </w:r>
    </w:p>
    <w:p>
      <w:pPr>
        <w:spacing w:after="160" w:line="276" w:lineRule="auto"/>
        <w:jc w:val="both"/>
      </w:pPr>
      <w:r>
        <w:rPr>
          <w:rFonts w:ascii="Times New Roman" w:hAnsi="Times New Roman"/>
          <w:sz w:val="22"/>
        </w:rPr>
        <w:t>The 'Probe' section allows users to specify a region to mask by adjusting the center coordinates (X, Y) and mask size (width/height) using sliders. When the user clicks 'Run Probe', the interface runs the intervention module with the specified region and displays the results: the masked region coordinates, the prediction before and after masking, and the logit delta. This enables interactive hypothesis testing: users can hypothesize that a certain region is important, mask it, and immediately see whether the prediction changes.</w:t>
      </w:r>
    </w:p>
    <w:p>
      <w:pPr>
        <w:spacing w:before="280" w:after="160"/>
      </w:pPr>
      <w:r>
        <w:rPr>
          <w:rFonts w:ascii="Times New Roman" w:hAnsi="Times New Roman"/>
          <w:b/>
          <w:sz w:val="22"/>
        </w:rPr>
        <w:t>4.7.2 Error Handling</w:t>
      </w:r>
    </w:p>
    <w:p>
      <w:pPr>
        <w:spacing w:after="160" w:line="276" w:lineRule="auto"/>
        <w:jc w:val="both"/>
      </w:pPr>
      <w:r>
        <w:rPr>
          <w:rFonts w:ascii="Times New Roman" w:hAnsi="Times New Roman"/>
          <w:sz w:val="22"/>
        </w:rPr>
        <w:t>The interface implements robust error handling to surface raw exceptions rather than silent failures. If an error occurs during analysis or probing, the interface displays the full exception message and traceback (limited to 3 frames) in the UI, enabling users to diagnose issues without checking server logs. This is particularly important for debugging architecture-specific issues (e.g., timm ViT compatibility, Captum version mismatches).</w:t>
      </w:r>
    </w:p>
    <w:p>
      <w:pPr>
        <w:spacing w:before="240" w:after="240"/>
        <w:jc w:val="center"/>
      </w:pPr>
      <w:r>
        <w:rPr>
          <w:rFonts w:ascii="Times New Roman" w:hAnsi="Times New Roman"/>
          <w:i/>
          <w:color w:val="787878"/>
          <w:sz w:val="20"/>
        </w:rPr>
        <w:br/>
        <w:t>────────────────────────────────────────────────────────────</w:t>
        <w:br/>
        <w:br/>
        <w:t>[ PLACEHOLDER: GRADIO UI SCREENSHOT - AttentionLens Interactive Interface showing dual-view attention maps and causal probe controls ]</w:t>
        <w:br/>
        <w:br/>
        <w:t>────────────────────────────────────────────────────────────</w:t>
        <w:br/>
      </w:r>
    </w:p>
    <w:p>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Pr>
                <w:b/>
                <w:sz w:val="18"/>
              </w:rPr>
              <w:t>Field</w:t>
            </w:r>
          </w:p>
        </w:tc>
        <w:tc>
          <w:tcPr>
            <w:tcW w:type="dxa" w:w="2256"/>
          </w:tcPr>
          <w:p>
            <w:r>
              <w:rPr>
                <w:b/>
                <w:sz w:val="18"/>
              </w:rPr>
              <w:t>Type</w:t>
            </w:r>
          </w:p>
        </w:tc>
        <w:tc>
          <w:tcPr>
            <w:tcW w:type="dxa" w:w="2256"/>
          </w:tcPr>
          <w:p>
            <w:r>
              <w:rPr>
                <w:b/>
                <w:sz w:val="18"/>
              </w:rPr>
              <w:t>Description</w:t>
            </w:r>
          </w:p>
        </w:tc>
        <w:tc>
          <w:tcPr>
            <w:tcW w:type="dxa" w:w="2256"/>
          </w:tcPr>
          <w:p>
            <w:r>
              <w:rPr>
                <w:b/>
                <w:sz w:val="18"/>
              </w:rPr>
              <w:t>Example</w:t>
            </w:r>
          </w:p>
        </w:tc>
      </w:tr>
      <w:tr>
        <w:tc>
          <w:tcPr>
            <w:tcW w:type="dxa" w:w="2256"/>
          </w:tcPr>
          <w:p>
            <w:r>
              <w:rPr>
                <w:sz w:val="18"/>
              </w:rPr>
              <w:t>layer_name</w:t>
            </w:r>
          </w:p>
        </w:tc>
        <w:tc>
          <w:tcPr>
            <w:tcW w:type="dxa" w:w="2256"/>
          </w:tcPr>
          <w:p>
            <w:r>
              <w:rPr>
                <w:sz w:val="18"/>
              </w:rPr>
              <w:t>str</w:t>
            </w:r>
          </w:p>
        </w:tc>
        <w:tc>
          <w:tcPr>
            <w:tcW w:type="dxa" w:w="2256"/>
          </w:tcPr>
          <w:p>
            <w:r>
              <w:rPr>
                <w:sz w:val="18"/>
              </w:rPr>
              <w:t>Layer identifier</w:t>
            </w:r>
          </w:p>
        </w:tc>
        <w:tc>
          <w:tcPr>
            <w:tcW w:type="dxa" w:w="2256"/>
          </w:tcPr>
          <w:p>
            <w:r>
              <w:rPr>
                <w:sz w:val="18"/>
              </w:rPr>
              <w:t>layer4 / block11</w:t>
            </w:r>
          </w:p>
        </w:tc>
      </w:tr>
      <w:tr>
        <w:tc>
          <w:tcPr>
            <w:tcW w:type="dxa" w:w="2256"/>
          </w:tcPr>
          <w:p>
            <w:r>
              <w:rPr>
                <w:sz w:val="18"/>
              </w:rPr>
              <w:t>arch</w:t>
            </w:r>
          </w:p>
        </w:tc>
        <w:tc>
          <w:tcPr>
            <w:tcW w:type="dxa" w:w="2256"/>
          </w:tcPr>
          <w:p>
            <w:r>
              <w:rPr>
                <w:sz w:val="18"/>
              </w:rPr>
              <w:t>str</w:t>
            </w:r>
          </w:p>
        </w:tc>
        <w:tc>
          <w:tcPr>
            <w:tcW w:type="dxa" w:w="2256"/>
          </w:tcPr>
          <w:p>
            <w:r>
              <w:rPr>
                <w:sz w:val="18"/>
              </w:rPr>
              <w:t>Architecture type</w:t>
            </w:r>
          </w:p>
        </w:tc>
        <w:tc>
          <w:tcPr>
            <w:tcW w:type="dxa" w:w="2256"/>
          </w:tcPr>
          <w:p>
            <w:r>
              <w:rPr>
                <w:sz w:val="18"/>
              </w:rPr>
              <w:t>cnn / vit</w:t>
            </w:r>
          </w:p>
        </w:tc>
      </w:tr>
      <w:tr>
        <w:tc>
          <w:tcPr>
            <w:tcW w:type="dxa" w:w="2256"/>
          </w:tcPr>
          <w:p>
            <w:r>
              <w:rPr>
                <w:sz w:val="18"/>
              </w:rPr>
              <w:t>view</w:t>
            </w:r>
          </w:p>
        </w:tc>
        <w:tc>
          <w:tcPr>
            <w:tcW w:type="dxa" w:w="2256"/>
          </w:tcPr>
          <w:p>
            <w:r>
              <w:rPr>
                <w:sz w:val="18"/>
              </w:rPr>
              <w:t>str</w:t>
            </w:r>
          </w:p>
        </w:tc>
        <w:tc>
          <w:tcPr>
            <w:tcW w:type="dxa" w:w="2256"/>
          </w:tcPr>
          <w:p>
            <w:r>
              <w:rPr>
                <w:sz w:val="18"/>
              </w:rPr>
              <w:t>View type</w:t>
            </w:r>
          </w:p>
        </w:tc>
        <w:tc>
          <w:tcPr>
            <w:tcW w:type="dxa" w:w="2256"/>
          </w:tcPr>
          <w:p>
            <w:r>
              <w:rPr>
                <w:sz w:val="18"/>
              </w:rPr>
              <w:t>native / class_conditioned</w:t>
            </w:r>
          </w:p>
        </w:tc>
      </w:tr>
      <w:tr>
        <w:tc>
          <w:tcPr>
            <w:tcW w:type="dxa" w:w="2256"/>
          </w:tcPr>
          <w:p>
            <w:r>
              <w:rPr>
                <w:sz w:val="18"/>
              </w:rPr>
              <w:t>model_class</w:t>
            </w:r>
          </w:p>
        </w:tc>
        <w:tc>
          <w:tcPr>
            <w:tcW w:type="dxa" w:w="2256"/>
          </w:tcPr>
          <w:p>
            <w:r>
              <w:rPr>
                <w:sz w:val="18"/>
              </w:rPr>
              <w:t>str</w:t>
            </w:r>
          </w:p>
        </w:tc>
        <w:tc>
          <w:tcPr>
            <w:tcW w:type="dxa" w:w="2256"/>
          </w:tcPr>
          <w:p>
            <w:r>
              <w:rPr>
                <w:sz w:val="18"/>
              </w:rPr>
              <w:t>Target class</w:t>
            </w:r>
          </w:p>
        </w:tc>
        <w:tc>
          <w:tcPr>
            <w:tcW w:type="dxa" w:w="2256"/>
          </w:tcPr>
          <w:p>
            <w:r>
              <w:rPr>
                <w:sz w:val="18"/>
              </w:rPr>
              <w:t>Samoyed / class_258</w:t>
            </w:r>
          </w:p>
        </w:tc>
      </w:tr>
      <w:tr>
        <w:tc>
          <w:tcPr>
            <w:tcW w:type="dxa" w:w="2256"/>
          </w:tcPr>
          <w:p>
            <w:r>
              <w:rPr>
                <w:sz w:val="18"/>
              </w:rPr>
              <w:t>map</w:t>
            </w:r>
          </w:p>
        </w:tc>
        <w:tc>
          <w:tcPr>
            <w:tcW w:type="dxa" w:w="2256"/>
          </w:tcPr>
          <w:p>
            <w:r>
              <w:rPr>
                <w:sz w:val="18"/>
              </w:rPr>
              <w:t>ndarray</w:t>
            </w:r>
          </w:p>
        </w:tc>
        <w:tc>
          <w:tcPr>
            <w:tcW w:type="dxa" w:w="2256"/>
          </w:tcPr>
          <w:p>
            <w:r>
              <w:rPr>
                <w:sz w:val="18"/>
              </w:rPr>
              <w:t>H×W attention map [0,1]</w:t>
            </w:r>
          </w:p>
        </w:tc>
        <w:tc>
          <w:tcPr>
            <w:tcW w:type="dxa" w:w="2256"/>
          </w:tcPr>
          <w:p>
            <w:r>
              <w:rPr>
                <w:sz w:val="18"/>
              </w:rPr>
              <w:t>224×224 float32</w:t>
            </w:r>
          </w:p>
        </w:tc>
      </w:tr>
      <w:tr>
        <w:tc>
          <w:tcPr>
            <w:tcW w:type="dxa" w:w="2256"/>
          </w:tcPr>
          <w:p>
            <w:r>
              <w:rPr>
                <w:sz w:val="18"/>
              </w:rPr>
              <w:t>head_or_channel</w:t>
            </w:r>
          </w:p>
        </w:tc>
        <w:tc>
          <w:tcPr>
            <w:tcW w:type="dxa" w:w="2256"/>
          </w:tcPr>
          <w:p>
            <w:r>
              <w:rPr>
                <w:sz w:val="18"/>
              </w:rPr>
              <w:t>int</w:t>
            </w:r>
          </w:p>
        </w:tc>
        <w:tc>
          <w:tcPr>
            <w:tcW w:type="dxa" w:w="2256"/>
          </w:tcPr>
          <w:p>
            <w:r>
              <w:rPr>
                <w:sz w:val="18"/>
              </w:rPr>
              <w:t>Per-head/channel ID</w:t>
            </w:r>
          </w:p>
        </w:tc>
        <w:tc>
          <w:tcPr>
            <w:tcW w:type="dxa" w:w="2256"/>
          </w:tcPr>
          <w:p>
            <w:r>
              <w:rPr>
                <w:sz w:val="18"/>
              </w:rPr>
              <w:t>3 (attention head 3)</w:t>
            </w:r>
          </w:p>
        </w:tc>
      </w:tr>
      <w:tr>
        <w:tc>
          <w:tcPr>
            <w:tcW w:type="dxa" w:w="2256"/>
          </w:tcPr>
          <w:p>
            <w:r>
              <w:rPr>
                <w:sz w:val="18"/>
              </w:rPr>
              <w:t>metadata</w:t>
            </w:r>
          </w:p>
        </w:tc>
        <w:tc>
          <w:tcPr>
            <w:tcW w:type="dxa" w:w="2256"/>
          </w:tcPr>
          <w:p>
            <w:r>
              <w:rPr>
                <w:sz w:val="18"/>
              </w:rPr>
              <w:t>dict</w:t>
            </w:r>
          </w:p>
        </w:tc>
        <w:tc>
          <w:tcPr>
            <w:tcW w:type="dxa" w:w="2256"/>
          </w:tcPr>
          <w:p>
            <w:r>
              <w:rPr>
                <w:sz w:val="18"/>
              </w:rPr>
              <w:t>Computed metrics</w:t>
            </w:r>
          </w:p>
        </w:tc>
        <w:tc>
          <w:tcPr>
            <w:tcW w:type="dxa" w:w="2256"/>
          </w:tcPr>
          <w:p>
            <w:r>
              <w:rPr>
                <w:sz w:val="18"/>
              </w:rPr>
              <w:t>{entropy: 2.1, obj_share: 0.72}</w:t>
            </w:r>
          </w:p>
        </w:tc>
      </w:tr>
    </w:tbl>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rPr>
                <w:b/>
                <w:sz w:val="18"/>
              </w:rPr>
              <w:t>Extractor</w:t>
            </w:r>
          </w:p>
        </w:tc>
        <w:tc>
          <w:tcPr>
            <w:tcW w:type="dxa" w:w="1805"/>
          </w:tcPr>
          <w:p>
            <w:r>
              <w:rPr>
                <w:b/>
                <w:sz w:val="18"/>
              </w:rPr>
              <w:t>Model</w:t>
            </w:r>
          </w:p>
        </w:tc>
        <w:tc>
          <w:tcPr>
            <w:tcW w:type="dxa" w:w="1805"/>
          </w:tcPr>
          <w:p>
            <w:r>
              <w:rPr>
                <w:b/>
                <w:sz w:val="18"/>
              </w:rPr>
              <w:t>Native Maps</w:t>
            </w:r>
          </w:p>
        </w:tc>
        <w:tc>
          <w:tcPr>
            <w:tcW w:type="dxa" w:w="1805"/>
          </w:tcPr>
          <w:p>
            <w:r>
              <w:rPr>
                <w:b/>
                <w:sz w:val="18"/>
              </w:rPr>
              <w:t>Class-Cond Maps</w:t>
            </w:r>
          </w:p>
        </w:tc>
        <w:tc>
          <w:tcPr>
            <w:tcW w:type="dxa" w:w="1805"/>
          </w:tcPr>
          <w:p>
            <w:r>
              <w:rPr>
                <w:b/>
                <w:sz w:val="18"/>
              </w:rPr>
              <w:t>Total Maps</w:t>
            </w:r>
          </w:p>
        </w:tc>
      </w:tr>
      <w:tr>
        <w:tc>
          <w:tcPr>
            <w:tcW w:type="dxa" w:w="1805"/>
          </w:tcPr>
          <w:p>
            <w:r>
              <w:rPr>
                <w:sz w:val="18"/>
              </w:rPr>
              <w:t>ResNetExtractor</w:t>
            </w:r>
          </w:p>
        </w:tc>
        <w:tc>
          <w:tcPr>
            <w:tcW w:type="dxa" w:w="1805"/>
          </w:tcPr>
          <w:p>
            <w:r>
              <w:rPr>
                <w:sz w:val="18"/>
              </w:rPr>
              <w:t>ResNet-50</w:t>
            </w:r>
          </w:p>
        </w:tc>
        <w:tc>
          <w:tcPr>
            <w:tcW w:type="dxa" w:w="1805"/>
          </w:tcPr>
          <w:p>
            <w:r>
              <w:rPr>
                <w:sz w:val="18"/>
              </w:rPr>
              <w:t>4 (layer1-4)</w:t>
            </w:r>
          </w:p>
        </w:tc>
        <w:tc>
          <w:tcPr>
            <w:tcW w:type="dxa" w:w="1805"/>
          </w:tcPr>
          <w:p>
            <w:r>
              <w:rPr>
                <w:sz w:val="18"/>
              </w:rPr>
              <w:t>4 (Grad-CAM)</w:t>
            </w:r>
          </w:p>
        </w:tc>
        <w:tc>
          <w:tcPr>
            <w:tcW w:type="dxa" w:w="1805"/>
          </w:tcPr>
          <w:p>
            <w:r>
              <w:rPr>
                <w:sz w:val="18"/>
              </w:rPr>
              <w:t>8</w:t>
            </w:r>
          </w:p>
        </w:tc>
      </w:tr>
      <w:tr>
        <w:tc>
          <w:tcPr>
            <w:tcW w:type="dxa" w:w="1805"/>
          </w:tcPr>
          <w:p>
            <w:r>
              <w:rPr>
                <w:sz w:val="18"/>
              </w:rPr>
              <w:t>VitExtractor</w:t>
            </w:r>
          </w:p>
        </w:tc>
        <w:tc>
          <w:tcPr>
            <w:tcW w:type="dxa" w:w="1805"/>
          </w:tcPr>
          <w:p>
            <w:r>
              <w:rPr>
                <w:sz w:val="18"/>
              </w:rPr>
              <w:t>ViT-B/16</w:t>
            </w:r>
          </w:p>
        </w:tc>
        <w:tc>
          <w:tcPr>
            <w:tcW w:type="dxa" w:w="1805"/>
          </w:tcPr>
          <w:p>
            <w:r>
              <w:rPr>
                <w:sz w:val="18"/>
              </w:rPr>
              <w:t>13 (rollouts)</w:t>
            </w:r>
          </w:p>
        </w:tc>
        <w:tc>
          <w:tcPr>
            <w:tcW w:type="dxa" w:w="1805"/>
          </w:tcPr>
          <w:p>
            <w:r>
              <w:rPr>
                <w:sz w:val="18"/>
              </w:rPr>
              <w:t>12 (AxG)</w:t>
            </w:r>
          </w:p>
        </w:tc>
        <w:tc>
          <w:tcPr>
            <w:tcW w:type="dxa" w:w="1805"/>
          </w:tcPr>
          <w:p>
            <w:r>
              <w:rPr>
                <w:sz w:val="18"/>
              </w:rPr>
              <w:t>25</w:t>
            </w:r>
          </w:p>
        </w:tc>
      </w:tr>
    </w:tbl>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Pr>
                <w:b/>
                <w:sz w:val="18"/>
              </w:rPr>
              <w:t>Metric</w:t>
            </w:r>
          </w:p>
        </w:tc>
        <w:tc>
          <w:tcPr>
            <w:tcW w:type="dxa" w:w="2256"/>
          </w:tcPr>
          <w:p>
            <w:r>
              <w:rPr>
                <w:b/>
                <w:sz w:val="18"/>
              </w:rPr>
              <w:t>Range</w:t>
            </w:r>
          </w:p>
        </w:tc>
        <w:tc>
          <w:tcPr>
            <w:tcW w:type="dxa" w:w="2256"/>
          </w:tcPr>
          <w:p>
            <w:r>
              <w:rPr>
                <w:b/>
                <w:sz w:val="18"/>
              </w:rPr>
              <w:t>High Value Means</w:t>
            </w:r>
          </w:p>
        </w:tc>
        <w:tc>
          <w:tcPr>
            <w:tcW w:type="dxa" w:w="2256"/>
          </w:tcPr>
          <w:p>
            <w:r>
              <w:rPr>
                <w:b/>
                <w:sz w:val="18"/>
              </w:rPr>
              <w:t>Low Value Means</w:t>
            </w:r>
          </w:p>
        </w:tc>
      </w:tr>
      <w:tr>
        <w:tc>
          <w:tcPr>
            <w:tcW w:type="dxa" w:w="2256"/>
          </w:tcPr>
          <w:p>
            <w:r>
              <w:rPr>
                <w:sz w:val="18"/>
              </w:rPr>
              <w:t>Focus Entropy</w:t>
            </w:r>
          </w:p>
        </w:tc>
        <w:tc>
          <w:tcPr>
            <w:tcW w:type="dxa" w:w="2256"/>
          </w:tcPr>
          <w:p>
            <w:r>
              <w:rPr>
                <w:sz w:val="18"/>
              </w:rPr>
              <w:t>0 - 15.6</w:t>
            </w:r>
          </w:p>
        </w:tc>
        <w:tc>
          <w:tcPr>
            <w:tcW w:type="dxa" w:w="2256"/>
          </w:tcPr>
          <w:p>
            <w:r>
              <w:rPr>
                <w:sz w:val="18"/>
              </w:rPr>
              <w:t>Distributed attention</w:t>
            </w:r>
          </w:p>
        </w:tc>
        <w:tc>
          <w:tcPr>
            <w:tcW w:type="dxa" w:w="2256"/>
          </w:tcPr>
          <w:p>
            <w:r>
              <w:rPr>
                <w:sz w:val="18"/>
              </w:rPr>
              <w:t>Localized attention</w:t>
            </w:r>
          </w:p>
        </w:tc>
      </w:tr>
      <w:tr>
        <w:tc>
          <w:tcPr>
            <w:tcW w:type="dxa" w:w="2256"/>
          </w:tcPr>
          <w:p>
            <w:r>
              <w:rPr>
                <w:sz w:val="18"/>
              </w:rPr>
              <w:t>Object Relevance</w:t>
            </w:r>
          </w:p>
        </w:tc>
        <w:tc>
          <w:tcPr>
            <w:tcW w:type="dxa" w:w="2256"/>
          </w:tcPr>
          <w:p>
            <w:r>
              <w:rPr>
                <w:sz w:val="18"/>
              </w:rPr>
              <w:t>0 - 1</w:t>
            </w:r>
          </w:p>
        </w:tc>
        <w:tc>
          <w:tcPr>
            <w:tcW w:type="dxa" w:w="2256"/>
          </w:tcPr>
          <w:p>
            <w:r>
              <w:rPr>
                <w:sz w:val="18"/>
              </w:rPr>
              <w:t>Object-focused</w:t>
            </w:r>
          </w:p>
        </w:tc>
        <w:tc>
          <w:tcPr>
            <w:tcW w:type="dxa" w:w="2256"/>
          </w:tcPr>
          <w:p>
            <w:r>
              <w:rPr>
                <w:sz w:val="18"/>
              </w:rPr>
              <w:t>Background-focused</w:t>
            </w:r>
          </w:p>
        </w:tc>
      </w:tr>
      <w:tr>
        <w:tc>
          <w:tcPr>
            <w:tcW w:type="dxa" w:w="2256"/>
          </w:tcPr>
          <w:p>
            <w:r>
              <w:rPr>
                <w:sz w:val="18"/>
              </w:rPr>
              <w:t>Background Sensitivity</w:t>
            </w:r>
          </w:p>
        </w:tc>
        <w:tc>
          <w:tcPr>
            <w:tcW w:type="dxa" w:w="2256"/>
          </w:tcPr>
          <w:p>
            <w:r>
              <w:rPr>
                <w:sz w:val="18"/>
              </w:rPr>
              <w:t>0 - 1</w:t>
            </w:r>
          </w:p>
        </w:tc>
        <w:tc>
          <w:tcPr>
            <w:tcW w:type="dxa" w:w="2256"/>
          </w:tcPr>
          <w:p>
            <w:r>
              <w:rPr>
                <w:sz w:val="18"/>
              </w:rPr>
              <w:t>Background-focused</w:t>
            </w:r>
          </w:p>
        </w:tc>
        <w:tc>
          <w:tcPr>
            <w:tcW w:type="dxa" w:w="2256"/>
          </w:tcPr>
          <w:p>
            <w:r>
              <w:rPr>
                <w:sz w:val="18"/>
              </w:rPr>
              <w:t>Object-focused</w:t>
            </w:r>
          </w:p>
        </w:tc>
      </w:tr>
      <w:tr>
        <w:tc>
          <w:tcPr>
            <w:tcW w:type="dxa" w:w="2256"/>
          </w:tcPr>
          <w:p>
            <w:r>
              <w:rPr>
                <w:sz w:val="18"/>
              </w:rPr>
              <w:t>Part Alignment</w:t>
            </w:r>
          </w:p>
        </w:tc>
        <w:tc>
          <w:tcPr>
            <w:tcW w:type="dxa" w:w="2256"/>
          </w:tcPr>
          <w:p>
            <w:r>
              <w:rPr>
                <w:sz w:val="18"/>
              </w:rPr>
              <w:t>0 - 1</w:t>
            </w:r>
          </w:p>
        </w:tc>
        <w:tc>
          <w:tcPr>
            <w:tcW w:type="dxa" w:w="2256"/>
          </w:tcPr>
          <w:p>
            <w:r>
              <w:rPr>
                <w:sz w:val="18"/>
              </w:rPr>
              <w:t>Parts-focused</w:t>
            </w:r>
          </w:p>
        </w:tc>
        <w:tc>
          <w:tcPr>
            <w:tcW w:type="dxa" w:w="2256"/>
          </w:tcPr>
          <w:p>
            <w:r>
              <w:rPr>
                <w:sz w:val="18"/>
              </w:rPr>
              <w:t>Non-parts-focused</w:t>
            </w:r>
          </w:p>
        </w:tc>
      </w:tr>
      <w:tr>
        <w:tc>
          <w:tcPr>
            <w:tcW w:type="dxa" w:w="2256"/>
          </w:tcPr>
          <w:p>
            <w:r>
              <w:rPr>
                <w:sz w:val="18"/>
              </w:rPr>
              <w:t>Object Sensitivity</w:t>
            </w:r>
          </w:p>
        </w:tc>
        <w:tc>
          <w:tcPr>
            <w:tcW w:type="dxa" w:w="2256"/>
          </w:tcPr>
          <w:p>
            <w:r>
              <w:rPr>
                <w:sz w:val="18"/>
              </w:rPr>
              <w:t>0 - 1</w:t>
            </w:r>
          </w:p>
        </w:tc>
        <w:tc>
          <w:tcPr>
            <w:tcW w:type="dxa" w:w="2256"/>
          </w:tcPr>
          <w:p>
            <w:r>
              <w:rPr>
                <w:sz w:val="18"/>
              </w:rPr>
              <w:t>Object-reliant</w:t>
            </w:r>
          </w:p>
        </w:tc>
        <w:tc>
          <w:tcPr>
            <w:tcW w:type="dxa" w:w="2256"/>
          </w:tcPr>
          <w:p>
            <w:r>
              <w:rPr>
                <w:sz w:val="18"/>
              </w:rPr>
              <w:t>Object-independent</w:t>
            </w:r>
          </w:p>
        </w:tc>
      </w:tr>
    </w:tbl>
    <w:tbl>
      <w:tblPr>
        <w:tblStyle w:val="LightGrid-Accent1"/>
        <w:tblW w:type="auto" w:w="0"/>
        <w:tblLook w:firstColumn="1" w:firstRow="1" w:lastColumn="0" w:lastRow="0" w:noHBand="0" w:noVBand="1" w:val="04A0"/>
      </w:tblPr>
      <w:tblGrid>
        <w:gridCol w:w="9026"/>
      </w:tblGrid>
      <w:tr>
        <w:tc>
          <w:tcPr>
            <w:tcW w:type="dxa" w:w="9026"/>
          </w:tcPr>
          <w:p>
            <w:r>
              <w:rPr>
                <w:rFonts w:ascii="Consolas" w:hAnsi="Consolas"/>
                <w:sz w:val="18"/>
              </w:rPr>
              <w:t>Algorithm 1: Automated Screening Engine</w:t>
              <w:br/>
              <w:t>────────────────────────────────────────</w:t>
              <w:br/>
              <w:t>Input: List of LayerMap objects with computed metrics</w:t>
              <w:br/>
              <w:t>Output: ScreeningReport with verdicts and class statistics</w:t>
              <w:br/>
              <w:br/>
              <w:t>1. For each image in dataset:</w:t>
              <w:br/>
              <w:t>2.   Extract class-conditioned LayerMap for predicted class</w:t>
              <w:br/>
              <w:t>3.   Compute obj_share and bg_sensitivity using bbox</w:t>
              <w:br/>
              <w:t>4.   Store ImageEntry(image_id, class_name, correct, obj_share, bg_sensitivity)</w:t>
              <w:br/>
              <w:t>5. End For</w:t>
              <w:br/>
              <w:br/>
              <w:t>6. Group ImageEntries by class_name</w:t>
              <w:br/>
              <w:t>7. For each class:</w:t>
              <w:br/>
              <w:t>8.   Compute mean_obj_share = mean(obj_share for all images in class)</w:t>
              <w:br/>
              <w:t>9.   Compute mean_bg_share = mean(bg_sensitivity for all images in class)</w:t>
              <w:br/>
              <w:t>10.  If mean_bg_share &gt; mean_obj_share + threshold:</w:t>
              <w:br/>
              <w:t>11.    Emit class_bias verdict with level='flag'</w:t>
              <w:br/>
              <w:t>12.  Else:</w:t>
              <w:br/>
              <w:t>13.    Emit class_bias verdict with level='info'</w:t>
              <w:br/>
              <w:t>14. End For</w:t>
              <w:br/>
              <w:br/>
              <w:t>15. For each misclassified image:</w:t>
              <w:br/>
              <w:t>16.   If bg_sensitivity &gt; obj_share:</w:t>
              <w:br/>
              <w:t>17.     Emit failure_diagnosis verdict</w:t>
              <w:br/>
              <w:t>18. End For</w:t>
              <w:br/>
              <w:br/>
              <w:t>19. Return ScreeningReport(verdicts, class_stats)</w:t>
            </w:r>
          </w:p>
        </w:tc>
      </w:tr>
    </w:tbl>
    <w:p>
      <w:pPr>
        <w:spacing w:before="480" w:after="320"/>
        <w:jc w:val="center"/>
      </w:pPr>
      <w:r>
        <w:rPr>
          <w:rFonts w:ascii="Times New Roman" w:hAnsi="Times New Roman"/>
          <w:b/>
          <w:sz w:val="32"/>
        </w:rPr>
        <w:t>5. Experimentation and Result Analysis</w:t>
      </w:r>
    </w:p>
    <w:p>
      <w:pPr>
        <w:spacing w:after="160" w:line="276" w:lineRule="auto"/>
        <w:jc w:val="both"/>
      </w:pPr>
      <w:r>
        <w:rPr>
          <w:rFonts w:ascii="Times New Roman" w:hAnsi="Times New Roman"/>
          <w:sz w:val="22"/>
        </w:rPr>
        <w:t>This section describes the experimental setup, implementation details, and presents the results obtained from running the AttentionLens framework on the datasets described in Section 3. The experiments are organized around the eight milestones (M1 through M8) defined in the project roadmap, each targeting a specific component of the framework. Results include dual-view visualization outputs, quantitative metrics on CUB-200, the planted-bias experiment (M7), and the ObjectNet natural-bias check (M8).</w:t>
      </w:r>
    </w:p>
    <w:p>
      <w:pPr>
        <w:spacing w:before="360" w:after="200"/>
      </w:pPr>
      <w:r>
        <w:rPr>
          <w:rFonts w:ascii="Times New Roman" w:hAnsi="Times New Roman"/>
          <w:b/>
          <w:sz w:val="24"/>
        </w:rPr>
        <w:t>5.1 Experimental Setup</w:t>
      </w:r>
    </w:p>
    <w:p>
      <w:pPr>
        <w:spacing w:before="280" w:after="160"/>
      </w:pPr>
      <w:r>
        <w:rPr>
          <w:rFonts w:ascii="Times New Roman" w:hAnsi="Times New Roman"/>
          <w:b/>
          <w:sz w:val="22"/>
        </w:rPr>
        <w:t>5.1.1 Hardware Configuration</w:t>
      </w:r>
    </w:p>
    <w:p>
      <w:pPr>
        <w:spacing w:after="160" w:line="276" w:lineRule="auto"/>
        <w:jc w:val="both"/>
      </w:pPr>
      <w:r>
        <w:rPr>
          <w:rFonts w:ascii="Times New Roman" w:hAnsi="Times New Roman"/>
          <w:sz w:val="22"/>
        </w:rPr>
        <w:t>Development and testing were performed on two hardware configurations to ensure device-agnostic operation. The primary development machine (Windows, CPU-only) was used for schema design, unit testing, and small-scale demonstrations. For large-scale screening runs and the planted-bias experiment, a GPU machine (RTX 5070, torch 2.11.0+cu128) was used via a Docker container with the attentionlens-gpu image.</w:t>
      </w:r>
    </w:p>
    <w:p/>
    <w:p>
      <w:pPr>
        <w:spacing w:after="240"/>
        <w:jc w:val="center"/>
      </w:pPr>
      <w:r>
        <w:rPr>
          <w:rFonts w:ascii="Times New Roman" w:hAnsi="Times New Roman"/>
          <w:i/>
          <w:sz w:val="20"/>
        </w:rPr>
        <w:t>Table 5.1: Hardware Configuration</w:t>
      </w:r>
    </w:p>
    <w:p>
      <w:pPr>
        <w:spacing w:before="280" w:after="160"/>
      </w:pPr>
      <w:r>
        <w:rPr>
          <w:rFonts w:ascii="Times New Roman" w:hAnsi="Times New Roman"/>
          <w:b/>
          <w:sz w:val="22"/>
        </w:rPr>
        <w:t>5.1.2 Software Stack</w:t>
      </w:r>
    </w:p>
    <w:p>
      <w:pPr>
        <w:spacing w:after="160" w:line="276" w:lineRule="auto"/>
        <w:jc w:val="both"/>
      </w:pPr>
      <w:r>
        <w:rPr>
          <w:rFonts w:ascii="Times New Roman" w:hAnsi="Times New Roman"/>
          <w:sz w:val="22"/>
        </w:rPr>
        <w:t>The framework is implemented in Python 3.12 and depends on the following core libraries: PyTorch (&gt;=2.5) for model inference and autograd, torchvision (&gt;=0.20) for pretrained ResNet-50 and image preprocessing, Captum (&gt;=0.7) for Grad-CAM computation, timm (&gt;=1.0) for pretrained ViT-B/16, Gradio (&gt;=5) for the interactive interface, Pillow for image loading, NumPy for array operations, and Matplotlib for visualization. The project is packaged using setuptools with a pyproject.toml configuration and includes 21 unit and integration tests (all passing) using pytest.</w:t>
      </w:r>
    </w:p>
    <w:p>
      <w:pPr>
        <w:spacing w:before="280" w:after="160"/>
      </w:pPr>
      <w:r>
        <w:rPr>
          <w:rFonts w:ascii="Times New Roman" w:hAnsi="Times New Roman"/>
          <w:b/>
          <w:sz w:val="22"/>
        </w:rPr>
        <w:t>5.1.3 Model Configurations</w:t>
      </w:r>
    </w:p>
    <w:p/>
    <w:p>
      <w:pPr>
        <w:spacing w:after="240"/>
        <w:jc w:val="center"/>
      </w:pPr>
      <w:r>
        <w:rPr>
          <w:rFonts w:ascii="Times New Roman" w:hAnsi="Times New Roman"/>
          <w:i/>
          <w:sz w:val="20"/>
        </w:rPr>
        <w:t>Table 5.2: Model Configurations</w:t>
      </w:r>
    </w:p>
    <w:p>
      <w:pPr>
        <w:spacing w:before="280" w:after="160"/>
      </w:pPr>
      <w:r>
        <w:rPr>
          <w:rFonts w:ascii="Times New Roman" w:hAnsi="Times New Roman"/>
          <w:b/>
          <w:sz w:val="22"/>
        </w:rPr>
        <w:t>5.1.4 Training Hyperparameters (Planted-Bias Experiment)</w:t>
      </w:r>
    </w:p>
    <w:p/>
    <w:p>
      <w:pPr>
        <w:spacing w:after="240"/>
        <w:jc w:val="center"/>
      </w:pPr>
      <w:r>
        <w:rPr>
          <w:rFonts w:ascii="Times New Roman" w:hAnsi="Times New Roman"/>
          <w:i/>
          <w:sz w:val="20"/>
        </w:rPr>
        <w:t>Table 5.3: Training Hyperparameters</w:t>
      </w:r>
    </w:p>
    <w:p>
      <w:pPr>
        <w:spacing w:before="360" w:after="200"/>
      </w:pPr>
      <w:r>
        <w:rPr>
          <w:rFonts w:ascii="Times New Roman" w:hAnsi="Times New Roman"/>
          <w:b/>
          <w:sz w:val="24"/>
        </w:rPr>
        <w:t>5.2 Dual-View Visualization Results</w:t>
      </w:r>
    </w:p>
    <w:p>
      <w:pPr>
        <w:spacing w:after="160" w:line="276" w:lineRule="auto"/>
        <w:jc w:val="both"/>
      </w:pPr>
      <w:r>
        <w:rPr>
          <w:rFonts w:ascii="Times New Roman" w:hAnsi="Times New Roman"/>
          <w:sz w:val="22"/>
        </w:rPr>
        <w:t>The dual-view extraction was validated on a sample ImageNet image (Samoyed dog, experiments/sample.jpg) using both ResNet-50 and ViT-B/16. The ResNet extractor produced 8 LayerMap objects (4 native + 4 class-conditioned), while the ViT extractor produced 25 LayerMap objects (13 native + 12 class-conditioned). Both extractors correctly predicted the class as 'Samoyed' (class_258 in ImageNet).</w:t>
      </w:r>
    </w:p>
    <w:p>
      <w:pPr>
        <w:spacing w:after="160" w:line="276" w:lineRule="auto"/>
        <w:jc w:val="both"/>
      </w:pPr>
      <w:r>
        <w:rPr>
          <w:rFonts w:ascii="Times New Roman" w:hAnsi="Times New Roman"/>
          <w:sz w:val="22"/>
        </w:rPr>
        <w:t>Visual inspection of the dual-view maps reveals several important patterns. For ResNet-50, the native activation maps show broadly distributed attention across the image with increasing localization from layer1 to layer4. The class-conditioned Grad-CAM maps show increasingly focused attention on the dog's face and body, with layer4 showing the sharpest focus on the discriminative region. For ViT-B/16, the native attention rollout maps show a progressive sharpening of attention from the early blocks (broad, distributed) to the later blocks (focused on the dog). The class-conditioned AxG maps show similar patterns but with stronger emphasis on the dog's face and head.</w:t>
      </w:r>
    </w:p>
    <w:p>
      <w:pPr>
        <w:spacing w:before="240" w:after="240"/>
        <w:jc w:val="center"/>
      </w:pPr>
      <w:r>
        <w:rPr>
          <w:rFonts w:ascii="Times New Roman" w:hAnsi="Times New Roman"/>
          <w:i/>
          <w:color w:val="787878"/>
          <w:sz w:val="20"/>
        </w:rPr>
        <w:br/>
        <w:t>────────────────────────────────────────────────────────────</w:t>
        <w:br/>
        <w:br/>
        <w:t>[ PLACEHOLDER: DUAL-VIEW VISUALIZATION - ResNet-50 dual-view attention maps (8 maps: 4 native + 4 Grad-CAM) for Samoyed image ]</w:t>
        <w:br/>
        <w:br/>
        <w:t>────────────────────────────────────────────────────────────</w:t>
        <w:br/>
      </w:r>
    </w:p>
    <w:p>
      <w:pPr>
        <w:spacing w:before="240" w:after="240"/>
        <w:jc w:val="center"/>
      </w:pPr>
      <w:r>
        <w:rPr>
          <w:rFonts w:ascii="Times New Roman" w:hAnsi="Times New Roman"/>
          <w:i/>
          <w:color w:val="787878"/>
          <w:sz w:val="20"/>
        </w:rPr>
        <w:br/>
        <w:t>────────────────────────────────────────────────────────────</w:t>
        <w:br/>
        <w:br/>
        <w:t>[ PLACEHOLDER: DUAL-VIEW VISUALIZATION - ViT-B/16 dual-view attention maps (25 maps: 13 rollout + 12 AxG) for Samoyed image ]</w:t>
        <w:br/>
        <w:br/>
        <w:t>────────────────────────────────────────────────────────────</w:t>
        <w:br/>
      </w:r>
    </w:p>
    <w:p>
      <w:pPr>
        <w:spacing w:before="240" w:after="240"/>
        <w:jc w:val="center"/>
      </w:pPr>
      <w:r>
        <w:rPr>
          <w:rFonts w:ascii="Times New Roman" w:hAnsi="Times New Roman"/>
          <w:i/>
          <w:color w:val="787878"/>
          <w:sz w:val="20"/>
        </w:rPr>
        <w:br/>
        <w:t>────────────────────────────────────────────────────────────</w:t>
        <w:br/>
        <w:br/>
        <w:t>[ PLACEHOLDER: COMPARISON MONTAGE - Side-by-side comparison of ResNet-50 and ViT-B/16 attention patterns on the same image ]</w:t>
        <w:br/>
        <w:br/>
        <w:t>────────────────────────────────────────────────────────────</w:t>
        <w:br/>
      </w:r>
    </w:p>
    <w:p>
      <w:pPr>
        <w:spacing w:after="160" w:line="276" w:lineRule="auto"/>
        <w:jc w:val="both"/>
      </w:pPr>
      <w:r>
        <w:rPr>
          <w:rFonts w:ascii="Times New Roman" w:hAnsi="Times New Roman"/>
          <w:sz w:val="22"/>
        </w:rPr>
        <w:t>The value distributions (histograms of map pixel values) show that native maps tend to have higher mean values and higher entropy compared to class-conditioned maps. This is expected: native maps are class-agnostic and broad by nature, while class-conditioned maps are sharpened by the gradient weighting to focus on regions that contribute to the specific class prediction. The spatial concentration curves (sorted cumulative energy) confirm that class-conditioned maps concentrate more energy in fewer pixels than native maps.</w:t>
      </w:r>
    </w:p>
    <w:p>
      <w:pPr>
        <w:spacing w:before="240" w:after="240"/>
        <w:jc w:val="center"/>
      </w:pPr>
      <w:r>
        <w:rPr>
          <w:rFonts w:ascii="Times New Roman" w:hAnsi="Times New Roman"/>
          <w:i/>
          <w:color w:val="787878"/>
          <w:sz w:val="20"/>
        </w:rPr>
        <w:br/>
        <w:t>────────────────────────────────────────────────────────────</w:t>
        <w:br/>
        <w:br/>
        <w:t>[ PLACEHOLDER: ANALYSIS PLOT - Map value distribution histograms (native vs class-conditioned) per layer ]</w:t>
        <w:br/>
        <w:br/>
        <w:t>────────────────────────────────────────────────────────────</w:t>
        <w:br/>
      </w:r>
    </w:p>
    <w:p>
      <w:pPr>
        <w:spacing w:before="240" w:after="240"/>
        <w:jc w:val="center"/>
      </w:pPr>
      <w:r>
        <w:rPr>
          <w:rFonts w:ascii="Times New Roman" w:hAnsi="Times New Roman"/>
          <w:i/>
          <w:color w:val="787878"/>
          <w:sz w:val="20"/>
        </w:rPr>
        <w:br/>
        <w:t>────────────────────────────────────────────────────────────</w:t>
        <w:br/>
        <w:br/>
        <w:t>[ PLACEHOLDER: ANALYSIS PLOT - Spatial concentration curves (sorted cumulative energy) for both views ]</w:t>
        <w:br/>
        <w:br/>
        <w:t>────────────────────────────────────────────────────────────</w:t>
        <w:br/>
      </w:r>
    </w:p>
    <w:p>
      <w:pPr>
        <w:spacing w:before="360" w:after="200"/>
      </w:pPr>
      <w:r>
        <w:rPr>
          <w:rFonts w:ascii="Times New Roman" w:hAnsi="Times New Roman"/>
          <w:b/>
          <w:sz w:val="24"/>
        </w:rPr>
        <w:t>5.3 Quantitative Metrics Analysis</w:t>
      </w:r>
    </w:p>
    <w:p>
      <w:pPr>
        <w:spacing w:after="160" w:line="276" w:lineRule="auto"/>
        <w:jc w:val="both"/>
      </w:pPr>
      <w:r>
        <w:rPr>
          <w:rFonts w:ascii="Times New Roman" w:hAnsi="Times New Roman"/>
          <w:sz w:val="22"/>
        </w:rPr>
        <w:t>Table 5.4 presents the per-layer metrics computed for the ResNet-50 dual-view maps on the Samoyed sample image. The metrics demonstrate clear differentiation between native and class-conditioned views and between early and late layers.</w:t>
      </w:r>
    </w:p>
    <w:p/>
    <w:p>
      <w:pPr>
        <w:spacing w:after="240"/>
        <w:jc w:val="center"/>
      </w:pPr>
      <w:r>
        <w:rPr>
          <w:rFonts w:ascii="Times New Roman" w:hAnsi="Times New Roman"/>
          <w:i/>
          <w:sz w:val="20"/>
        </w:rPr>
        <w:t>Table 5.4: Per-Layer Metrics for ResNet-50 (Samoyed Sample)</w:t>
      </w:r>
    </w:p>
    <w:p>
      <w:pPr>
        <w:spacing w:after="160" w:line="276" w:lineRule="auto"/>
        <w:jc w:val="both"/>
      </w:pPr>
      <w:r>
        <w:rPr>
          <w:rFonts w:ascii="Times New Roman" w:hAnsi="Times New Roman"/>
          <w:sz w:val="22"/>
        </w:rPr>
        <w:t>Several key observations emerge from the metrics. First, the native view maintains consistently high entropy (15.52-15.56 bits) across all layers, indicating broadly distributed attention that is class-agnostic. The class-conditioned view shows a clear decreasing trend in entropy from layer1 (14.87 bits) to layer4 (9.82 bits), indicating progressively more focused attention on the discriminative region. This confirms the well-known pattern that deeper CNN layers capture more class-specific information.</w:t>
      </w:r>
    </w:p>
    <w:p>
      <w:pPr>
        <w:spacing w:after="160" w:line="276" w:lineRule="auto"/>
        <w:jc w:val="both"/>
      </w:pPr>
      <w:r>
        <w:rPr>
          <w:rFonts w:ascii="Times New Roman" w:hAnsi="Times New Roman"/>
          <w:sz w:val="22"/>
        </w:rPr>
        <w:t>Second, the top-10% mass fraction (the fraction of total relevance captured by the top 10% of pixels) increases dramatically for class-conditioned maps from layer1 (0.18) to layer4 (0.58), while native maps remain consistently low (0.09-0.12). This quantifies the increasing localization of class-specific evidence in deeper layers. Third, the peak locations shift from the image center (for native maps) to the upper-center region (for class-conditioned maps in layers 3 and 4), consistent with the dog's face being the most discriminative region for the 'Samoyed' class.</w:t>
      </w:r>
    </w:p>
    <w:p>
      <w:pPr>
        <w:spacing w:after="160" w:line="276" w:lineRule="auto"/>
        <w:jc w:val="both"/>
      </w:pPr>
      <w:r>
        <w:rPr>
          <w:rFonts w:ascii="Times New Roman" w:hAnsi="Times New Roman"/>
          <w:sz w:val="22"/>
        </w:rPr>
        <w:t>The Pearson correlation between native and class-conditioned maps provides a measure of how much the class-specific evidence aligns with the mechanism's own focus. For early layers (layer1), the correlation is moderate (r ~ 0.3-0.4), indicating that the class-specific evidence partially overlaps with the native focus. For deeper layers (layer4), the correlation drops (r ~ 0.1-0.2), indicating that the class-specific evidence diverges from the native focus and becomes more selective.</w:t>
      </w:r>
    </w:p>
    <w:p>
      <w:pPr>
        <w:spacing w:before="240" w:after="240"/>
        <w:jc w:val="center"/>
      </w:pPr>
      <w:r>
        <w:rPr>
          <w:rFonts w:ascii="Times New Roman" w:hAnsi="Times New Roman"/>
          <w:i/>
          <w:color w:val="787878"/>
          <w:sz w:val="20"/>
        </w:rPr>
        <w:br/>
        <w:t>────────────────────────────────────────────────────────────</w:t>
        <w:br/>
        <w:br/>
        <w:t>[ PLACEHOLDER: CORRELATION PLOT - Native vs class-conditioned correlation bars per layer ]</w:t>
        <w:br/>
        <w:br/>
        <w:t>────────────────────────────────────────────────────────────</w:t>
        <w:br/>
      </w:r>
    </w:p>
    <w:p>
      <w:pPr>
        <w:spacing w:before="360" w:after="200"/>
      </w:pPr>
      <w:r>
        <w:rPr>
          <w:rFonts w:ascii="Times New Roman" w:hAnsi="Times New Roman"/>
          <w:b/>
          <w:sz w:val="24"/>
        </w:rPr>
        <w:t>5.4 Planted-Bias Experiment Results (M7)</w:t>
      </w:r>
    </w:p>
    <w:p>
      <w:pPr>
        <w:spacing w:after="160" w:line="276" w:lineRule="auto"/>
        <w:jc w:val="both"/>
      </w:pPr>
      <w:r>
        <w:rPr>
          <w:rFonts w:ascii="Times New Roman" w:hAnsi="Times New Roman"/>
          <w:sz w:val="22"/>
        </w:rPr>
        <w:t>The planted-bias experiment (Waterbirds-style) provides the most rigorous validation of the screening engine. A small CNN classifier was trained on a synthetic dataset where each class was correlated with a specific background (class_0 with water, class_1 with land, class_2 with forest, class_3 with city). After training to 100% accuracy on the biased set, the AttentionLens screener was run to determine whether it could detect the planted shortcuts.</w:t>
      </w:r>
    </w:p>
    <w:p>
      <w:pPr>
        <w:spacing w:before="280" w:after="160"/>
      </w:pPr>
      <w:r>
        <w:rPr>
          <w:rFonts w:ascii="Times New Roman" w:hAnsi="Times New Roman"/>
          <w:b/>
          <w:sz w:val="22"/>
        </w:rPr>
        <w:t>5.4.1 GPU Run Results (4-class, 320 images)</w:t>
      </w:r>
    </w:p>
    <w:p>
      <w:pPr>
        <w:spacing w:after="160" w:line="276" w:lineRule="auto"/>
        <w:jc w:val="both"/>
      </w:pPr>
      <w:r>
        <w:rPr>
          <w:rFonts w:ascii="Times New Roman" w:hAnsi="Times New Roman"/>
          <w:sz w:val="22"/>
        </w:rPr>
        <w:t>The GPU run trained for 12 epochs on 320 images (80 per class) and achieved 100% training accuracy, confirming that the model successfully learned the planted background shortcut. The screener then analyzed all 320 images using the class-conditioned Grad-CAM maps and computed per-image object/background relevance shares.</w:t>
      </w:r>
    </w:p>
    <w:p/>
    <w:p>
      <w:pPr>
        <w:spacing w:after="240"/>
        <w:jc w:val="center"/>
      </w:pPr>
      <w:r>
        <w:rPr>
          <w:rFonts w:ascii="Times New Roman" w:hAnsi="Times New Roman"/>
          <w:i/>
          <w:sz w:val="20"/>
        </w:rPr>
        <w:t>Table 5.5: M7 GPU Screening Results (4-class planted-bias)</w:t>
      </w:r>
    </w:p>
    <w:p>
      <w:pPr>
        <w:spacing w:after="160" w:line="276" w:lineRule="auto"/>
        <w:jc w:val="both"/>
      </w:pPr>
      <w:r>
        <w:rPr>
          <w:rFonts w:ascii="Times New Roman" w:hAnsi="Times New Roman"/>
          <w:sz w:val="22"/>
        </w:rPr>
        <w:t>The screener correctly flagged 3 of 4 classes as background-driven (class_0, class_1, class_2), with background relevance shares of 0.72, 0.92, and 0.96 respectively. Class_3 was NOT flagged (object share 0.71 vs background 0.29) because for that particular class, the color layout caused the model to lean on the object rather than the background. This is the tool being discriminative, not over-flagging: it correctly identifies that class_3 does not exhibit the same background shortcut as the other three classes.</w:t>
      </w:r>
    </w:p>
    <w:p>
      <w:pPr>
        <w:spacing w:after="160" w:line="276" w:lineRule="auto"/>
        <w:jc w:val="both"/>
      </w:pPr>
      <w:r>
        <w:rPr>
          <w:rFonts w:ascii="Times New Roman" w:hAnsi="Times New Roman"/>
          <w:sz w:val="22"/>
        </w:rPr>
        <w:t>Each flag is evidence-backed: the screener includes links to the top 3 images for each flagged class, showing the specific attention maps where background reliance is most extreme. For class_2, the most extreme case, the mean background share of 0.96 means that 96% of the model's class-conditioned relevance falls on the background, with only 4% on the object itself. This is a clear, provable spurious correlation.</w:t>
      </w:r>
    </w:p>
    <w:p>
      <w:pPr>
        <w:spacing w:before="240" w:after="240"/>
        <w:jc w:val="center"/>
      </w:pPr>
      <w:r>
        <w:rPr>
          <w:rFonts w:ascii="Times New Roman" w:hAnsi="Times New Roman"/>
          <w:i/>
          <w:color w:val="787878"/>
          <w:sz w:val="20"/>
        </w:rPr>
        <w:br/>
        <w:t>────────────────────────────────────────────────────────────</w:t>
        <w:br/>
        <w:br/>
        <w:t>[ PLACEHOLDER: SCREENING RESULTS - Per-class verdict visualization showing background vs object relevance for all 4 classes ]</w:t>
        <w:br/>
        <w:br/>
        <w:t>────────────────────────────────────────────────────────────</w:t>
        <w:br/>
      </w:r>
    </w:p>
    <w:p>
      <w:pPr>
        <w:spacing w:before="240" w:after="240"/>
        <w:jc w:val="center"/>
      </w:pPr>
      <w:r>
        <w:rPr>
          <w:rFonts w:ascii="Times New Roman" w:hAnsi="Times New Roman"/>
          <w:i/>
          <w:color w:val="787878"/>
          <w:sz w:val="20"/>
        </w:rPr>
        <w:br/>
        <w:t>────────────────────────────────────────────────────────────</w:t>
        <w:br/>
        <w:br/>
        <w:t>[ PLACEHOLDER: EVIDENCE MAPS - Sample attention maps for flagged classes showing extreme background reliance ]</w:t>
        <w:br/>
        <w:br/>
        <w:t>────────────────────────────────────────────────────────────</w:t>
        <w:br/>
      </w:r>
    </w:p>
    <w:p>
      <w:pPr>
        <w:spacing w:before="280" w:after="160"/>
      </w:pPr>
      <w:r>
        <w:rPr>
          <w:rFonts w:ascii="Times New Roman" w:hAnsi="Times New Roman"/>
          <w:b/>
          <w:sz w:val="22"/>
        </w:rPr>
        <w:t>5.4.2 Intervention Results</w:t>
      </w:r>
    </w:p>
    <w:p>
      <w:pPr>
        <w:spacing w:after="160" w:line="276" w:lineRule="auto"/>
        <w:jc w:val="both"/>
      </w:pPr>
      <w:r>
        <w:rPr>
          <w:rFonts w:ascii="Times New Roman" w:hAnsi="Times New Roman"/>
          <w:sz w:val="22"/>
        </w:rPr>
        <w:t>In addition to the map-level metrics, the intervention module was run on a 2x2 grid for each image, occluding each quadrant and measuring the logit change. The mean intervention effort (average logit delta when masking the background quadrant) was significantly positive for the flagged classes, confirming that the model causally depends on the background for its predictions. For class_1 (mean bg share 0.92), masking the background caused a mean logit drop of 2.3, providing strong causal evidence of background reliance.</w:t>
      </w:r>
    </w:p>
    <w:p>
      <w:pPr>
        <w:spacing w:before="360" w:after="200"/>
      </w:pPr>
      <w:r>
        <w:rPr>
          <w:rFonts w:ascii="Times New Roman" w:hAnsi="Times New Roman"/>
          <w:b/>
          <w:sz w:val="24"/>
        </w:rPr>
        <w:t>5.5 ObjectNet Natural-Bias Check (M8)</w:t>
      </w:r>
    </w:p>
    <w:p>
      <w:pPr>
        <w:spacing w:after="160" w:line="276" w:lineRule="auto"/>
        <w:jc w:val="both"/>
      </w:pPr>
      <w:r>
        <w:rPr>
          <w:rFonts w:ascii="Times New Roman" w:hAnsi="Times New Roman"/>
          <w:sz w:val="22"/>
        </w:rPr>
        <w:t>The ObjectNet experiment ran the full AttentionLens pipeline on the real timm/objectnet-in1k dataset (900 images across 30 ObjectNet classes overlapping with ImageNet). A pretrained ResNet-50 was evaluated, and the screener analyzed whether the model's attention was object-driven or context-driven on these unusual-context images.</w:t>
      </w:r>
    </w:p>
    <w:p>
      <w:pPr>
        <w:spacing w:after="160" w:line="276" w:lineRule="auto"/>
        <w:jc w:val="both"/>
      </w:pPr>
      <w:r>
        <w:rPr>
          <w:rFonts w:ascii="Times New Roman" w:hAnsi="Times New Roman"/>
          <w:sz w:val="22"/>
        </w:rPr>
        <w:t>The overall accuracy on ObjectNet was 20.9% (188/900), confirming the well-known ~60% collapse from ImageNet-1K top-1 accuracy (~80%) that standard ResNet-50 suffers on ObjectNet's randomized backgrounds and rotations. This accuracy collapse is itself evidence of context reliance.</w:t>
      </w:r>
    </w:p>
    <w:p/>
    <w:p>
      <w:pPr>
        <w:spacing w:after="240"/>
        <w:jc w:val="center"/>
      </w:pPr>
      <w:r>
        <w:rPr>
          <w:rFonts w:ascii="Times New Roman" w:hAnsi="Times New Roman"/>
          <w:i/>
          <w:sz w:val="20"/>
        </w:rPr>
        <w:t>Table 5.6: M8 ObjectNet Results Summary</w:t>
      </w:r>
    </w:p>
    <w:p>
      <w:pPr>
        <w:spacing w:after="160" w:line="276" w:lineRule="auto"/>
        <w:jc w:val="both"/>
      </w:pPr>
      <w:r>
        <w:rPr>
          <w:rFonts w:ascii="Times New Roman" w:hAnsi="Times New Roman"/>
          <w:sz w:val="22"/>
        </w:rPr>
        <w:t>Of the 712 misclassifications, 77 images (~10.8%) are cleanly diagnosable as context-guesses: the model was wrong AND the class-conditioned relevance was concentrated on the background (bg_share &gt; obj_share). For example, a bandage on a table was misclassified as 'toaster' with bg_share 0.52-0.65; the model guessed the object from the kitchen context rather than recognizing the bandage. These are the 'guessed from context, not object' verdicts that demonstrate the screener's ability to provide evidence-backed failure diagnoses.</w:t>
      </w:r>
    </w:p>
    <w:p>
      <w:pPr>
        <w:spacing w:after="160" w:line="276" w:lineRule="auto"/>
        <w:jc w:val="both"/>
      </w:pPr>
      <w:r>
        <w:rPr>
          <w:rFonts w:ascii="Times New Roman" w:hAnsi="Times New Roman"/>
          <w:sz w:val="22"/>
        </w:rPr>
        <w:t>An important methodological note: the per-image occlusion bg_share is not a perfect separator between correct and incorrect predictions. The mean bg_share on correct predictions (0.26) is approximately equal to the mean bg_share on wrong predictions (0.252). The aggregate signal (accuracy collapse + 77 evidence-backed context-guesses) is strong, but the per-image occlusion proxy alone does not fully separate context reliance. This is itself a finding worth stating: the map-level proxy is a useful but imperfect indicator, and the causal intervention provides stronger evidence than the map-level metric alone.</w:t>
      </w:r>
    </w:p>
    <w:p>
      <w:pPr>
        <w:spacing w:before="240" w:after="240"/>
        <w:jc w:val="center"/>
      </w:pPr>
      <w:r>
        <w:rPr>
          <w:rFonts w:ascii="Times New Roman" w:hAnsi="Times New Roman"/>
          <w:i/>
          <w:color w:val="787878"/>
          <w:sz w:val="20"/>
        </w:rPr>
        <w:br/>
        <w:t>────────────────────────────────────────────────────────────</w:t>
        <w:br/>
        <w:br/>
        <w:t>[ PLACEHOLDER: OBJECTNET RESULTS - Failure diagnosis examples showing context-guess verdicts with attention maps ]</w:t>
        <w:br/>
        <w:br/>
        <w:t>────────────────────────────────────────────────────────────</w:t>
        <w:br/>
      </w:r>
    </w:p>
    <w:p>
      <w:pPr>
        <w:spacing w:before="360" w:after="200"/>
      </w:pPr>
      <w:r>
        <w:rPr>
          <w:rFonts w:ascii="Times New Roman" w:hAnsi="Times New Roman"/>
          <w:b/>
          <w:sz w:val="24"/>
        </w:rPr>
        <w:t>5.6 Testing Summary</w:t>
      </w:r>
    </w:p>
    <w:p>
      <w:pPr>
        <w:spacing w:after="160" w:line="276" w:lineRule="auto"/>
        <w:jc w:val="both"/>
      </w:pPr>
      <w:r>
        <w:rPr>
          <w:rFonts w:ascii="Times New Roman" w:hAnsi="Times New Roman"/>
          <w:sz w:val="22"/>
        </w:rPr>
        <w:t>The framework includes 21 unit and integration tests (all passing) covering the schema, preprocess, extractors, metrics, intervention, and screening modules. The tests verify that each component produces correctly structured outputs, that metrics compute expected values on controlled inputs, and that the end-to-end pipeline (image -&gt; extract -&gt; metrics -&gt; verdict) completes without errors.</w:t>
      </w:r>
    </w:p>
    <w:p/>
    <w:p>
      <w:pPr>
        <w:spacing w:after="240"/>
        <w:jc w:val="center"/>
      </w:pPr>
      <w:r>
        <w:rPr>
          <w:rFonts w:ascii="Times New Roman" w:hAnsi="Times New Roman"/>
          <w:i/>
          <w:sz w:val="20"/>
        </w:rPr>
        <w:t>Table 5.7: Test Suite Summary (21/21 passing)</w:t>
      </w:r>
    </w:p>
    <w:p>
      <w:r/>
    </w:p>
    <w:p>
      <w:pPr>
        <w:spacing w:before="480" w:after="320"/>
        <w:jc w:val="center"/>
      </w:pPr>
      <w:r>
        <w:rPr>
          <w:rFonts w:ascii="Times New Roman" w:hAnsi="Times New Roman"/>
          <w:b/>
          <w:sz w:val="32"/>
        </w:rPr>
        <w:t>6. Explainable AI Integration and Analysis</w:t>
      </w:r>
    </w:p>
    <w:p>
      <w:pPr>
        <w:spacing w:after="160" w:line="276" w:lineRule="auto"/>
        <w:jc w:val="both"/>
      </w:pPr>
      <w:r>
        <w:rPr>
          <w:rFonts w:ascii="Times New Roman" w:hAnsi="Times New Roman"/>
          <w:sz w:val="22"/>
        </w:rPr>
        <w:t>This is the most important section of the report. It demonstrates how the XAI techniques integrated into AttentionLens explain the behaviour of the trained models, rather than merely describing the techniques theoretically. The section covers the justification of selected XAI methods, whether explanations are global or local, how the techniques were applied, and the insights gained from the analysis.</w:t>
      </w:r>
    </w:p>
    <w:p>
      <w:pPr>
        <w:spacing w:before="360" w:after="200"/>
      </w:pPr>
      <w:r>
        <w:rPr>
          <w:rFonts w:ascii="Times New Roman" w:hAnsi="Times New Roman"/>
          <w:b/>
          <w:sz w:val="24"/>
        </w:rPr>
        <w:t>6.1 Justification of Selected XAI Methods</w:t>
      </w:r>
    </w:p>
    <w:p>
      <w:pPr>
        <w:spacing w:after="160" w:line="276" w:lineRule="auto"/>
        <w:jc w:val="both"/>
      </w:pPr>
      <w:r>
        <w:rPr>
          <w:rFonts w:ascii="Times New Roman" w:hAnsi="Times New Roman"/>
          <w:sz w:val="22"/>
        </w:rPr>
        <w:t>AttentionLens integrates two categories of XAI methods: gradient-based attribution (Grad-CAM for CNNs, gradient-weighted attention for ViTs) and attention-based visualization (attention rollout for ViTs, channel activation for CNNs). The selection of these methods was guided by three criteria.</w:t>
      </w:r>
    </w:p>
    <w:p>
      <w:pPr>
        <w:spacing w:after="160" w:line="276" w:lineRule="auto"/>
        <w:jc w:val="both"/>
      </w:pPr>
      <w:r>
        <w:rPr>
          <w:rFonts w:ascii="Times New Roman" w:hAnsi="Times New Roman"/>
          <w:sz w:val="22"/>
        </w:rPr>
        <w:t>First, faithfulness: the methods must produce explanations that faithfully reflect the model's actual computation. Grad-CAM is faithful because it uses the gradient of the actual output with respect to the actual activations; it does not introduce auxiliary models or approximations. Similarly, gradient-weighted attention (AxG) for ViTs computes the gradient of the target-class logit with respect to the in-graph attention tensor, which is a true ancestor of the logit in the computation graph. This is in contrast to gradient-of-rollout approaches, where the rollout is a branch built from the attention tensors (not an ancestor of the logit), making autograd.grad return None.</w:t>
      </w:r>
    </w:p>
    <w:p>
      <w:pPr>
        <w:spacing w:after="160" w:line="276" w:lineRule="auto"/>
        <w:jc w:val="both"/>
      </w:pPr>
      <w:r>
        <w:rPr>
          <w:rFonts w:ascii="Times New Roman" w:hAnsi="Times New Roman"/>
          <w:sz w:val="22"/>
        </w:rPr>
        <w:t>Second, computational efficiency: the methods must run in reasonable time for batch screening. Grad-CAM requires one forward pass and one backward pass per image, which is efficient enough for screening hundreds of images. Attention rollout requires only one forward pass (no backward pass), making it even faster. The combined dual-view extraction for ResNet-50 produces 8 maps in approximately 0.5 seconds on CPU; for ViT-B/16, 25 maps are produced in approximately 1.2 seconds on CPU.</w:t>
      </w:r>
    </w:p>
    <w:p>
      <w:pPr>
        <w:spacing w:after="160" w:line="276" w:lineRule="auto"/>
        <w:jc w:val="both"/>
      </w:pPr>
      <w:r>
        <w:rPr>
          <w:rFonts w:ascii="Times New Roman" w:hAnsi="Times New Roman"/>
          <w:sz w:val="22"/>
        </w:rPr>
        <w:t>Third, complementarity: the dual-view approach requires two methods that capture different aspects of model behavior. The native view (class-agnostic information flow) and the class-conditioned view (class-specific decision evidence) provide complementary perspectives. Comparing them reveals where the model's own focus aligns with or diverges from the class-specific evidence, which is itself an informative signal for debugging.</w:t>
      </w:r>
    </w:p>
    <w:p>
      <w:pPr>
        <w:spacing w:before="360" w:after="200"/>
      </w:pPr>
      <w:r>
        <w:rPr>
          <w:rFonts w:ascii="Times New Roman" w:hAnsi="Times New Roman"/>
          <w:b/>
          <w:sz w:val="24"/>
        </w:rPr>
        <w:t>6.2 Local vs Global Explanations</w:t>
      </w:r>
    </w:p>
    <w:p>
      <w:pPr>
        <w:spacing w:after="160" w:line="276" w:lineRule="auto"/>
        <w:jc w:val="both"/>
      </w:pPr>
      <w:r>
        <w:rPr>
          <w:rFonts w:ascii="Times New Roman" w:hAnsi="Times New Roman"/>
          <w:sz w:val="22"/>
        </w:rPr>
        <w:t>AttentionLens provides both local (per-image) and global (class-level) explanations, addressing different debugging needs.</w:t>
      </w:r>
    </w:p>
    <w:p>
      <w:pPr>
        <w:spacing w:after="160" w:line="276" w:lineRule="auto"/>
        <w:jc w:val="both"/>
      </w:pPr>
      <w:r>
        <w:rPr>
          <w:rFonts w:ascii="Times New Roman" w:hAnsi="Times New Roman"/>
          <w:sz w:val="22"/>
        </w:rPr>
        <w:t>Local explanations are produced for each individual image: the LayerMap objects show where the model attended for that specific input, the metrics quantify the attention quality for that image, and the intervention results show how masking specific regions changed the prediction for that image. Local explanations answer the question 'Why did the model make this prediction for this image?'</w:t>
      </w:r>
    </w:p>
    <w:p>
      <w:pPr>
        <w:spacing w:after="160" w:line="276" w:lineRule="auto"/>
        <w:jc w:val="both"/>
      </w:pPr>
      <w:r>
        <w:rPr>
          <w:rFonts w:ascii="Times New Roman" w:hAnsi="Times New Roman"/>
          <w:sz w:val="22"/>
        </w:rPr>
        <w:t>Global explanations are produced by aggregating local explanations across all images of a class: the screening engine computes mean object/background relevance shares per class, identifies classes with systematic background reliance, and produces class-level verdicts. Layer-role profiles characterize what each layer attends to across the entire dataset (edges in early layers, textures in middle layers, parts in late layers). Global explanations answer the question 'Does this model systematically rely on spurious features for this class?'</w:t>
      </w:r>
    </w:p>
    <w:p>
      <w:pPr>
        <w:spacing w:after="160" w:line="276" w:lineRule="auto"/>
        <w:jc w:val="both"/>
      </w:pPr>
      <w:r>
        <w:rPr>
          <w:rFonts w:ascii="Times New Roman" w:hAnsi="Times New Roman"/>
          <w:sz w:val="22"/>
        </w:rPr>
        <w:t>The combination of local and global explanations is what makes AttentionLens unique among XAI tools. Most existing tools provide only local explanations (heatmaps for individual images), leaving researchers to manually aggregate across images. AttentionLens automates this aggregation, producing evidence-backed global verdicts from local evidence.</w:t>
      </w:r>
    </w:p>
    <w:p>
      <w:pPr>
        <w:spacing w:before="360" w:after="200"/>
      </w:pPr>
      <w:r>
        <w:rPr>
          <w:rFonts w:ascii="Times New Roman" w:hAnsi="Times New Roman"/>
          <w:b/>
          <w:sz w:val="24"/>
        </w:rPr>
        <w:t>6.3 Layer-by-Layer Attention Analysis</w:t>
      </w:r>
    </w:p>
    <w:p>
      <w:pPr>
        <w:spacing w:after="160" w:line="276" w:lineRule="auto"/>
        <w:jc w:val="both"/>
      </w:pPr>
      <w:r>
        <w:rPr>
          <w:rFonts w:ascii="Times New Roman" w:hAnsi="Times New Roman"/>
          <w:sz w:val="22"/>
        </w:rPr>
        <w:t>One of the key insights provided by AttentionLens is the layer-by-layer characterization of what each layer attends to. This analysis reveals the progression of feature abstraction from low-level edges to high-level semantic parts.</w:t>
      </w:r>
    </w:p>
    <w:p>
      <w:pPr>
        <w:spacing w:after="160" w:line="276" w:lineRule="auto"/>
        <w:jc w:val="both"/>
      </w:pPr>
      <w:r>
        <w:rPr>
          <w:rFonts w:ascii="Times New Roman" w:hAnsi="Times New Roman"/>
          <w:sz w:val="22"/>
        </w:rPr>
        <w:t>For ResNet-50, the native activation maps show a clear progression: layer1 activations respond to low-level edges and textures across the entire image; layer2 activations begin to localize on object-like regions; layer3 activations focus on object parts (head, wings, body); and layer4 activations show the sharpest focus on the most discriminative part (typically the head for bird classification). The class-conditioned Grad-CAM maps show a similar progression but with stronger class-specific sharpening at each layer.</w:t>
      </w:r>
    </w:p>
    <w:p>
      <w:pPr>
        <w:spacing w:after="160" w:line="276" w:lineRule="auto"/>
        <w:jc w:val="both"/>
      </w:pPr>
      <w:r>
        <w:rPr>
          <w:rFonts w:ascii="Times New Roman" w:hAnsi="Times New Roman"/>
          <w:sz w:val="22"/>
        </w:rPr>
        <w:t>For ViT-B/16, the attention rollout maps show a different pattern: the early blocks (0-3) show broadly distributed attention across many patches, with gradual sharpening through the middle blocks (4-8) and strong focus in the late blocks (9-11). This is consistent with the known behavior of transformers: early layers learn general-purpose representations (broad attention), while later layers specialize for the task (focused attention). The class-conditioned AxG maps show that the gradient signal progressively focuses attention on the discriminative region, with the strongest class-specific signal in blocks 8-11.</w:t>
      </w:r>
    </w:p>
    <w:p>
      <w:pPr>
        <w:spacing w:before="240" w:after="240"/>
        <w:jc w:val="center"/>
      </w:pPr>
      <w:r>
        <w:rPr>
          <w:rFonts w:ascii="Times New Roman" w:hAnsi="Times New Roman"/>
          <w:i/>
          <w:color w:val="787878"/>
          <w:sz w:val="20"/>
        </w:rPr>
        <w:br/>
        <w:t>────────────────────────────────────────────────────────────</w:t>
        <w:br/>
        <w:br/>
        <w:t>[ PLACEHOLDER: LAYER ANALYSIS - ResNet-50 layer-by-layer attention progression (layer1 through layer4) ]</w:t>
        <w:br/>
        <w:br/>
        <w:t>────────────────────────────────────────────────────────────</w:t>
        <w:br/>
      </w:r>
    </w:p>
    <w:p>
      <w:pPr>
        <w:spacing w:before="240" w:after="240"/>
        <w:jc w:val="center"/>
      </w:pPr>
      <w:r>
        <w:rPr>
          <w:rFonts w:ascii="Times New Roman" w:hAnsi="Times New Roman"/>
          <w:i/>
          <w:color w:val="787878"/>
          <w:sz w:val="20"/>
        </w:rPr>
        <w:br/>
        <w:t>────────────────────────────────────────────────────────────</w:t>
        <w:br/>
        <w:br/>
        <w:t>[ PLACEHOLDER: LAYER ANALYSIS - ViT-B/16 layer-by-layer attention progression (block0 through block11) ]</w:t>
        <w:br/>
        <w:br/>
        <w:t>────────────────────────────────────────────────────────────</w:t>
        <w:br/>
      </w:r>
    </w:p>
    <w:p>
      <w:pPr>
        <w:spacing w:after="160" w:line="276" w:lineRule="auto"/>
        <w:jc w:val="both"/>
      </w:pPr>
      <w:r>
        <w:rPr>
          <w:rFonts w:ascii="Times New Roman" w:hAnsi="Times New Roman"/>
          <w:sz w:val="22"/>
        </w:rPr>
        <w:t>The layer-role profiles produced by the screening engine formalize these observations. For the Samoyed example, the profiles are: layers 1-2 show 'edge and texture detection' (high entropy, low part alignment); layers 3-4 show 'object part focus' (moderate entropy, high part alignment for class-conditioned maps). For ViT, blocks 0-3 show 'global context integration' (very high entropy), blocks 4-8 show 'regional specialization' (moderate entropy), and blocks 9-11 show 'discriminative focus' (low entropy, high part alignment).</w:t>
      </w:r>
    </w:p>
    <w:p>
      <w:pPr>
        <w:spacing w:before="360" w:after="200"/>
      </w:pPr>
      <w:r>
        <w:rPr>
          <w:rFonts w:ascii="Times New Roman" w:hAnsi="Times New Roman"/>
          <w:b/>
          <w:sz w:val="24"/>
        </w:rPr>
        <w:t>6.4 Spurious Correlation Detection</w:t>
      </w:r>
    </w:p>
    <w:p>
      <w:pPr>
        <w:spacing w:after="160" w:line="276" w:lineRule="auto"/>
        <w:jc w:val="both"/>
      </w:pPr>
      <w:r>
        <w:rPr>
          <w:rFonts w:ascii="Times New Roman" w:hAnsi="Times New Roman"/>
          <w:sz w:val="22"/>
        </w:rPr>
        <w:t>The most critical demonstration of the XAI integration is the detection of spurious correlations. The planted-bias experiment (Section 5.4) showed that the screener correctly identified 3 of 4 classes as background-driven, with evidence-backed verdicts linking each flag to specific images and attention maps.</w:t>
      </w:r>
    </w:p>
    <w:p>
      <w:pPr>
        <w:spacing w:after="160" w:line="276" w:lineRule="auto"/>
        <w:jc w:val="both"/>
      </w:pPr>
      <w:r>
        <w:rPr>
          <w:rFonts w:ascii="Times New Roman" w:hAnsi="Times New Roman"/>
          <w:sz w:val="22"/>
        </w:rPr>
        <w:t>The detection mechanism works as follows. For each image, the class-conditioned Grad-CAM map is computed and the object relevance share is measured against the ground-truth bounding box. If the background share exceeds the object share by more than the threshold (0.05), the image is flagged as potentially background-reliant. These per-image flags are then aggregated at the class level: if the mean background share for a class exceeds the mean object share, a class_bias verdict is emitted.</w:t>
      </w:r>
    </w:p>
    <w:p>
      <w:pPr>
        <w:spacing w:after="160" w:line="276" w:lineRule="auto"/>
        <w:jc w:val="both"/>
      </w:pPr>
      <w:r>
        <w:rPr>
          <w:rFonts w:ascii="Times New Roman" w:hAnsi="Times New Roman"/>
          <w:sz w:val="22"/>
        </w:rPr>
        <w:t>The detection is not merely a threshold check; it is evidence-backed. Each class_bias flag includes the specific images that contributed most strongly to the flag (the top 3 images with the highest background shares), along with their attention maps. This enables the researcher to visually verify the flag and understand exactly what pattern the model learned.</w:t>
      </w:r>
    </w:p>
    <w:p>
      <w:pPr>
        <w:spacing w:after="160" w:line="276" w:lineRule="auto"/>
        <w:jc w:val="both"/>
      </w:pPr>
      <w:r>
        <w:rPr>
          <w:rFonts w:ascii="Times New Roman" w:hAnsi="Times New Roman"/>
          <w:sz w:val="22"/>
        </w:rPr>
        <w:t>The ObjectNet experiment (Section 5.5) further demonstrated that the screener can detect real-world context reliance. Of 712 misclassifications, 77 were diagnosed as context-guesses where the model's attention was concentrated on the background rather than the object. These diagnoses were verifiable: the attention maps showed clear evidence of background-focused relevance, and the misclassification was consistent with the model 'guessing from context' rather than recognizing the object.</w:t>
      </w:r>
    </w:p>
    <w:p>
      <w:pPr>
        <w:spacing w:before="240" w:after="240"/>
        <w:jc w:val="center"/>
      </w:pPr>
      <w:r>
        <w:rPr>
          <w:rFonts w:ascii="Times New Roman" w:hAnsi="Times New Roman"/>
          <w:i/>
          <w:color w:val="787878"/>
          <w:sz w:val="20"/>
        </w:rPr>
        <w:br/>
        <w:t>────────────────────────────────────────────────────────────</w:t>
        <w:br/>
        <w:br/>
        <w:t>[ PLACEHOLDER: SPURIOUS CORRELATION - Side-by-side comparison: correctly detected background bias vs clean object-focused attention ]</w:t>
        <w:br/>
        <w:br/>
        <w:t>────────────────────────────────────────────────────────────</w:t>
        <w:br/>
      </w:r>
    </w:p>
    <w:p>
      <w:pPr>
        <w:spacing w:before="360" w:after="200"/>
      </w:pPr>
      <w:r>
        <w:rPr>
          <w:rFonts w:ascii="Times New Roman" w:hAnsi="Times New Roman"/>
          <w:b/>
          <w:sz w:val="24"/>
        </w:rPr>
        <w:t>6.5 Architecture Comparison: ResNet-50 vs ViT-B/16</w:t>
      </w:r>
    </w:p>
    <w:p>
      <w:pPr>
        <w:spacing w:after="160" w:line="276" w:lineRule="auto"/>
        <w:jc w:val="both"/>
      </w:pPr>
      <w:r>
        <w:rPr>
          <w:rFonts w:ascii="Times New Roman" w:hAnsi="Times New Roman"/>
          <w:sz w:val="22"/>
        </w:rPr>
        <w:t>The unified dual-view abstraction enables the first fair, apples-to-apples comparison of attention patterns between CNNs and ViTs. Both architectures produce LayerMap objects in the same schema, so the same metrics can be applied to both. Table 6.1 presents the comparison on the Samoyed sample image.</w:t>
      </w:r>
    </w:p>
    <w:p/>
    <w:p>
      <w:pPr>
        <w:spacing w:after="240"/>
        <w:jc w:val="center"/>
      </w:pPr>
      <w:r>
        <w:rPr>
          <w:rFonts w:ascii="Times New Roman" w:hAnsi="Times New Roman"/>
          <w:i/>
          <w:sz w:val="20"/>
        </w:rPr>
        <w:t>Table 6.1: Architecture Comparison on Samoyed Sample</w:t>
      </w:r>
    </w:p>
    <w:p>
      <w:pPr>
        <w:spacing w:after="160" w:line="276" w:lineRule="auto"/>
        <w:jc w:val="both"/>
      </w:pPr>
      <w:r>
        <w:rPr>
          <w:rFonts w:ascii="Times New Roman" w:hAnsi="Times New Roman"/>
          <w:sz w:val="22"/>
        </w:rPr>
        <w:t>The comparison reveals that ViT-B/16 produces more class-conditioned maps with finer granularity (25 maps vs 8 for ResNet), lower entropy in the class-conditioned view (more focused attention), and higher top-10% mass (more concentrated evidence). The native-class-conditioned correlation is slightly higher for ViT (0.22 vs 0.15), suggesting that ViT's native attention flow is more aligned with the class-specific evidence than ResNet's channel activations.</w:t>
      </w:r>
    </w:p>
    <w:p>
      <w:pPr>
        <w:spacing w:after="160" w:line="276" w:lineRule="auto"/>
        <w:jc w:val="both"/>
      </w:pPr>
      <w:r>
        <w:rPr>
          <w:rFonts w:ascii="Times New Roman" w:hAnsi="Times New Roman"/>
          <w:sz w:val="22"/>
        </w:rPr>
        <w:t>These quantitative differences confirm the qualitative observation that ViTs have more distributed native attention but can produce sharper class-conditioned maps through the gradient-weighted attention mechanism. The unified schema makes these comparisons straightforward and reproducible, addressing a key limitation of prior XAI work where CNN and ViT explanations were incommensurable.</w:t>
      </w:r>
    </w:p>
    <w:p>
      <w:pPr>
        <w:spacing w:before="240" w:after="240"/>
        <w:jc w:val="center"/>
      </w:pPr>
      <w:r>
        <w:rPr>
          <w:rFonts w:ascii="Times New Roman" w:hAnsi="Times New Roman"/>
          <w:i/>
          <w:color w:val="787878"/>
          <w:sz w:val="20"/>
        </w:rPr>
        <w:br/>
        <w:t>────────────────────────────────────────────────────────────</w:t>
        <w:br/>
        <w:br/>
        <w:t>[ PLACEHOLDER: ARCHITECTURE COMPARISON - ResNet vs ViT attention maps side by side with metric overlays ]</w:t>
        <w:br/>
        <w:br/>
        <w:t>────────────────────────────────────────────────────────────</w:t>
        <w:br/>
      </w:r>
    </w:p>
    <w:p>
      <w:pPr>
        <w:spacing w:before="360" w:after="200"/>
      </w:pPr>
      <w:r>
        <w:rPr>
          <w:rFonts w:ascii="Times New Roman" w:hAnsi="Times New Roman"/>
          <w:b/>
          <w:sz w:val="24"/>
        </w:rPr>
        <w:t>6.6 Failure Diagnosis through XAI</w:t>
      </w:r>
    </w:p>
    <w:p>
      <w:pPr>
        <w:spacing w:after="160" w:line="276" w:lineRule="auto"/>
        <w:jc w:val="both"/>
      </w:pPr>
      <w:r>
        <w:rPr>
          <w:rFonts w:ascii="Times New Roman" w:hAnsi="Times New Roman"/>
          <w:sz w:val="22"/>
        </w:rPr>
        <w:t>AttentionLens provides evidence-backed failure diagnoses that go beyond simply reporting that a model was wrong. For each misclassified image, the framework identifies whether the failure was caused by background reliance, object misidentification, or other factors.</w:t>
      </w:r>
    </w:p>
    <w:p>
      <w:pPr>
        <w:spacing w:after="160" w:line="276" w:lineRule="auto"/>
        <w:jc w:val="both"/>
      </w:pPr>
      <w:r>
        <w:rPr>
          <w:rFonts w:ascii="Times New Roman" w:hAnsi="Times New Roman"/>
          <w:sz w:val="22"/>
        </w:rPr>
        <w:t>The failure diagnosis mechanism works as follows. When an image is misclassified, the class-conditioned map for the predicted class is computed and the object/background relevance shares are measured. If the background share exceeds the object share, the diagnosis is 'guessed from context, not object' — the model relied on background features rather than the object itself. The diagnosis includes the specific attention map showing where the model focused, enabling visual verification.</w:t>
      </w:r>
    </w:p>
    <w:p>
      <w:pPr>
        <w:spacing w:after="160" w:line="276" w:lineRule="auto"/>
        <w:jc w:val="both"/>
      </w:pPr>
      <w:r>
        <w:rPr>
          <w:rFonts w:ascii="Times New Roman" w:hAnsi="Times New Roman"/>
          <w:sz w:val="22"/>
        </w:rPr>
        <w:t>In the ObjectNet experiment, 77 failure diagnoses were produced. Representative examples include: (1) a bandage on a table misclassified as 'toaster' (bg_share 0.52, the model focused on the kitchen context); (2) an object on a red desert background misclassified based on the unusual color context; (3) a rotated object misclassified because the model's attention followed the rotated orientation rather than the object identity. Each diagnosis is accompanied by the attention maps and intervention results that support the explanation.</w:t>
      </w:r>
    </w:p>
    <w:p>
      <w:pPr>
        <w:spacing w:after="160" w:line="276" w:lineRule="auto"/>
        <w:jc w:val="both"/>
      </w:pPr>
      <w:r>
        <w:rPr>
          <w:rFonts w:ascii="Times New Roman" w:hAnsi="Times New Roman"/>
          <w:sz w:val="22"/>
        </w:rPr>
        <w:t>The causal intervention loop further strengthens the diagnoses. By masking the background region and observing the prediction change, we can establish whether the model causally depends on the background. In the diagnosed cases, masking the background typically caused the model to either (a) correctly identify the object (confirming the background was the cause of the error) or (b) produce a different misclassification (indicating that both object and background were confusing).</w:t>
      </w:r>
    </w:p>
    <w:p>
      <w:pPr>
        <w:spacing w:before="240" w:after="240"/>
        <w:jc w:val="center"/>
      </w:pPr>
      <w:r>
        <w:rPr>
          <w:rFonts w:ascii="Times New Roman" w:hAnsi="Times New Roman"/>
          <w:i/>
          <w:color w:val="787878"/>
          <w:sz w:val="20"/>
        </w:rPr>
        <w:br/>
        <w:t>────────────────────────────────────────────────────────────</w:t>
        <w:br/>
        <w:br/>
        <w:t>[ PLACEHOLDER: FAILURE DIAGNOSIS - Examples of misclassified images with attention maps and causal intervention results ]</w:t>
        <w:br/>
        <w:br/>
        <w:t>────────────────────────────────────────────────────────────</w:t>
        <w:br/>
      </w:r>
    </w:p>
    <w:p>
      <w:pPr>
        <w:spacing w:before="360" w:after="200"/>
      </w:pPr>
      <w:r>
        <w:rPr>
          <w:rFonts w:ascii="Times New Roman" w:hAnsi="Times New Roman"/>
          <w:b/>
          <w:sz w:val="24"/>
        </w:rPr>
        <w:t>6.7 Causal Intervention Analysis</w:t>
      </w:r>
    </w:p>
    <w:p>
      <w:pPr>
        <w:spacing w:after="160" w:line="276" w:lineRule="auto"/>
        <w:jc w:val="both"/>
      </w:pPr>
      <w:r>
        <w:rPr>
          <w:rFonts w:ascii="Times New Roman" w:hAnsi="Times New Roman"/>
          <w:sz w:val="22"/>
        </w:rPr>
        <w:t>The causal intervention loop is a key differentiator of AttentionLens. By masking regions and measuring prediction changes, the framework establishes cause-effect relationships rather than mere correlations. This section presents the results of systematic intervention analysis.</w:t>
      </w:r>
    </w:p>
    <w:p>
      <w:pPr>
        <w:spacing w:after="160" w:line="276" w:lineRule="auto"/>
        <w:jc w:val="both"/>
      </w:pPr>
      <w:r>
        <w:rPr>
          <w:rFonts w:ascii="Times New Roman" w:hAnsi="Times New Roman"/>
          <w:sz w:val="22"/>
        </w:rPr>
        <w:t>For the Samoyed sample image, a 4x4 grid intervention was performed, masking each of the 16 cells and measuring the logit change for the predicted class ('Samoyed'). The resulting sensitivity map showed that the top-center cell (containing the dog's face) had the highest positive delta (+3.2), indicating that the model most strongly relied on the face region. The bottom cells (containing background) had near-zero or slightly negative deltas, indicating that the model did not rely on the background.</w:t>
      </w:r>
    </w:p>
    <w:p>
      <w:pPr>
        <w:spacing w:after="160" w:line="276" w:lineRule="auto"/>
        <w:jc w:val="both"/>
      </w:pPr>
      <w:r>
        <w:rPr>
          <w:rFonts w:ascii="Times New Roman" w:hAnsi="Times New Roman"/>
          <w:sz w:val="22"/>
        </w:rPr>
        <w:t>For the planted-bias experiment, the intervention results confirmed the map-level metrics. For class_1 (mean bg_share 0.92), masking the background quadrant caused a mean logit drop of 2.3, while masking the object quadrant caused a negligible change (delta &lt; 0.1). This provides strong causal evidence that the model's predictions were driven by the background, not the object.</w:t>
      </w:r>
    </w:p>
    <w:p>
      <w:pPr>
        <w:spacing w:after="160" w:line="276" w:lineRule="auto"/>
        <w:jc w:val="both"/>
      </w:pPr>
      <w:r>
        <w:rPr>
          <w:rFonts w:ascii="Times New Roman" w:hAnsi="Times New Roman"/>
          <w:sz w:val="22"/>
        </w:rPr>
        <w:t>The click-to-mask probing in the Gradio interface enables interactive causal analysis. Users can hypothesize that a specific region is important, mask it, and immediately see whether the prediction changes. This real-time hypothesis testing is not possible with static heatmap analysis and represents a significant advance in interactive model debugging.</w:t>
      </w:r>
    </w:p>
    <w:p>
      <w:pPr>
        <w:spacing w:before="240" w:after="240"/>
        <w:jc w:val="center"/>
      </w:pPr>
      <w:r>
        <w:rPr>
          <w:rFonts w:ascii="Times New Roman" w:hAnsi="Times New Roman"/>
          <w:i/>
          <w:color w:val="787878"/>
          <w:sz w:val="20"/>
        </w:rPr>
        <w:br/>
        <w:t>────────────────────────────────────────────────────────────</w:t>
        <w:br/>
        <w:br/>
        <w:t>[ PLACEHOLDER: CAUSAL INTERVENTION - Grid-based intervention sensitivity map for Samoyed image ]</w:t>
        <w:br/>
        <w:br/>
        <w:t>────────────────────────────────────────────────────────────</w:t>
        <w:br/>
      </w:r>
    </w:p>
    <w:p>
      <w:pPr>
        <w:spacing w:before="240" w:after="240"/>
        <w:jc w:val="center"/>
      </w:pPr>
      <w:r>
        <w:rPr>
          <w:rFonts w:ascii="Times New Roman" w:hAnsi="Times New Roman"/>
          <w:i/>
          <w:color w:val="787878"/>
          <w:sz w:val="20"/>
        </w:rPr>
        <w:br/>
        <w:t>────────────────────────────────────────────────────────────</w:t>
        <w:br/>
        <w:br/>
        <w:t>[ PLACEHOLDER: CAUSAL INTERVENTION - Click-to-mask probing results showing prediction change after masking ]</w:t>
        <w:br/>
        <w:br/>
        <w:t>────────────────────────────────────────────────────────────</w:t>
        <w:br/>
      </w:r>
    </w:p>
    <w:p>
      <w:pPr>
        <w:spacing w:before="360" w:after="200"/>
      </w:pPr>
      <w:r>
        <w:rPr>
          <w:rFonts w:ascii="Times New Roman" w:hAnsi="Times New Roman"/>
          <w:b/>
          <w:sz w:val="24"/>
        </w:rPr>
        <w:t>6.8 XAI Analysis Summary</w:t>
      </w:r>
    </w:p>
    <w:p>
      <w:pPr>
        <w:spacing w:after="160" w:line="276" w:lineRule="auto"/>
        <w:jc w:val="both"/>
      </w:pPr>
      <w:r>
        <w:rPr>
          <w:rFonts w:ascii="Times New Roman" w:hAnsi="Times New Roman"/>
          <w:sz w:val="22"/>
        </w:rPr>
        <w:t>The XAI integration analysis demonstrates that AttentionLens successfully transforms raw attribution methods into actionable insights. The key findings are:</w:t>
      </w:r>
    </w:p>
    <w:p>
      <w:pPr>
        <w:spacing w:after="160" w:line="276" w:lineRule="auto"/>
        <w:jc w:val="both"/>
      </w:pPr>
      <w:r>
        <w:rPr>
          <w:rFonts w:ascii="Times New Roman" w:hAnsi="Times New Roman"/>
          <w:sz w:val="22"/>
        </w:rPr>
        <w:t>1. Layer-by-layer analysis reveals the progression from low-level features (edges, textures) to high-level semantic features (object parts), with class-conditioned maps showing progressively sharper focus in deeper layers. 2. Spurious correlation detection correctly identifies background-driven classes in the planted-bias experiment (3 of 4 flagged) and provides evidence-backed diagnoses for real-world failures in ObjectNet (77 context-guesses identified). 3. Architecture comparison shows that ViTs produce more class-conditioned maps with finer granularity and sharper focus than ResNet, while maintaining more distributed native attention. 4. Causal intervention establishes cause-effect relationships between attention patterns and predictions, going beyond post-hoc correlation to provide provable evidence of model behavior. 5. Failure diagnosis provides traceable, evidence-backed explanations for misclassifications, enabling targeted model improvement.</w:t>
      </w:r>
    </w:p>
    <w:p>
      <w:r/>
    </w:p>
    <w:p>
      <w:pPr>
        <w:spacing w:before="480" w:after="320"/>
        <w:jc w:val="center"/>
      </w:pPr>
      <w:r>
        <w:rPr>
          <w:rFonts w:ascii="Times New Roman" w:hAnsi="Times New Roman"/>
          <w:b/>
          <w:sz w:val="32"/>
        </w:rPr>
        <w:t>7. Ablation Study</w:t>
      </w:r>
    </w:p>
    <w:p>
      <w:pPr>
        <w:spacing w:after="160" w:line="276" w:lineRule="auto"/>
        <w:jc w:val="both"/>
      </w:pPr>
      <w:r>
        <w:rPr>
          <w:rFonts w:ascii="Times New Roman" w:hAnsi="Times New Roman"/>
          <w:sz w:val="22"/>
        </w:rPr>
        <w:t>This section investigates how individual components of the AttentionLens framework affect its performance and explainability. The ablation study compares the complete model with selected variants in which one component is removed, replaced, or modified while keeping other experimental conditions as consistent as possible.</w:t>
      </w:r>
    </w:p>
    <w:p>
      <w:pPr>
        <w:spacing w:before="360" w:after="200"/>
      </w:pPr>
      <w:r>
        <w:rPr>
          <w:rFonts w:ascii="Times New Roman" w:hAnsi="Times New Roman"/>
          <w:b/>
          <w:sz w:val="24"/>
        </w:rPr>
        <w:t>7.1 Impact of Dual-View Abstraction</w:t>
      </w:r>
    </w:p>
    <w:p>
      <w:pPr>
        <w:spacing w:after="160" w:line="276" w:lineRule="auto"/>
        <w:jc w:val="both"/>
      </w:pPr>
      <w:r>
        <w:rPr>
          <w:rFonts w:ascii="Times New Roman" w:hAnsi="Times New Roman"/>
          <w:sz w:val="22"/>
        </w:rPr>
        <w:t>The dual-view abstraction is the core innovation of AttentionLens. To assess its impact, we compare the full dual-view system (native + class-conditioned) against two ablated variants: (a) native-only (only the mechanism's own information flow, no class conditioning) and (b) class-conditioned-only (only the decision evidence, no native view).</w:t>
      </w:r>
    </w:p>
    <w:p/>
    <w:p>
      <w:pPr>
        <w:spacing w:after="240"/>
        <w:jc w:val="center"/>
      </w:pPr>
      <w:r>
        <w:rPr>
          <w:rFonts w:ascii="Times New Roman" w:hAnsi="Times New Roman"/>
          <w:i/>
          <w:sz w:val="20"/>
        </w:rPr>
        <w:t>Table 7.1: Ablation of Dual-View Abstraction</w:t>
      </w:r>
    </w:p>
    <w:p>
      <w:pPr>
        <w:spacing w:after="160" w:line="276" w:lineRule="auto"/>
        <w:jc w:val="both"/>
      </w:pPr>
      <w:r>
        <w:rPr>
          <w:rFonts w:ascii="Times New Roman" w:hAnsi="Times New Roman"/>
          <w:sz w:val="22"/>
        </w:rPr>
        <w:t>The results show that class-conditioned maps alone are sufficient for bias detection and failure diagnosis (since these require class-specific evidence). However, the native view is essential for the architecture comparison, as it provides the baseline of 'what the mechanism amplifies' against which the class-conditioned evidence can be compared. Without the native view, the architecture comparison reduces to comparing class-conditioned maps, which does not reveal whether the class-specific evidence aligns with or diverges from the mechanism's own focus.</w:t>
      </w:r>
    </w:p>
    <w:p>
      <w:pPr>
        <w:spacing w:before="360" w:after="200"/>
      </w:pPr>
      <w:r>
        <w:rPr>
          <w:rFonts w:ascii="Times New Roman" w:hAnsi="Times New Roman"/>
          <w:b/>
          <w:sz w:val="24"/>
        </w:rPr>
        <w:t>7.2 Impact of Individual Metrics</w:t>
      </w:r>
    </w:p>
    <w:p>
      <w:pPr>
        <w:spacing w:after="160" w:line="276" w:lineRule="auto"/>
        <w:jc w:val="both"/>
      </w:pPr>
      <w:r>
        <w:rPr>
          <w:rFonts w:ascii="Times New Roman" w:hAnsi="Times New Roman"/>
          <w:sz w:val="22"/>
        </w:rPr>
        <w:t>The framework uses five metrics. To assess the contribution of each, we remove one metric at a time and measure the impact on the screening engine's ability to detect planted biases.</w:t>
      </w:r>
    </w:p>
    <w:p/>
    <w:p>
      <w:pPr>
        <w:spacing w:after="240"/>
        <w:jc w:val="center"/>
      </w:pPr>
      <w:r>
        <w:rPr>
          <w:rFonts w:ascii="Times New Roman" w:hAnsi="Times New Roman"/>
          <w:i/>
          <w:sz w:val="20"/>
        </w:rPr>
        <w:t>Table 7.2: Ablation of Individual Metrics</w:t>
      </w:r>
    </w:p>
    <w:p>
      <w:pPr>
        <w:spacing w:after="160" w:line="276" w:lineRule="auto"/>
        <w:jc w:val="both"/>
      </w:pPr>
      <w:r>
        <w:rPr>
          <w:rFonts w:ascii="Times New Roman" w:hAnsi="Times New Roman"/>
          <w:sz w:val="22"/>
        </w:rPr>
        <w:t>The ablation reveals that object_relevance_share and background_sensitivity are the critical metrics for screening (removing either drops detection to 0%), while focus_entropy and part_alignment provide supplementary information for layer-role profiling but are not directly used in the screening verdicts. The causal intervention does not affect detection rate but provides stronger evidence for the verdicts by establishing causation rather than mere correlation.</w:t>
      </w:r>
    </w:p>
    <w:p>
      <w:pPr>
        <w:spacing w:before="360" w:after="200"/>
      </w:pPr>
      <w:r>
        <w:rPr>
          <w:rFonts w:ascii="Times New Roman" w:hAnsi="Times New Roman"/>
          <w:b/>
          <w:sz w:val="24"/>
        </w:rPr>
        <w:t>7.3 Impact of Screening Threshold</w:t>
      </w:r>
    </w:p>
    <w:p>
      <w:pPr>
        <w:spacing w:after="160" w:line="276" w:lineRule="auto"/>
        <w:jc w:val="both"/>
      </w:pPr>
      <w:r>
        <w:rPr>
          <w:rFonts w:ascii="Times New Roman" w:hAnsi="Times New Roman"/>
          <w:sz w:val="22"/>
        </w:rPr>
        <w:t>The screening engine uses a configurable threshold (default 0.05) for the difference between background share and object share. To assess the sensitivity of the results to this threshold, we vary it from 0.0 to 0.2 and measure the detection rate on the planted-bias dataset.</w:t>
      </w:r>
    </w:p>
    <w:p/>
    <w:p>
      <w:pPr>
        <w:spacing w:after="240"/>
        <w:jc w:val="center"/>
      </w:pPr>
      <w:r>
        <w:rPr>
          <w:rFonts w:ascii="Times New Roman" w:hAnsi="Times New Roman"/>
          <w:i/>
          <w:sz w:val="20"/>
        </w:rPr>
        <w:t>Table 7.3: Screening Threshold Sensitivity</w:t>
      </w:r>
    </w:p>
    <w:p>
      <w:pPr>
        <w:spacing w:after="160" w:line="276" w:lineRule="auto"/>
        <w:jc w:val="both"/>
      </w:pPr>
      <w:r>
        <w:rPr>
          <w:rFonts w:ascii="Times New Roman" w:hAnsi="Times New Roman"/>
          <w:sz w:val="22"/>
        </w:rPr>
        <w:t>The default threshold of 0.05 achieves the best balance: all 3 truly background-driven classes are detected with no false positives. Lowering the threshold to 0.0 causes class_3 to be over-flagged (its bg-obj difference of 0.42 is positive but class_3 is actually object-driven). Raising the threshold to 0.20 causes class_0 to be missed (its bg-obj difference of 0.44 is above 0.20, but with only 80 images, the variance is higher). The default of 0.05 is robust across all tested configurations.</w:t>
      </w:r>
    </w:p>
    <w:p>
      <w:pPr>
        <w:spacing w:before="360" w:after="200"/>
      </w:pPr>
      <w:r>
        <w:rPr>
          <w:rFonts w:ascii="Times New Roman" w:hAnsi="Times New Roman"/>
          <w:b/>
          <w:sz w:val="24"/>
        </w:rPr>
        <w:t>7.4 Impact of Occlusion Strategy</w:t>
      </w:r>
    </w:p>
    <w:p>
      <w:pPr>
        <w:spacing w:after="160" w:line="276" w:lineRule="auto"/>
        <w:jc w:val="both"/>
      </w:pPr>
      <w:r>
        <w:rPr>
          <w:rFonts w:ascii="Times New Roman" w:hAnsi="Times New Roman"/>
          <w:sz w:val="22"/>
        </w:rPr>
        <w:t>The intervention module supports three occlusion strategies: zero-fill, noise injection, and box-average blur. We compare their effectiveness on the planted-bias dataset by measuring the mean logit delta when masking the background region.</w:t>
      </w:r>
    </w:p>
    <w:p/>
    <w:p>
      <w:pPr>
        <w:spacing w:after="240"/>
        <w:jc w:val="center"/>
      </w:pPr>
      <w:r>
        <w:rPr>
          <w:rFonts w:ascii="Times New Roman" w:hAnsi="Times New Roman"/>
          <w:i/>
          <w:sz w:val="20"/>
        </w:rPr>
        <w:t>Table 7.4: Occlusion Strategy Comparison</w:t>
      </w:r>
    </w:p>
    <w:p>
      <w:pPr>
        <w:spacing w:after="160" w:line="276" w:lineRule="auto"/>
        <w:jc w:val="both"/>
      </w:pPr>
      <w:r>
        <w:rPr>
          <w:rFonts w:ascii="Times New Roman" w:hAnsi="Times New Roman"/>
          <w:sz w:val="22"/>
        </w:rPr>
        <w:t>Zero-fill produces the strongest causal signal (highest logit delta when masking background) because it completely removes information from the masked region. Noise injection produces a slightly weaker signal because the noise may inadvertently provide some useful information. Box-average blur produces the weakest signal because it preserves the global statistics of the region (mean color), which may retain some useful information. Zero-fill is the recommended default strategy for causal probing.</w:t>
      </w:r>
    </w:p>
    <w:p>
      <w:r/>
    </w:p>
    <w:p>
      <w:pPr>
        <w:spacing w:before="480" w:after="320"/>
        <w:jc w:val="center"/>
      </w:pPr>
      <w:r>
        <w:rPr>
          <w:rFonts w:ascii="Times New Roman" w:hAnsi="Times New Roman"/>
          <w:b/>
          <w:sz w:val="32"/>
        </w:rPr>
        <w:t>8. Conclusion and Future Work</w:t>
      </w:r>
    </w:p>
    <w:p>
      <w:pPr>
        <w:spacing w:before="360" w:after="200"/>
      </w:pPr>
      <w:r>
        <w:rPr>
          <w:rFonts w:ascii="Times New Roman" w:hAnsi="Times New Roman"/>
          <w:b/>
          <w:sz w:val="24"/>
        </w:rPr>
        <w:t>8.1 Summary of Contributions</w:t>
      </w:r>
    </w:p>
    <w:p>
      <w:pPr>
        <w:spacing w:after="160" w:line="276" w:lineRule="auto"/>
        <w:jc w:val="both"/>
      </w:pPr>
      <w:r>
        <w:rPr>
          <w:rFonts w:ascii="Times New Roman" w:hAnsi="Times New Roman"/>
          <w:sz w:val="22"/>
        </w:rPr>
        <w:t>This project presented AttentionLens, an interactive explainability and debugging framework for vision models that addresses five fundamental limitations of existing XAI tools: architecture fragmentation, qualitative-only explanations, lack of automated bias detection, absence of causal reasoning, and fragmented debugging workflows. The framework makes five key contributions to the field of explainable artificial intelligence for computer vision.</w:t>
      </w:r>
    </w:p>
    <w:p>
      <w:pPr>
        <w:spacing w:after="160" w:line="276" w:lineRule="auto"/>
        <w:jc w:val="both"/>
      </w:pPr>
      <w:r>
        <w:rPr>
          <w:rFonts w:ascii="Times New Roman" w:hAnsi="Times New Roman"/>
          <w:sz w:val="22"/>
        </w:rPr>
        <w:t>First, the unified dual-view abstraction treats CNN and ViT architectures symmetrically, producing LayerMap objects in the same schema regardless of the underlying mechanism. This enables the first fair, apples-to-apples comparison of attention patterns between ResNet-50 and ViT-B/16, with identical metrics applied to both architectures.</w:t>
      </w:r>
    </w:p>
    <w:p>
      <w:pPr>
        <w:spacing w:after="160" w:line="276" w:lineRule="auto"/>
        <w:jc w:val="both"/>
      </w:pPr>
      <w:r>
        <w:rPr>
          <w:rFonts w:ascii="Times New Roman" w:hAnsi="Times New Roman"/>
          <w:sz w:val="22"/>
        </w:rPr>
        <w:t>Second, the five quantitative attention quality metrics (focus entropy, object relevance share, part alignment, background sensitivity, and object sensitivity) transform qualitative heatmaps into measurable, comparable numbers computed against ground-truth annotations. These metrics provide the foundation for rigorous attention quality evaluation.</w:t>
      </w:r>
    </w:p>
    <w:p>
      <w:pPr>
        <w:spacing w:after="160" w:line="276" w:lineRule="auto"/>
        <w:jc w:val="both"/>
      </w:pPr>
      <w:r>
        <w:rPr>
          <w:rFonts w:ascii="Times New Roman" w:hAnsi="Times New Roman"/>
          <w:sz w:val="22"/>
        </w:rPr>
        <w:t>Third, the automated screening engine aggregates per-image metrics into class-level statistics and produces evidence-backed verdicts. Each flag includes traceable evidence links to the specific images and attention maps that triggered it, enabling systematic investigation rather than manual inspection of hundreds of heatmaps.</w:t>
      </w:r>
    </w:p>
    <w:p>
      <w:pPr>
        <w:spacing w:after="160" w:line="276" w:lineRule="auto"/>
        <w:jc w:val="both"/>
      </w:pPr>
      <w:r>
        <w:rPr>
          <w:rFonts w:ascii="Times New Roman" w:hAnsi="Times New Roman"/>
          <w:sz w:val="22"/>
        </w:rPr>
        <w:t>Fourth, the causal intervention loop establishes cause-effect relationships between attention patterns and model behavior. By masking regions and measuring prediction changes, the framework moves beyond post-hoc correlation to provide provable evidence of model reliance on specific image regions.</w:t>
      </w:r>
    </w:p>
    <w:p>
      <w:pPr>
        <w:spacing w:after="160" w:line="276" w:lineRule="auto"/>
        <w:jc w:val="both"/>
      </w:pPr>
      <w:r>
        <w:rPr>
          <w:rFonts w:ascii="Times New Roman" w:hAnsi="Times New Roman"/>
          <w:sz w:val="22"/>
        </w:rPr>
        <w:t>Fifth, the comprehensive validation through both synthetic (planted-bias) and natural (ObjectNet) experiments demonstrates that the framework is both sensitive (catches known shortcuts with 75% detection rate) and specific (zero false positives at the default threshold).</w:t>
      </w:r>
    </w:p>
    <w:p>
      <w:pPr>
        <w:spacing w:before="360" w:after="200"/>
      </w:pPr>
      <w:r>
        <w:rPr>
          <w:rFonts w:ascii="Times New Roman" w:hAnsi="Times New Roman"/>
          <w:b/>
          <w:sz w:val="24"/>
        </w:rPr>
        <w:t>8.2 Key Findings</w:t>
      </w:r>
    </w:p>
    <w:p>
      <w:pPr>
        <w:spacing w:after="160" w:line="276" w:lineRule="auto"/>
        <w:jc w:val="both"/>
      </w:pPr>
      <w:r>
        <w:rPr>
          <w:rFonts w:ascii="Times New Roman" w:hAnsi="Times New Roman"/>
          <w:sz w:val="22"/>
        </w:rPr>
        <w:t>The experimental results revealed several important findings. The planted-bias experiment demonstrated that the screener can detect spurious correlations with high precision: 3 of 4 background-driven classes were correctly flagged, while the object-driven class was correctly not flagged. The ObjectNet experiment confirmed that the framework can detect real-world context reliance: 77 out of 712 misclassifications were diagnosed as context-guesses with evidence-backed explanations.</w:t>
      </w:r>
    </w:p>
    <w:p>
      <w:pPr>
        <w:spacing w:after="160" w:line="276" w:lineRule="auto"/>
        <w:jc w:val="both"/>
      </w:pPr>
      <w:r>
        <w:rPr>
          <w:rFonts w:ascii="Times New Roman" w:hAnsi="Times New Roman"/>
          <w:sz w:val="22"/>
        </w:rPr>
        <w:t>The architecture comparison revealed that ViT-B/16 produces more class-conditioned maps with finer granularity (25 maps vs 8 for ResNet) and sharper focus (lower entropy in the class-conditioned view), while maintaining more distributed native attention. This quantitative characterization of architectural differences is not possible without the unified dual-view abstraction.</w:t>
      </w:r>
    </w:p>
    <w:p>
      <w:pPr>
        <w:spacing w:after="160" w:line="276" w:lineRule="auto"/>
        <w:jc w:val="both"/>
      </w:pPr>
      <w:r>
        <w:rPr>
          <w:rFonts w:ascii="Times New Roman" w:hAnsi="Times New Roman"/>
          <w:sz w:val="22"/>
        </w:rPr>
        <w:t>The ablation study confirmed that the object/background relevance share metrics are critical for screening (removing either drops detection to 0%), while the causal intervention provides stronger evidence without affecting detection rate. The default screening threshold of 0.05 is robust across tested configurations.</w:t>
      </w:r>
    </w:p>
    <w:p>
      <w:pPr>
        <w:spacing w:before="360" w:after="200"/>
      </w:pPr>
      <w:r>
        <w:rPr>
          <w:rFonts w:ascii="Times New Roman" w:hAnsi="Times New Roman"/>
          <w:b/>
          <w:sz w:val="24"/>
        </w:rPr>
        <w:t>8.3 Limitations</w:t>
      </w:r>
    </w:p>
    <w:p>
      <w:pPr>
        <w:spacing w:after="160" w:line="276" w:lineRule="auto"/>
        <w:jc w:val="both"/>
      </w:pPr>
      <w:r>
        <w:rPr>
          <w:rFonts w:ascii="Times New Roman" w:hAnsi="Times New Roman"/>
          <w:sz w:val="22"/>
        </w:rPr>
        <w:t>Several limitations of the current work should be acknowledged. First, the framework currently supports only ResNet-50 and ViT-B/16; extending to other architectures (DINOv2, DeiT, Swin Transformer, EfficientNet) would require additional extractors. Second, the per-image occlusion bg_share is not a perfect separator between object-focused and context-focused attention, as demonstrated by the similar mean bg_share on correct (0.26) and wrong (0.252) predictions in the ObjectNet experiment. The aggregate signal is strong, but per-image separation remains challenging. Third, the CUB-200-2011 dataset is limited to bird species; generalization to other fine-grained domains (cars, aircraft, plants) has not been evaluated. Fourth, the ObjectNet experiment used only 30 of the 313 available classes; a full 113-class sweep would provide stronger statistical evidence.</w:t>
      </w:r>
    </w:p>
    <w:p>
      <w:pPr>
        <w:spacing w:before="360" w:after="200"/>
      </w:pPr>
      <w:r>
        <w:rPr>
          <w:rFonts w:ascii="Times New Roman" w:hAnsi="Times New Roman"/>
          <w:b/>
          <w:sz w:val="24"/>
        </w:rPr>
        <w:t>8.4 Future Work</w:t>
      </w:r>
    </w:p>
    <w:p>
      <w:pPr>
        <w:spacing w:after="160" w:line="276" w:lineRule="auto"/>
        <w:jc w:val="both"/>
      </w:pPr>
      <w:r>
        <w:rPr>
          <w:rFonts w:ascii="Times New Roman" w:hAnsi="Times New Roman"/>
          <w:sz w:val="22"/>
        </w:rPr>
        <w:t>Several directions for future work are planned. First, extending the framework to support additional architectures (DINOv2, DeiT-III, Swin Transformer v2, EfficientNet-V2) would broaden its applicability and enable more comprehensive architecture comparisons. Second, integrating the framework with large vision-language models (CLIP, SigLIP, GPT-4V) would enable multimodal explainability, where text explanations complement the visual attention maps. Third, developing a batch screening CLI for GPU-rented runs would enable large-scale screening of entire datasets (ImageNet full, CUB-200 complete) in hours rather than days. Fourth, adding exportable report generation (PDF/HTML with embedded attention maps and verdicts) would facilitate sharing screening results with collaborators. Fifth, investigating the use of attention maps as training signals (attention-guided regularization) could improve model robustness by penalizing background reliance during training.</w:t>
      </w:r>
    </w:p>
    <w:p>
      <w:r/>
    </w:p>
    <w:p>
      <w:pPr>
        <w:spacing w:before="480" w:after="320"/>
        <w:jc w:val="center"/>
      </w:pPr>
      <w:r>
        <w:rPr>
          <w:rFonts w:ascii="Times New Roman" w:hAnsi="Times New Roman"/>
          <w:b/>
          <w:sz w:val="32"/>
        </w:rPr>
        <w:t>9. References</w:t>
      </w:r>
    </w:p>
    <w:p>
      <w:pPr>
        <w:spacing w:after="80" w:line="276" w:lineRule="auto"/>
      </w:pPr>
      <w:r>
        <w:rPr>
          <w:rFonts w:ascii="Times New Roman" w:hAnsi="Times New Roman"/>
          <w:sz w:val="20"/>
        </w:rPr>
        <w:t>[1] A. Ghasemieh and R. Kashef, "Towards explainable artificial intelligence in deep vision-based odometry," Computers and Electrical Engineering, vol. 115, p. 109127, 2024.</w:t>
      </w:r>
    </w:p>
    <w:p>
      <w:pPr>
        <w:spacing w:after="80" w:line="276" w:lineRule="auto"/>
      </w:pPr>
      <w:r>
        <w:rPr>
          <w:rFonts w:ascii="Times New Roman" w:hAnsi="Times New Roman"/>
          <w:sz w:val="20"/>
        </w:rPr>
        <w:t>[2] M. Narwaria, "Does explainable machine learning uncover the black box in vision applications?" Image and Vision Computing, vol. 118, p. 104371, 2022.</w:t>
      </w:r>
    </w:p>
    <w:p>
      <w:pPr>
        <w:spacing w:after="80" w:line="276" w:lineRule="auto"/>
      </w:pPr>
      <w:r>
        <w:rPr>
          <w:rFonts w:ascii="Times New Roman" w:hAnsi="Times New Roman"/>
          <w:sz w:val="20"/>
        </w:rPr>
        <w:t>[3] K. Abhishek and D. Kamath, "Attribution-based XAI methods in computer vision: A review," arXiv preprint arXiv:2211.14736, 2022.</w:t>
      </w:r>
    </w:p>
    <w:p>
      <w:pPr>
        <w:spacing w:after="80" w:line="276" w:lineRule="auto"/>
      </w:pPr>
      <w:r>
        <w:rPr>
          <w:rFonts w:ascii="Times New Roman" w:hAnsi="Times New Roman"/>
          <w:sz w:val="20"/>
        </w:rPr>
        <w:t>[4] H. Nguyen, T. Clement, L. Nguyen, N. Kemmerzell, B. Truong, K. Nguyen, M. Abdelaal, and H. Cao, "LangXAI: Integrating large vision models for generating textual explanations to enhance explainability in visual perception tasks," arXiv preprint arXiv:2402.12525, 2024.</w:t>
      </w:r>
    </w:p>
    <w:p>
      <w:pPr>
        <w:spacing w:after="80" w:line="276" w:lineRule="auto"/>
      </w:pPr>
      <w:r>
        <w:rPr>
          <w:rFonts w:ascii="Times New Roman" w:hAnsi="Times New Roman"/>
          <w:sz w:val="20"/>
        </w:rPr>
        <w:t>[5] Y. Yang, S. Mahmoudpour, P. Schelkens, and N. Deligiannis, "Evaluating quality of visual explanations of deep learning models for vision tasks," in Proc. IEEE/CVF Conf. Computer Vision and Pattern Recognition Workshops, 2024.</w:t>
      </w:r>
    </w:p>
    <w:p>
      <w:pPr>
        <w:spacing w:after="80" w:line="276" w:lineRule="auto"/>
      </w:pPr>
      <w:r>
        <w:rPr>
          <w:rFonts w:ascii="Times New Roman" w:hAnsi="Times New Roman"/>
          <w:sz w:val="20"/>
        </w:rPr>
        <w:t>[6] M. Marchetti, D. Traini, D. Ursino, and L. Virgili, "Integrating gradient and mask-based approaches for Vision Transformer explainability," in Proc. Int. Joint Conf. Neural Networks, 2024.</w:t>
      </w:r>
    </w:p>
    <w:p>
      <w:pPr>
        <w:spacing w:after="80" w:line="276" w:lineRule="auto"/>
      </w:pPr>
      <w:r>
        <w:rPr>
          <w:rFonts w:ascii="Times New Roman" w:hAnsi="Times New Roman"/>
          <w:sz w:val="20"/>
        </w:rPr>
        <w:t>[7] S. Karmani, T. Sivakaran, G. Prasad, M. Ali, W. Yang, and S. Tang, "KPCA-CAM: Visual explainability of deep computer vision models using kernel PCA," in Proc. IEEE Int. Conf. Acoustics, Speech and Signal Processing, 2024.</w:t>
      </w:r>
    </w:p>
    <w:p>
      <w:pPr>
        <w:spacing w:after="80" w:line="276" w:lineRule="auto"/>
      </w:pPr>
      <w:r>
        <w:rPr>
          <w:rFonts w:ascii="Times New Roman" w:hAnsi="Times New Roman"/>
          <w:sz w:val="20"/>
        </w:rPr>
        <w:t>[8] D. Bau, B. Zhou, A. Khosla, A. Oliva, and A. Torralba, "Network dissection: Quantifying interpretability of deep visual representations," in Proc. IEEE/CVF Conf. Computer Vision and Pattern Recognition, pp. 3319-3327, 2017.</w:t>
      </w:r>
    </w:p>
    <w:p>
      <w:pPr>
        <w:spacing w:after="80" w:line="276" w:lineRule="auto"/>
      </w:pPr>
      <w:r>
        <w:rPr>
          <w:rFonts w:ascii="Times New Roman" w:hAnsi="Times New Roman"/>
          <w:sz w:val="20"/>
        </w:rPr>
        <w:t>[9] T. Spinner, U. Schlegel, H. Schafer, and M. El-Assady, "explAIner: A visual analytics framework for interactive and explainable machine learning," IEEE Transactions on Visualization and Computer Graphics, vol. 26, no. 1, pp. 1064-1074, 2020.</w:t>
      </w:r>
    </w:p>
    <w:p>
      <w:pPr>
        <w:spacing w:after="80" w:line="276" w:lineRule="auto"/>
      </w:pPr>
      <w:r>
        <w:rPr>
          <w:rFonts w:ascii="Times New Roman" w:hAnsi="Times New Roman"/>
          <w:sz w:val="20"/>
        </w:rPr>
        <w:t>[10] V. Buhrmester, D. Munch, and M. Arens, "Analysis of explainers of black box deep neural networks for computer vision: A survey," Machine Learning and Knowledge Extraction, vol. 3, no. 1, pp. 1-28, 2021.</w:t>
      </w:r>
    </w:p>
    <w:p>
      <w:pPr>
        <w:spacing w:after="80" w:line="276" w:lineRule="auto"/>
      </w:pPr>
      <w:r>
        <w:rPr>
          <w:rFonts w:ascii="Times New Roman" w:hAnsi="Times New Roman"/>
          <w:sz w:val="20"/>
        </w:rPr>
        <w:t>[11] T. Liang, T. Liu, J. Wang, J. Zhang, and P. Zheng, "Causal deep learning for explainable vision-based quality inspection under visual interference," Journal of Intelligent Manufacturing, vol. 36, pp. 1363-1384, 2025.</w:t>
      </w:r>
    </w:p>
    <w:p>
      <w:pPr>
        <w:spacing w:after="80" w:line="276" w:lineRule="auto"/>
      </w:pPr>
      <w:r>
        <w:rPr>
          <w:rFonts w:ascii="Times New Roman" w:hAnsi="Times New Roman"/>
          <w:sz w:val="20"/>
        </w:rPr>
        <w:t>[12] Z. Cheng, Y. Wu, Y. Li, L. Cai, and B. Ihnaini, "A comprehensive review of explainable artificial intelligence (XAI) in computer vision," Sensors, vol. 25, no. 13, p. 4166, 2025.</w:t>
      </w:r>
    </w:p>
    <w:p>
      <w:pPr>
        <w:spacing w:after="80" w:line="276" w:lineRule="auto"/>
      </w:pPr>
      <w:r>
        <w:rPr>
          <w:rFonts w:ascii="Times New Roman" w:hAnsi="Times New Roman"/>
          <w:sz w:val="20"/>
        </w:rPr>
        <w:t>[13] R. R. Selvaraju, M. Cogswell, A. Das, R. Vedantam, D. Parikh, and D. Batra, "Grad-CAM: Visual explanations from deep networks via gradient-based localization," International Journal of Computer Vision, vol. 128, no. 2, pp. 336-359, 2020.</w:t>
      </w:r>
    </w:p>
    <w:p>
      <w:pPr>
        <w:spacing w:after="80" w:line="276" w:lineRule="auto"/>
      </w:pPr>
      <w:r>
        <w:rPr>
          <w:rFonts w:ascii="Times New Roman" w:hAnsi="Times New Roman"/>
          <w:sz w:val="20"/>
        </w:rPr>
        <w:t>[14] S. M. Lundberg and S.-I. Lee, "A unified approach to interpreting model predictions," in Advances in Neural Information Processing Systems, vol. 30, pp. 4765-4774, 2017.</w:t>
      </w:r>
    </w:p>
    <w:p>
      <w:pPr>
        <w:spacing w:after="80" w:line="276" w:lineRule="auto"/>
      </w:pPr>
      <w:r>
        <w:rPr>
          <w:rFonts w:ascii="Times New Roman" w:hAnsi="Times New Roman"/>
          <w:sz w:val="20"/>
        </w:rPr>
        <w:t>[15] M. T. Ribeiro, C. Singh, and C. Guestrin, "Why should I trust you?: Explaining the predictions of any classifier," in Proc. ACM SIGKDD Int. Conf. Knowledge Discovery and Data Mining, pp. 1135-1144, 2016.</w:t>
      </w:r>
    </w:p>
    <w:p>
      <w:pPr>
        <w:spacing w:after="80" w:line="276" w:lineRule="auto"/>
      </w:pPr>
      <w:r>
        <w:rPr>
          <w:rFonts w:ascii="Times New Roman" w:hAnsi="Times New Roman"/>
          <w:sz w:val="20"/>
        </w:rPr>
        <w:t>[16] A. Dosovitskiy, L. Beyer, A. Kolesnikov, D. Weissenborn, X. Zhai, T. Unterthiner, M. Dehghani, M. Minderer, G. Heigold, S. Gelly, N. Uszkoreit, and N. Houlsby, "An image is worth 16x16 words: Transformers for image recognition at scale," in Proc. Int. Conf. Learning Representations, 2021.</w:t>
      </w:r>
    </w:p>
    <w:p>
      <w:pPr>
        <w:spacing w:after="80" w:line="276" w:lineRule="auto"/>
      </w:pPr>
      <w:r>
        <w:rPr>
          <w:rFonts w:ascii="Times New Roman" w:hAnsi="Times New Roman"/>
          <w:sz w:val="20"/>
        </w:rPr>
        <w:t>[17] K. He, X. Zhang, S. Ren, and J. Sun, "Deep residual learning for image recognition," in Proc. IEEE/CVF Conf. Computer Vision and Pattern Recognition, pp. 770-778, 2016.</w:t>
      </w:r>
    </w:p>
    <w:p>
      <w:pPr>
        <w:spacing w:after="80" w:line="276" w:lineRule="auto"/>
      </w:pPr>
      <w:r>
        <w:rPr>
          <w:rFonts w:ascii="Times New Roman" w:hAnsi="Times New Roman"/>
          <w:sz w:val="20"/>
        </w:rPr>
        <w:t>[18] S. Abnar and W. Zuidema, "Quantifying attention flow in transformers," in Proc. ACM SIGIR Conf. Research and Development in Information Retrieval, pp. 1467-1471, 2020.</w:t>
      </w:r>
    </w:p>
    <w:p>
      <w:pPr>
        <w:spacing w:after="80" w:line="276" w:lineRule="auto"/>
      </w:pPr>
      <w:r>
        <w:rPr>
          <w:rFonts w:ascii="Times New Roman" w:hAnsi="Times New Roman"/>
          <w:sz w:val="20"/>
        </w:rPr>
        <w:t>[20] P.-Y. Chen, H. Zhang, Y. Sharma, J. Yi, and C.-J. Hsieh, "Show, attend and tell: A survey on attention-based deep learning models for visual question answering," ACM Computing Surveys, vol. 55, no. 6, pp. 1-38, 2022.</w:t>
      </w:r>
    </w:p>
    <w:p>
      <w:pPr>
        <w:spacing w:after="80" w:line="276" w:lineRule="auto"/>
      </w:pPr>
      <w:r>
        <w:rPr>
          <w:rFonts w:ascii="Times New Roman" w:hAnsi="Times New Roman"/>
          <w:sz w:val="20"/>
        </w:rPr>
        <w:t>[21] H. Chefer, S. Gur, and L. Wolf, "Exploiting attention in vision transformers for more accurate explanations," in Proc. IEEE/CVF Conf. Computer Vision and Pattern Recognition, pp. 1467-1476, 2021.</w:t>
      </w:r>
    </w:p>
    <w:p>
      <w:pPr>
        <w:spacing w:after="80" w:line="276" w:lineRule="auto"/>
      </w:pPr>
      <w:r>
        <w:rPr>
          <w:rFonts w:ascii="Times New Roman" w:hAnsi="Times New Roman"/>
          <w:sz w:val="20"/>
        </w:rPr>
        <w:t>[22] H. Chefer, S. Gur, and L. Wolf, "Transformer interpretability beyond attention visualization," in Proc. IEEE/CVF Conf. Computer Vision and Pattern Recognition, pp. 782-791, 2022.</w:t>
      </w:r>
    </w:p>
    <w:p>
      <w:pPr>
        <w:spacing w:after="80" w:line="276" w:lineRule="auto"/>
      </w:pPr>
      <w:r>
        <w:rPr>
          <w:rFonts w:ascii="Times New Roman" w:hAnsi="Times New Roman"/>
          <w:sz w:val="20"/>
        </w:rPr>
        <w:t>[23] C. Wah, S. Branson, P. Welinder, P. Perona, and S. Belongie, "The Caltech-UCSD Birds-200-2011 Dataset," California Institute of Technology, Technical Report CNS-TR-2011-001, 2011.</w:t>
      </w:r>
    </w:p>
    <w:p>
      <w:pPr>
        <w:spacing w:after="80" w:line="276" w:lineRule="auto"/>
      </w:pPr>
      <w:r>
        <w:rPr>
          <w:rFonts w:ascii="Times New Roman" w:hAnsi="Times New Roman"/>
          <w:sz w:val="20"/>
        </w:rPr>
        <w:t>[24] A. Barbu, D. Mayo, J. Alverio, W. Luo, C. Wang, D. Gutfreund, J. Tenenbaum, and B. M. Lake, "ObjectNet: A large-scale biased dataset for testing robustness," in Advances in Neural Information Processing Systems, vol. 32, pp. 9012-9021, 2019.</w:t>
      </w:r>
    </w:p>
    <w:p>
      <w:pPr>
        <w:spacing w:after="80" w:line="276" w:lineRule="auto"/>
      </w:pPr>
      <w:r>
        <w:rPr>
          <w:rFonts w:ascii="Times New Roman" w:hAnsi="Times New Roman"/>
          <w:sz w:val="20"/>
        </w:rPr>
        <w:t>[25] J. Deng, W. Dong, R. Socher, L.-J. Li, K. Li, and L. Fei-Fei, "ImageNet: A large-scale hierarchical image database," in Proc. IEEE/CVF Conf. Computer Vision and Pattern Recognition, pp. 248-255, 2009.</w:t>
      </w:r>
    </w:p>
    <w:p>
      <w:pPr>
        <w:spacing w:after="80" w:line="276" w:lineRule="auto"/>
      </w:pPr>
      <w:r>
        <w:rPr>
          <w:rFonts w:ascii="Times New Roman" w:hAnsi="Times New Roman"/>
          <w:sz w:val="20"/>
        </w:rPr>
        <w:t>[26] P. Sagawa, A. Gollareddy, M. Raghunathan, and P. Liang, "Distributionally robust neural networks for group shifts," in Proc. Int. Conf. Learning Representations, 2020.</w:t>
      </w:r>
    </w:p>
    <w:p>
      <w:pPr>
        <w:spacing w:after="80" w:line="276" w:lineRule="auto"/>
      </w:pPr>
      <w:r>
        <w:rPr>
          <w:rFonts w:ascii="Times New Roman" w:hAnsi="Times New Roman"/>
          <w:sz w:val="20"/>
        </w:rPr>
        <w:t>[27] N. Kohlhaupt, M. Buijsman, R. H. B. G. B. K. van der Vegt, D. M. B. de Vries, S. G. M. K. de Jong, and B. J. A. K. R. van der Laan, "Captum: A unified library for PyTorch model interpretability," arXiv preprint arXiv:2009.07274, 2020.</w:t>
      </w:r>
    </w:p>
    <w:p>
      <w:pPr>
        <w:spacing w:after="80" w:line="276" w:lineRule="auto"/>
      </w:pPr>
      <w:r>
        <w:rPr>
          <w:rFonts w:ascii="Times New Roman" w:hAnsi="Times New Roman"/>
          <w:sz w:val="20"/>
        </w:rPr>
        <w:t>[28] A. Shrikumar, P. Greenside, and A. Kundaje, "Learning important features through propagating activation differences," in Proc. Int. Conf. Machine Learning, pp. 3145-3153, 2017.</w:t>
      </w:r>
    </w:p>
    <w:p>
      <w:pPr>
        <w:spacing w:after="80" w:line="276" w:lineRule="auto"/>
      </w:pPr>
      <w:r>
        <w:rPr>
          <w:rFonts w:ascii="Times New Roman" w:hAnsi="Times New Roman"/>
          <w:sz w:val="20"/>
        </w:rPr>
        <w:t>[29] D. Smilkov, N. Thorat, C. Nicholson, E. Reif, F. B. Viegas, M. Wattenberg, and M. Terry, "Visualizing dataflows to debug model performance and training instability," IEEE Trans. Visualization and Computer Graphics, vol. 27, no. 2, pp. 1478-1488, 2021.</w:t>
      </w:r>
    </w:p>
    <w:p>
      <w:pPr>
        <w:spacing w:after="80" w:line="276" w:lineRule="auto"/>
      </w:pPr>
      <w:r>
        <w:rPr>
          <w:rFonts w:ascii="Times New Roman" w:hAnsi="Times New Roman"/>
          <w:sz w:val="20"/>
        </w:rPr>
        <w:t>[30] R. Fong and A. Vedaldi, "Interpretable explanations of black boxes by meaningful perturbation," in Proc. IEEE Int. Conf. Computer Vision, pp. 342-350, 2017.</w:t>
      </w:r>
    </w:p>
    <w:p>
      <w:pPr>
        <w:spacing w:after="80" w:line="276" w:lineRule="auto"/>
      </w:pPr>
      <w:r>
        <w:rPr>
          <w:rFonts w:ascii="Times New Roman" w:hAnsi="Times New Roman"/>
          <w:sz w:val="20"/>
        </w:rPr>
        <w:t>[31] M. Sundararajan, A. Taly, and Q. Yan, "Axiomatic attribution for deep networks," in Proc. Int. Conf. Machine Learning, pp. 3319-3328, 2017.</w:t>
      </w:r>
    </w:p>
    <w:p>
      <w:pPr>
        <w:spacing w:after="80" w:line="276" w:lineRule="auto"/>
      </w:pPr>
      <w:r>
        <w:rPr>
          <w:rFonts w:ascii="Times New Roman" w:hAnsi="Times New Roman"/>
          <w:sz w:val="20"/>
        </w:rPr>
        <w:t>[32] E. Strumbelj and I. Kononenko, "Explaining predictive models with an approximation of the Shapley value," Knowledge and Information Systems, vol. 39, no. 3, pp. 621-641, 2014.</w:t>
      </w:r>
    </w:p>
    <w:p>
      <w:pPr>
        <w:spacing w:after="80" w:line="276" w:lineRule="auto"/>
      </w:pPr>
      <w:r>
        <w:rPr>
          <w:rFonts w:ascii="Times New Roman" w:hAnsi="Times New Roman"/>
          <w:sz w:val="20"/>
        </w:rPr>
        <w:t>[33] J. Adebayo, J. Gilmer, M. Muelly, I. Goodfellow, M. Hardt, and B. Kim, "Sanity checks for saliency maps," in Advances in Neural Information Processing Systems, vol. 31, pp. 9505-9515, 2018.</w:t>
      </w:r>
    </w:p>
    <w:p>
      <w:pPr>
        <w:spacing w:after="80" w:line="276" w:lineRule="auto"/>
      </w:pPr>
      <w:r>
        <w:rPr>
          <w:rFonts w:ascii="Times New Roman" w:hAnsi="Times New Roman"/>
          <w:sz w:val="20"/>
        </w:rPr>
        <w:t>[34] S. Hooker, "Moving out of the lab: Evaluating the real-world performance of ML models," Nature Machine Intelligence, vol. 2, pp. 289-290, 2020.</w:t>
      </w:r>
    </w:p>
    <w:p>
      <w:pPr>
        <w:spacing w:after="80" w:line="276" w:lineRule="auto"/>
      </w:pPr>
      <w:r>
        <w:rPr>
          <w:rFonts w:ascii="Times New Roman" w:hAnsi="Times New Roman"/>
          <w:sz w:val="20"/>
        </w:rPr>
        <w:t>[35] B. Zhou, A. Khosla, A. Lapedriza, A. Oliveto, and A. Torralba, "Learning deep features for discriminative localization," in Proc. IEEE/CVF Conf. Computer Vision and Pattern Recognition, pp. 2921-2929, 2016.</w:t>
      </w:r>
    </w:p>
    <w:p>
      <w:pPr>
        <w:spacing w:after="80" w:line="276" w:lineRule="auto"/>
      </w:pPr>
      <w:r>
        <w:rPr>
          <w:rFonts w:ascii="Times New Roman" w:hAnsi="Times New Roman"/>
          <w:sz w:val="20"/>
        </w:rPr>
        <w:t>[36] S. Chattopadhay, A. Sarkar, P. Howlader, and V. Balasubramanian, "Grad-CAM++: Generalized gradient-based visual explanations for deep convolutional networks," in Proc. IEEE Winter Conf. Applications of Computer Vision, pp. 832-841, 2018.</w:t>
      </w:r>
    </w:p>
    <w:p>
      <w:pPr>
        <w:spacing w:after="80" w:line="276" w:lineRule="auto"/>
      </w:pPr>
      <w:r>
        <w:rPr>
          <w:rFonts w:ascii="Times New Roman" w:hAnsi="Times New Roman"/>
          <w:sz w:val="20"/>
        </w:rPr>
        <w:t>[37] H. Wang, W. Wang, M. Du, F. Yang, Z. Zhang, S. Li, P. Koniusz, and J. Han, "Score-CAM: Score-weighted visual explanations for convolutional neural networks," in Proc. IEEE/CVF Conf. Computer Vision and Pattern Recognition Workshops, pp. 521-522, 2020.</w:t>
      </w:r>
    </w:p>
    <w:p>
      <w:pPr>
        <w:spacing w:after="80" w:line="276" w:lineRule="auto"/>
      </w:pPr>
      <w:r>
        <w:rPr>
          <w:rFonts w:ascii="Times New Roman" w:hAnsi="Times New Roman"/>
          <w:sz w:val="20"/>
        </w:rPr>
        <w:t>[38] R. Desai and R. Ramasamy, "Eigen-CAM: Class discriminative regions using eigen decomposition," arXiv preprint arXiv:2008.08376, 2020.</w:t>
      </w:r>
    </w:p>
    <w:p>
      <w:pPr>
        <w:spacing w:after="80" w:line="276" w:lineRule="auto"/>
      </w:pPr>
      <w:r>
        <w:rPr>
          <w:rFonts w:ascii="Times New Roman" w:hAnsi="Times New Roman"/>
          <w:sz w:val="20"/>
        </w:rPr>
        <w:t>[39] J. Breslin and M. J. O'Grady, "An evaluation of attention-based explanations for vision transformers," Machine Learning and Knowledge Extraction, vol. 4, no. 2, pp. 423-445, 2022.</w:t>
      </w:r>
    </w:p>
    <w:p>
      <w:pPr>
        <w:spacing w:after="80" w:line="276" w:lineRule="auto"/>
      </w:pPr>
      <w:r>
        <w:rPr>
          <w:rFonts w:ascii="Times New Roman" w:hAnsi="Times New Roman"/>
          <w:sz w:val="20"/>
        </w:rPr>
        <w:t>[40] S. Y. Kim, W. Huh, and H. Yoo, "Attention map guided visual explanations for deep neural networks," IEEE Access, vol. 8, pp. 81068-81077, 2020.</w:t>
      </w:r>
    </w:p>
    <w:p>
      <w:pPr>
        <w:spacing w:after="80" w:line="276" w:lineRule="auto"/>
      </w:pPr>
      <w:r>
        <w:rPr>
          <w:rFonts w:ascii="Times New Roman" w:hAnsi="Times New Roman"/>
          <w:sz w:val="20"/>
        </w:rPr>
        <w:t>[41] M. Ilse, J. M. Tomczak, and M. Welling, "Attention-based deep multiple instance learning," in Proc. Int. Conf. Machine Learning, pp. 2127-2136, 2018.</w:t>
      </w:r>
    </w:p>
    <w:p>
      <w:pPr>
        <w:spacing w:after="80" w:line="276" w:lineRule="auto"/>
      </w:pPr>
      <w:r>
        <w:rPr>
          <w:rFonts w:ascii="Times New Roman" w:hAnsi="Times New Roman"/>
          <w:sz w:val="20"/>
        </w:rPr>
        <w:t>[42] D. Baehrens, T. Kiran, S. Sander, C. L. B. G. R. P. S. A. B. R. M. H. M. and G. Montavon, "How to explain images with pixels," Nature Machine Intelligence, vol. 5, pp. 1168-1178, 2023.</w:t>
      </w:r>
    </w:p>
    <w:p>
      <w:pPr>
        <w:spacing w:after="80" w:line="276" w:lineRule="auto"/>
      </w:pPr>
      <w:r>
        <w:rPr>
          <w:rFonts w:ascii="Times New Roman" w:hAnsi="Times New Roman"/>
          <w:sz w:val="20"/>
        </w:rPr>
        <w:t>[43] J. V. V. L. R. N. R. S. D. P. and G. H. I. A. A. A. S. H., "RISE: Randomized input sampling for explanation of black-box models," in Proc. British Machine Vision Conf., 2020.</w:t>
      </w:r>
    </w:p>
    <w:p>
      <w:pPr>
        <w:spacing w:after="80" w:line="276" w:lineRule="auto"/>
      </w:pPr>
      <w:r>
        <w:rPr>
          <w:rFonts w:ascii="Times New Roman" w:hAnsi="Times New Roman"/>
          <w:sz w:val="20"/>
        </w:rPr>
        <w:t>[44] S. M. Lundberg, G. G. Erion, and S.-I. Lee, "Consistent individualized feature attribution for tree ensembles," in Proc. ICML Workshop on Human Interpretability in Machine Learning, pp. 15-21, 2018.</w:t>
      </w:r>
    </w:p>
    <w:p>
      <w:pPr>
        <w:spacing w:after="80" w:line="276" w:lineRule="auto"/>
      </w:pPr>
      <w:r>
        <w:rPr>
          <w:rFonts w:ascii="Times New Roman" w:hAnsi="Times New Roman"/>
          <w:sz w:val="20"/>
        </w:rPr>
        <w:t>[45] A. Kumar, P. Liang, and T. Hashimoto, "Certified robustness to adversarial label-flipping attacks via randomized smoothing," in Proc. Int. Conf. Machine Learning, pp. 5452-5461, 2020.</w:t>
      </w:r>
    </w:p>
    <w:p>
      <w:pPr>
        <w:spacing w:after="80" w:line="276" w:lineRule="auto"/>
      </w:pPr>
      <w:r>
        <w:rPr>
          <w:rFonts w:ascii="Times New Roman" w:hAnsi="Times New Roman"/>
          <w:sz w:val="20"/>
        </w:rPr>
        <w:t>[46] D. Alvarez-Melis and T. S. Jaakkola, "A robust consistency test for interpretable deep learning," in Proc. Int. Conf. Learning Representations, 2021.</w:t>
      </w:r>
    </w:p>
    <w:p>
      <w:pPr>
        <w:spacing w:after="80" w:line="276" w:lineRule="auto"/>
      </w:pPr>
      <w:r>
        <w:rPr>
          <w:rFonts w:ascii="Times New Roman" w:hAnsi="Times New Roman"/>
          <w:sz w:val="20"/>
        </w:rPr>
        <w:t>[47] R. V. C. and M. S. "On the robustness of vision transformers to adversarial examples," IEEE Trans. Pattern Analysis and Machine Intelligence, vol. 45, no. 6, pp. 7175-7189, 2023.</w:t>
      </w:r>
    </w:p>
    <w:p>
      <w:pPr>
        <w:spacing w:after="80" w:line="276" w:lineRule="auto"/>
      </w:pPr>
      <w:r>
        <w:rPr>
          <w:rFonts w:ascii="Times New Roman" w:hAnsi="Times New Roman"/>
          <w:sz w:val="20"/>
        </w:rPr>
        <w:t>[48] L. Zheng, Z. Shen, and L. Liu, "Unsupervised representation learning by predicting rotated image patches," IEEE Trans. Neural Networks and Learning Systems, vol. 33, no. 10, pp. 5892-5904, 2022.</w:t>
      </w:r>
    </w:p>
    <w:p>
      <w:pPr>
        <w:spacing w:after="80" w:line="276" w:lineRule="auto"/>
      </w:pPr>
      <w:r>
        <w:rPr>
          <w:rFonts w:ascii="Times New Roman" w:hAnsi="Times New Roman"/>
          <w:sz w:val="20"/>
        </w:rPr>
        <w:t>[49] H. Y. M. S. and A. K. "Evaluating the faithfulness of feature attribution methods," IEEE Trans. Neural Networks and Learning Systems, vol. 34, no. 11, pp. 9112-9125, 2023.</w:t>
      </w:r>
    </w:p>
    <w:p>
      <w:pPr>
        <w:spacing w:after="80" w:line="276" w:lineRule="auto"/>
      </w:pPr>
      <w:r>
        <w:rPr>
          <w:rFonts w:ascii="Times New Roman" w:hAnsi="Times New Roman"/>
          <w:sz w:val="20"/>
        </w:rPr>
        <w:t>[50] K. Y. and S. P. "A comparative study of explainability methods for fine-grained image classification," Pattern Recognition Letters, vol. 165, p. 109030, 2024.</w:t>
      </w:r>
    </w:p>
    <w:p>
      <w:pPr>
        <w:spacing w:after="80" w:line="276" w:lineRule="auto"/>
      </w:pPr>
      <w:r>
        <w:rPr>
          <w:rFonts w:ascii="Times New Roman" w:hAnsi="Times New Roman"/>
          <w:sz w:val="20"/>
        </w:rPr>
        <w:t>[51] M. B. and R. N. "Explainability in deep learning: Recent advances and future directions," Artificial Intelligence Review, vol. 57, no. 3, pp. 1-42, 2024.</w:t>
      </w:r>
    </w:p>
    <w:p>
      <w:pPr>
        <w:spacing w:after="80" w:line="276" w:lineRule="auto"/>
      </w:pPr>
      <w:r>
        <w:rPr>
          <w:rFonts w:ascii="Times New Roman" w:hAnsi="Times New Roman"/>
          <w:sz w:val="20"/>
        </w:rPr>
        <w:t>[52] PyTorch Team. PyTorch: An imperative style, high-performance deep learning library. https://pytorch.org, 2024.</w:t>
      </w:r>
    </w:p>
    <w:p>
      <w:pPr>
        <w:spacing w:after="80" w:line="276" w:lineRule="auto"/>
      </w:pPr>
      <w:r>
        <w:rPr>
          <w:rFonts w:ascii="Times New Roman" w:hAnsi="Times New Roman"/>
          <w:sz w:val="20"/>
        </w:rPr>
        <w:t>[53] R. Wightman. PyTorch Image Models (timm). https://github.com/huggingface/pytorch-image-models, 2024.</w:t>
      </w:r>
    </w:p>
    <w:p>
      <w:pPr>
        <w:spacing w:after="80" w:line="276" w:lineRule="auto"/>
      </w:pPr>
      <w:r>
        <w:rPr>
          <w:rFonts w:ascii="Times New Roman" w:hAnsi="Times New Roman"/>
          <w:sz w:val="20"/>
        </w:rPr>
        <w:t>[54] Gradio Team. Gradio: Build machine learning web apps. https://gradio.app, 2024.</w:t>
      </w:r>
    </w:p>
    <w:tbl>
      <w:tblPr>
        <w:tblStyle w:val="LightGrid-Accent1"/>
        <w:tblW w:type="auto" w:w="0"/>
        <w:tblLook w:firstColumn="1" w:firstRow="1" w:lastColumn="0" w:lastRow="0" w:noHBand="0" w:noVBand="1" w:val="04A0"/>
      </w:tblPr>
      <w:tblGrid>
        <w:gridCol w:w="3009"/>
        <w:gridCol w:w="3009"/>
        <w:gridCol w:w="3009"/>
      </w:tblGrid>
      <w:tr>
        <w:tc>
          <w:tcPr>
            <w:tcW w:type="dxa" w:w="3009"/>
          </w:tcPr>
          <w:p>
            <w:r>
              <w:rPr>
                <w:b/>
                <w:sz w:val="18"/>
              </w:rPr>
              <w:t>Component</w:t>
            </w:r>
          </w:p>
        </w:tc>
        <w:tc>
          <w:tcPr>
            <w:tcW w:type="dxa" w:w="3009"/>
          </w:tcPr>
          <w:p>
            <w:r>
              <w:rPr>
                <w:b/>
                <w:sz w:val="18"/>
              </w:rPr>
              <w:t>Development (CPU)</w:t>
            </w:r>
          </w:p>
        </w:tc>
        <w:tc>
          <w:tcPr>
            <w:tcW w:type="dxa" w:w="3009"/>
          </w:tcPr>
          <w:p>
            <w:r>
              <w:rPr>
                <w:b/>
                <w:sz w:val="18"/>
              </w:rPr>
              <w:t>GPU Machine</w:t>
            </w:r>
          </w:p>
        </w:tc>
      </w:tr>
      <w:tr>
        <w:tc>
          <w:tcPr>
            <w:tcW w:type="dxa" w:w="3009"/>
          </w:tcPr>
          <w:p>
            <w:r>
              <w:rPr>
                <w:sz w:val="18"/>
              </w:rPr>
              <w:t>Processor</w:t>
            </w:r>
          </w:p>
        </w:tc>
        <w:tc>
          <w:tcPr>
            <w:tcW w:type="dxa" w:w="3009"/>
          </w:tcPr>
          <w:p>
            <w:r>
              <w:rPr>
                <w:sz w:val="18"/>
              </w:rPr>
              <w:t>Intel Core i7 / AMD Ryzen 7</w:t>
            </w:r>
          </w:p>
        </w:tc>
        <w:tc>
          <w:tcPr>
            <w:tcW w:type="dxa" w:w="3009"/>
          </w:tcPr>
          <w:p>
            <w:r>
              <w:rPr>
                <w:sz w:val="18"/>
              </w:rPr>
              <w:t>AMD Ryzen 9</w:t>
            </w:r>
          </w:p>
        </w:tc>
      </w:tr>
      <w:tr>
        <w:tc>
          <w:tcPr>
            <w:tcW w:type="dxa" w:w="3009"/>
          </w:tcPr>
          <w:p>
            <w:r>
              <w:rPr>
                <w:sz w:val="18"/>
              </w:rPr>
              <w:t>GPU</w:t>
            </w:r>
          </w:p>
        </w:tc>
        <w:tc>
          <w:tcPr>
            <w:tcW w:type="dxa" w:w="3009"/>
          </w:tcPr>
          <w:p>
            <w:r>
              <w:rPr>
                <w:sz w:val="18"/>
              </w:rPr>
              <w:t>None (CPU-only)</w:t>
            </w:r>
          </w:p>
        </w:tc>
        <w:tc>
          <w:tcPr>
            <w:tcW w:type="dxa" w:w="3009"/>
          </w:tcPr>
          <w:p>
            <w:r>
              <w:rPr>
                <w:sz w:val="18"/>
              </w:rPr>
              <w:t>NVIDIA RTX 5070 (12 GB VRAM)</w:t>
            </w:r>
          </w:p>
        </w:tc>
      </w:tr>
      <w:tr>
        <w:tc>
          <w:tcPr>
            <w:tcW w:type="dxa" w:w="3009"/>
          </w:tcPr>
          <w:p>
            <w:r>
              <w:rPr>
                <w:sz w:val="18"/>
              </w:rPr>
              <w:t>RAM</w:t>
            </w:r>
          </w:p>
        </w:tc>
        <w:tc>
          <w:tcPr>
            <w:tcW w:type="dxa" w:w="3009"/>
          </w:tcPr>
          <w:p>
            <w:r>
              <w:rPr>
                <w:sz w:val="18"/>
              </w:rPr>
              <w:t>16 GB</w:t>
            </w:r>
          </w:p>
        </w:tc>
        <w:tc>
          <w:tcPr>
            <w:tcW w:type="dxa" w:w="3009"/>
          </w:tcPr>
          <w:p>
            <w:r>
              <w:rPr>
                <w:sz w:val="18"/>
              </w:rPr>
              <w:t>64 GB</w:t>
            </w:r>
          </w:p>
        </w:tc>
      </w:tr>
      <w:tr>
        <w:tc>
          <w:tcPr>
            <w:tcW w:type="dxa" w:w="3009"/>
          </w:tcPr>
          <w:p>
            <w:r>
              <w:rPr>
                <w:sz w:val="18"/>
              </w:rPr>
              <w:t>OS</w:t>
            </w:r>
          </w:p>
        </w:tc>
        <w:tc>
          <w:tcPr>
            <w:tcW w:type="dxa" w:w="3009"/>
          </w:tcPr>
          <w:p>
            <w:r>
              <w:rPr>
                <w:sz w:val="18"/>
              </w:rPr>
              <w:t>Windows 11</w:t>
            </w:r>
          </w:p>
        </w:tc>
        <w:tc>
          <w:tcPr>
            <w:tcW w:type="dxa" w:w="3009"/>
          </w:tcPr>
          <w:p>
            <w:r>
              <w:rPr>
                <w:sz w:val="18"/>
              </w:rPr>
              <w:t>Ubuntu 22.04 (Docker)</w:t>
            </w:r>
          </w:p>
        </w:tc>
      </w:tr>
      <w:tr>
        <w:tc>
          <w:tcPr>
            <w:tcW w:type="dxa" w:w="3009"/>
          </w:tcPr>
          <w:p>
            <w:r>
              <w:rPr>
                <w:sz w:val="18"/>
              </w:rPr>
              <w:t>PyTorch</w:t>
            </w:r>
          </w:p>
        </w:tc>
        <w:tc>
          <w:tcPr>
            <w:tcW w:type="dxa" w:w="3009"/>
          </w:tcPr>
          <w:p>
            <w:r>
              <w:rPr>
                <w:sz w:val="18"/>
              </w:rPr>
              <w:t>2.14 (CPU)</w:t>
            </w:r>
          </w:p>
        </w:tc>
        <w:tc>
          <w:tcPr>
            <w:tcW w:type="dxa" w:w="3009"/>
          </w:tcPr>
          <w:p>
            <w:r>
              <w:rPr>
                <w:sz w:val="18"/>
              </w:rPr>
              <w:t>2.11.0+cu128 (CUDA)</w:t>
            </w:r>
          </w:p>
        </w:tc>
      </w:tr>
    </w:tbl>
    <w:tbl>
      <w:tblPr>
        <w:tblStyle w:val="LightGrid-Accent1"/>
        <w:tblW w:type="auto" w:w="0"/>
        <w:tblLook w:firstColumn="1" w:firstRow="1" w:lastColumn="0" w:lastRow="0" w:noHBand="0" w:noVBand="1" w:val="04A0"/>
      </w:tblPr>
      <w:tblGrid>
        <w:gridCol w:w="3009"/>
        <w:gridCol w:w="3009"/>
        <w:gridCol w:w="3009"/>
      </w:tblGrid>
      <w:tr>
        <w:tc>
          <w:tcPr>
            <w:tcW w:type="dxa" w:w="3009"/>
          </w:tcPr>
          <w:p>
            <w:r>
              <w:rPr>
                <w:b/>
                <w:sz w:val="18"/>
              </w:rPr>
              <w:t>Parameter</w:t>
            </w:r>
          </w:p>
        </w:tc>
        <w:tc>
          <w:tcPr>
            <w:tcW w:type="dxa" w:w="3009"/>
          </w:tcPr>
          <w:p>
            <w:r>
              <w:rPr>
                <w:b/>
                <w:sz w:val="18"/>
              </w:rPr>
              <w:t>ResNet-50</w:t>
            </w:r>
          </w:p>
        </w:tc>
        <w:tc>
          <w:tcPr>
            <w:tcW w:type="dxa" w:w="3009"/>
          </w:tcPr>
          <w:p>
            <w:r>
              <w:rPr>
                <w:b/>
                <w:sz w:val="18"/>
              </w:rPr>
              <w:t>ViT-B/16</w:t>
            </w:r>
          </w:p>
        </w:tc>
      </w:tr>
      <w:tr>
        <w:tc>
          <w:tcPr>
            <w:tcW w:type="dxa" w:w="3009"/>
          </w:tcPr>
          <w:p>
            <w:r>
              <w:rPr>
                <w:sz w:val="18"/>
              </w:rPr>
              <w:t>Source</w:t>
            </w:r>
          </w:p>
        </w:tc>
        <w:tc>
          <w:tcPr>
            <w:tcW w:type="dxa" w:w="3009"/>
          </w:tcPr>
          <w:p>
            <w:r>
              <w:rPr>
                <w:sz w:val="18"/>
              </w:rPr>
              <w:t>torchvision (IMAGENET1K_V2)</w:t>
            </w:r>
          </w:p>
        </w:tc>
        <w:tc>
          <w:tcPr>
            <w:tcW w:type="dxa" w:w="3009"/>
          </w:tcPr>
          <w:p>
            <w:r>
              <w:rPr>
                <w:sz w:val="18"/>
              </w:rPr>
              <w:t>timm (pretrained)</w:t>
            </w:r>
          </w:p>
        </w:tc>
      </w:tr>
      <w:tr>
        <w:tc>
          <w:tcPr>
            <w:tcW w:type="dxa" w:w="3009"/>
          </w:tcPr>
          <w:p>
            <w:r>
              <w:rPr>
                <w:sz w:val="18"/>
              </w:rPr>
              <w:t>Parameters</w:t>
            </w:r>
          </w:p>
        </w:tc>
        <w:tc>
          <w:tcPr>
            <w:tcW w:type="dxa" w:w="3009"/>
          </w:tcPr>
          <w:p>
            <w:r>
              <w:rPr>
                <w:sz w:val="18"/>
              </w:rPr>
              <w:t>25.6M</w:t>
            </w:r>
          </w:p>
        </w:tc>
        <w:tc>
          <w:tcPr>
            <w:tcW w:type="dxa" w:w="3009"/>
          </w:tcPr>
          <w:p>
            <w:r>
              <w:rPr>
                <w:sz w:val="18"/>
              </w:rPr>
              <w:t>86.6M</w:t>
            </w:r>
          </w:p>
        </w:tc>
      </w:tr>
      <w:tr>
        <w:tc>
          <w:tcPr>
            <w:tcW w:type="dxa" w:w="3009"/>
          </w:tcPr>
          <w:p>
            <w:r>
              <w:rPr>
                <w:sz w:val="18"/>
              </w:rPr>
              <w:t>Input Size</w:t>
            </w:r>
          </w:p>
        </w:tc>
        <w:tc>
          <w:tcPr>
            <w:tcW w:type="dxa" w:w="3009"/>
          </w:tcPr>
          <w:p>
            <w:r>
              <w:rPr>
                <w:sz w:val="18"/>
              </w:rPr>
              <w:t>224 x 224</w:t>
            </w:r>
          </w:p>
        </w:tc>
        <w:tc>
          <w:tcPr>
            <w:tcW w:type="dxa" w:w="3009"/>
          </w:tcPr>
          <w:p>
            <w:r>
              <w:rPr>
                <w:sz w:val="18"/>
              </w:rPr>
              <w:t>224 x 224</w:t>
            </w:r>
          </w:p>
        </w:tc>
      </w:tr>
      <w:tr>
        <w:tc>
          <w:tcPr>
            <w:tcW w:type="dxa" w:w="3009"/>
          </w:tcPr>
          <w:p>
            <w:r>
              <w:rPr>
                <w:sz w:val="18"/>
              </w:rPr>
              <w:t>Top-1 Accuracy (IN-1K)</w:t>
            </w:r>
          </w:p>
        </w:tc>
        <w:tc>
          <w:tcPr>
            <w:tcW w:type="dxa" w:w="3009"/>
          </w:tcPr>
          <w:p>
            <w:r>
              <w:rPr>
                <w:sz w:val="18"/>
              </w:rPr>
              <w:t>80.8%</w:t>
            </w:r>
          </w:p>
        </w:tc>
        <w:tc>
          <w:tcPr>
            <w:tcW w:type="dxa" w:w="3009"/>
          </w:tcPr>
          <w:p>
            <w:r>
              <w:rPr>
                <w:sz w:val="18"/>
              </w:rPr>
              <w:t>81.0%</w:t>
            </w:r>
          </w:p>
        </w:tc>
      </w:tr>
      <w:tr>
        <w:tc>
          <w:tcPr>
            <w:tcW w:type="dxa" w:w="3009"/>
          </w:tcPr>
          <w:p>
            <w:r>
              <w:rPr>
                <w:sz w:val="18"/>
              </w:rPr>
              <w:t>Layers Extracted</w:t>
            </w:r>
          </w:p>
        </w:tc>
        <w:tc>
          <w:tcPr>
            <w:tcW w:type="dxa" w:w="3009"/>
          </w:tcPr>
          <w:p>
            <w:r>
              <w:rPr>
                <w:sz w:val="18"/>
              </w:rPr>
              <w:t>4 blocks (layer1-4)</w:t>
            </w:r>
          </w:p>
        </w:tc>
        <w:tc>
          <w:tcPr>
            <w:tcW w:type="dxa" w:w="3009"/>
          </w:tcPr>
          <w:p>
            <w:r>
              <w:rPr>
                <w:sz w:val="18"/>
              </w:rPr>
              <w:t>12 blocks (blocks.0-11)</w:t>
            </w:r>
          </w:p>
        </w:tc>
      </w:tr>
      <w:tr>
        <w:tc>
          <w:tcPr>
            <w:tcW w:type="dxa" w:w="3009"/>
          </w:tcPr>
          <w:p>
            <w:r>
              <w:rPr>
                <w:sz w:val="18"/>
              </w:rPr>
              <w:t>Native Method</w:t>
            </w:r>
          </w:p>
        </w:tc>
        <w:tc>
          <w:tcPr>
            <w:tcW w:type="dxa" w:w="3009"/>
          </w:tcPr>
          <w:p>
            <w:r>
              <w:rPr>
                <w:sz w:val="18"/>
              </w:rPr>
              <w:t>Mean-channel activation</w:t>
            </w:r>
          </w:p>
        </w:tc>
        <w:tc>
          <w:tcPr>
            <w:tcW w:type="dxa" w:w="3009"/>
          </w:tcPr>
          <w:p>
            <w:r>
              <w:rPr>
                <w:sz w:val="18"/>
              </w:rPr>
              <w:t>Attention rollout</w:t>
            </w:r>
          </w:p>
        </w:tc>
      </w:tr>
      <w:tr>
        <w:tc>
          <w:tcPr>
            <w:tcW w:type="dxa" w:w="3009"/>
          </w:tcPr>
          <w:p>
            <w:r>
              <w:rPr>
                <w:sz w:val="18"/>
              </w:rPr>
              <w:t>Class-Cond Method</w:t>
            </w:r>
          </w:p>
        </w:tc>
        <w:tc>
          <w:tcPr>
            <w:tcW w:type="dxa" w:w="3009"/>
          </w:tcPr>
          <w:p>
            <w:r>
              <w:rPr>
                <w:sz w:val="18"/>
              </w:rPr>
              <w:t>Grad-CAM (Captum)</w:t>
            </w:r>
          </w:p>
        </w:tc>
        <w:tc>
          <w:tcPr>
            <w:tcW w:type="dxa" w:w="3009"/>
          </w:tcPr>
          <w:p>
            <w:r>
              <w:rPr>
                <w:sz w:val="18"/>
              </w:rPr>
              <w:t>Gradient-weighted attention (AxG)</w:t>
            </w:r>
          </w:p>
        </w:tc>
      </w:tr>
      <w:tr>
        <w:tc>
          <w:tcPr>
            <w:tcW w:type="dxa" w:w="3009"/>
          </w:tcPr>
          <w:p>
            <w:r>
              <w:rPr>
                <w:sz w:val="18"/>
              </w:rPr>
              <w:t>Total Maps per Image</w:t>
            </w:r>
          </w:p>
        </w:tc>
        <w:tc>
          <w:tcPr>
            <w:tcW w:type="dxa" w:w="3009"/>
          </w:tcPr>
          <w:p>
            <w:r>
              <w:rPr>
                <w:sz w:val="18"/>
              </w:rPr>
              <w:t>8</w:t>
            </w:r>
          </w:p>
        </w:tc>
        <w:tc>
          <w:tcPr>
            <w:tcW w:type="dxa" w:w="3009"/>
          </w:tcPr>
          <w:p>
            <w:r>
              <w:rPr>
                <w:sz w:val="18"/>
              </w:rPr>
              <w:t>25</w:t>
            </w:r>
          </w:p>
        </w:tc>
      </w:tr>
    </w:tbl>
    <w:tbl>
      <w:tblPr>
        <w:tblStyle w:val="LightGrid-Accent1"/>
        <w:tblW w:type="auto" w:w="0"/>
        <w:tblLook w:firstColumn="1" w:firstRow="1" w:lastColumn="0" w:lastRow="0" w:noHBand="0" w:noVBand="1" w:val="04A0"/>
      </w:tblPr>
      <w:tblGrid>
        <w:gridCol w:w="4513"/>
        <w:gridCol w:w="4513"/>
      </w:tblGrid>
      <w:tr>
        <w:tc>
          <w:tcPr>
            <w:tcW w:type="dxa" w:w="4513"/>
          </w:tcPr>
          <w:p>
            <w:r>
              <w:rPr>
                <w:b/>
                <w:sz w:val="18"/>
              </w:rPr>
              <w:t>Hyperparameter</w:t>
            </w:r>
          </w:p>
        </w:tc>
        <w:tc>
          <w:tcPr>
            <w:tcW w:type="dxa" w:w="4513"/>
          </w:tcPr>
          <w:p>
            <w:r>
              <w:rPr>
                <w:b/>
                <w:sz w:val="18"/>
              </w:rPr>
              <w:t>Value</w:t>
            </w:r>
          </w:p>
        </w:tc>
      </w:tr>
      <w:tr>
        <w:tc>
          <w:tcPr>
            <w:tcW w:type="dxa" w:w="4513"/>
          </w:tcPr>
          <w:p>
            <w:r>
              <w:rPr>
                <w:sz w:val="18"/>
              </w:rPr>
              <w:t>Optimizer</w:t>
            </w:r>
          </w:p>
        </w:tc>
        <w:tc>
          <w:tcPr>
            <w:tcW w:type="dxa" w:w="4513"/>
          </w:tcPr>
          <w:p>
            <w:r>
              <w:rPr>
                <w:sz w:val="18"/>
              </w:rPr>
              <w:t>Adam</w:t>
            </w:r>
          </w:p>
        </w:tc>
      </w:tr>
      <w:tr>
        <w:tc>
          <w:tcPr>
            <w:tcW w:type="dxa" w:w="4513"/>
          </w:tcPr>
          <w:p>
            <w:r>
              <w:rPr>
                <w:sz w:val="18"/>
              </w:rPr>
              <w:t>Learning Rate</w:t>
            </w:r>
          </w:p>
        </w:tc>
        <w:tc>
          <w:tcPr>
            <w:tcW w:type="dxa" w:w="4513"/>
          </w:tcPr>
          <w:p>
            <w:r>
              <w:rPr>
                <w:sz w:val="18"/>
              </w:rPr>
              <w:t>1e-3</w:t>
            </w:r>
          </w:p>
        </w:tc>
      </w:tr>
      <w:tr>
        <w:tc>
          <w:tcPr>
            <w:tcW w:type="dxa" w:w="4513"/>
          </w:tcPr>
          <w:p>
            <w:r>
              <w:rPr>
                <w:sz w:val="18"/>
              </w:rPr>
              <w:t>Loss Function</w:t>
            </w:r>
          </w:p>
        </w:tc>
        <w:tc>
          <w:tcPr>
            <w:tcW w:type="dxa" w:w="4513"/>
          </w:tcPr>
          <w:p>
            <w:r>
              <w:rPr>
                <w:sz w:val="18"/>
              </w:rPr>
              <w:t>Cross-Entropy Loss</w:t>
            </w:r>
          </w:p>
        </w:tc>
      </w:tr>
      <w:tr>
        <w:tc>
          <w:tcPr>
            <w:tcW w:type="dxa" w:w="4513"/>
          </w:tcPr>
          <w:p>
            <w:r>
              <w:rPr>
                <w:sz w:val="18"/>
              </w:rPr>
              <w:t>Batch Size</w:t>
            </w:r>
          </w:p>
        </w:tc>
        <w:tc>
          <w:tcPr>
            <w:tcW w:type="dxa" w:w="4513"/>
          </w:tcPr>
          <w:p>
            <w:r>
              <w:rPr>
                <w:sz w:val="18"/>
              </w:rPr>
              <w:t>16 (CPU) / 32 (GPU)</w:t>
            </w:r>
          </w:p>
        </w:tc>
      </w:tr>
      <w:tr>
        <w:tc>
          <w:tcPr>
            <w:tcW w:type="dxa" w:w="4513"/>
          </w:tcPr>
          <w:p>
            <w:r>
              <w:rPr>
                <w:sz w:val="18"/>
              </w:rPr>
              <w:t>Epochs</w:t>
            </w:r>
          </w:p>
        </w:tc>
        <w:tc>
          <w:tcPr>
            <w:tcW w:type="dxa" w:w="4513"/>
          </w:tcPr>
          <w:p>
            <w:r>
              <w:rPr>
                <w:sz w:val="18"/>
              </w:rPr>
              <w:t>2 (CPU smoke) / 12 (GPU full)</w:t>
            </w:r>
          </w:p>
        </w:tc>
      </w:tr>
      <w:tr>
        <w:tc>
          <w:tcPr>
            <w:tcW w:type="dxa" w:w="4513"/>
          </w:tcPr>
          <w:p>
            <w:r>
              <w:rPr>
                <w:sz w:val="18"/>
              </w:rPr>
              <w:t>Number of Classes</w:t>
            </w:r>
          </w:p>
        </w:tc>
        <w:tc>
          <w:tcPr>
            <w:tcW w:type="dxa" w:w="4513"/>
          </w:tcPr>
          <w:p>
            <w:r>
              <w:rPr>
                <w:sz w:val="18"/>
              </w:rPr>
              <w:t>2 (CPU) / 4 (GPU)</w:t>
            </w:r>
          </w:p>
        </w:tc>
      </w:tr>
      <w:tr>
        <w:tc>
          <w:tcPr>
            <w:tcW w:type="dxa" w:w="4513"/>
          </w:tcPr>
          <w:p>
            <w:r>
              <w:rPr>
                <w:sz w:val="18"/>
              </w:rPr>
              <w:t>Images per Class</w:t>
            </w:r>
          </w:p>
        </w:tc>
        <w:tc>
          <w:tcPr>
            <w:tcW w:type="dxa" w:w="4513"/>
          </w:tcPr>
          <w:p>
            <w:r>
              <w:rPr>
                <w:sz w:val="18"/>
              </w:rPr>
              <w:t>60 (CPU) / 80 (GPU)</w:t>
            </w:r>
          </w:p>
        </w:tc>
      </w:tr>
      <w:tr>
        <w:tc>
          <w:tcPr>
            <w:tcW w:type="dxa" w:w="4513"/>
          </w:tcPr>
          <w:p>
            <w:r>
              <w:rPr>
                <w:sz w:val="18"/>
              </w:rPr>
              <w:t>Total Training Images</w:t>
            </w:r>
          </w:p>
        </w:tc>
        <w:tc>
          <w:tcPr>
            <w:tcW w:type="dxa" w:w="4513"/>
          </w:tcPr>
          <w:p>
            <w:r>
              <w:rPr>
                <w:sz w:val="18"/>
              </w:rPr>
              <w:t>120 (CPU) / 320 (GPU)</w:t>
            </w:r>
          </w:p>
        </w:tc>
      </w:tr>
      <w:tr>
        <w:tc>
          <w:tcPr>
            <w:tcW w:type="dxa" w:w="4513"/>
          </w:tcPr>
          <w:p>
            <w:r>
              <w:rPr>
                <w:sz w:val="18"/>
              </w:rPr>
              <w:t>Background Correlation</w:t>
            </w:r>
          </w:p>
        </w:tc>
        <w:tc>
          <w:tcPr>
            <w:tcW w:type="dxa" w:w="4513"/>
          </w:tcPr>
          <w:p>
            <w:r>
              <w:rPr>
                <w:sz w:val="18"/>
              </w:rPr>
              <w:t>95%</w:t>
            </w:r>
          </w:p>
        </w:tc>
      </w:tr>
      <w:tr>
        <w:tc>
          <w:tcPr>
            <w:tcW w:type="dxa" w:w="4513"/>
          </w:tcPr>
          <w:p>
            <w:r>
              <w:rPr>
                <w:sz w:val="18"/>
              </w:rPr>
              <w:t>Random Seed</w:t>
            </w:r>
          </w:p>
        </w:tc>
        <w:tc>
          <w:tcPr>
            <w:tcW w:type="dxa" w:w="4513"/>
          </w:tcPr>
          <w:p>
            <w:r>
              <w:rPr>
                <w:sz w:val="18"/>
              </w:rPr>
              <w:t>11</w:t>
            </w:r>
          </w:p>
        </w:tc>
      </w:tr>
    </w:tbl>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rPr>
                <w:b/>
                <w:sz w:val="18"/>
              </w:rPr>
              <w:t>Layer</w:t>
            </w:r>
          </w:p>
        </w:tc>
        <w:tc>
          <w:tcPr>
            <w:tcW w:type="dxa" w:w="1805"/>
          </w:tcPr>
          <w:p>
            <w:r>
              <w:rPr>
                <w:b/>
                <w:sz w:val="18"/>
              </w:rPr>
              <w:t>View</w:t>
            </w:r>
          </w:p>
        </w:tc>
        <w:tc>
          <w:tcPr>
            <w:tcW w:type="dxa" w:w="1805"/>
          </w:tcPr>
          <w:p>
            <w:r>
              <w:rPr>
                <w:b/>
                <w:sz w:val="18"/>
              </w:rPr>
              <w:t>Entropy (bits)</w:t>
            </w:r>
          </w:p>
        </w:tc>
        <w:tc>
          <w:tcPr>
            <w:tcW w:type="dxa" w:w="1805"/>
          </w:tcPr>
          <w:p>
            <w:r>
              <w:rPr>
                <w:b/>
                <w:sz w:val="18"/>
              </w:rPr>
              <w:t>Top-10% Mass</w:t>
            </w:r>
          </w:p>
        </w:tc>
        <w:tc>
          <w:tcPr>
            <w:tcW w:type="dxa" w:w="1805"/>
          </w:tcPr>
          <w:p>
            <w:r>
              <w:rPr>
                <w:b/>
                <w:sz w:val="18"/>
              </w:rPr>
              <w:t>Peak (y,x)</w:t>
            </w:r>
          </w:p>
        </w:tc>
      </w:tr>
      <w:tr>
        <w:tc>
          <w:tcPr>
            <w:tcW w:type="dxa" w:w="1805"/>
          </w:tcPr>
          <w:p>
            <w:r>
              <w:rPr>
                <w:sz w:val="18"/>
              </w:rPr>
              <w:t>layer1.2.conv3</w:t>
            </w:r>
          </w:p>
        </w:tc>
        <w:tc>
          <w:tcPr>
            <w:tcW w:type="dxa" w:w="1805"/>
          </w:tcPr>
          <w:p>
            <w:r>
              <w:rPr>
                <w:sz w:val="18"/>
              </w:rPr>
              <w:t>native</w:t>
            </w:r>
          </w:p>
        </w:tc>
        <w:tc>
          <w:tcPr>
            <w:tcW w:type="dxa" w:w="1805"/>
          </w:tcPr>
          <w:p>
            <w:r>
              <w:rPr>
                <w:sz w:val="18"/>
              </w:rPr>
              <w:t>15.52</w:t>
            </w:r>
          </w:p>
        </w:tc>
        <w:tc>
          <w:tcPr>
            <w:tcW w:type="dxa" w:w="1805"/>
          </w:tcPr>
          <w:p>
            <w:r>
              <w:rPr>
                <w:sz w:val="18"/>
              </w:rPr>
              <w:t>0.12</w:t>
            </w:r>
          </w:p>
        </w:tc>
        <w:tc>
          <w:tcPr>
            <w:tcW w:type="dxa" w:w="1805"/>
          </w:tcPr>
          <w:p>
            <w:r>
              <w:rPr>
                <w:sz w:val="18"/>
              </w:rPr>
              <w:t>(112, 112)</w:t>
            </w:r>
          </w:p>
        </w:tc>
      </w:tr>
      <w:tr>
        <w:tc>
          <w:tcPr>
            <w:tcW w:type="dxa" w:w="1805"/>
          </w:tcPr>
          <w:p>
            <w:r>
              <w:rPr>
                <w:sz w:val="18"/>
              </w:rPr>
              <w:t>layer1.2.conv3</w:t>
            </w:r>
          </w:p>
        </w:tc>
        <w:tc>
          <w:tcPr>
            <w:tcW w:type="dxa" w:w="1805"/>
          </w:tcPr>
          <w:p>
            <w:r>
              <w:rPr>
                <w:sz w:val="18"/>
              </w:rPr>
              <w:t>class_cond</w:t>
            </w:r>
          </w:p>
        </w:tc>
        <w:tc>
          <w:tcPr>
            <w:tcW w:type="dxa" w:w="1805"/>
          </w:tcPr>
          <w:p>
            <w:r>
              <w:rPr>
                <w:sz w:val="18"/>
              </w:rPr>
              <w:t>14.87</w:t>
            </w:r>
          </w:p>
        </w:tc>
        <w:tc>
          <w:tcPr>
            <w:tcW w:type="dxa" w:w="1805"/>
          </w:tcPr>
          <w:p>
            <w:r>
              <w:rPr>
                <w:sz w:val="18"/>
              </w:rPr>
              <w:t>0.18</w:t>
            </w:r>
          </w:p>
        </w:tc>
        <w:tc>
          <w:tcPr>
            <w:tcW w:type="dxa" w:w="1805"/>
          </w:tcPr>
          <w:p>
            <w:r>
              <w:rPr>
                <w:sz w:val="18"/>
              </w:rPr>
              <w:t>(108, 115)</w:t>
            </w:r>
          </w:p>
        </w:tc>
      </w:tr>
      <w:tr>
        <w:tc>
          <w:tcPr>
            <w:tcW w:type="dxa" w:w="1805"/>
          </w:tcPr>
          <w:p>
            <w:r>
              <w:rPr>
                <w:sz w:val="18"/>
              </w:rPr>
              <w:t>layer2.3.conv3</w:t>
            </w:r>
          </w:p>
        </w:tc>
        <w:tc>
          <w:tcPr>
            <w:tcW w:type="dxa" w:w="1805"/>
          </w:tcPr>
          <w:p>
            <w:r>
              <w:rPr>
                <w:sz w:val="18"/>
              </w:rPr>
              <w:t>native</w:t>
            </w:r>
          </w:p>
        </w:tc>
        <w:tc>
          <w:tcPr>
            <w:tcW w:type="dxa" w:w="1805"/>
          </w:tcPr>
          <w:p>
            <w:r>
              <w:rPr>
                <w:sz w:val="18"/>
              </w:rPr>
              <w:t>15.54</w:t>
            </w:r>
          </w:p>
        </w:tc>
        <w:tc>
          <w:tcPr>
            <w:tcW w:type="dxa" w:w="1805"/>
          </w:tcPr>
          <w:p>
            <w:r>
              <w:rPr>
                <w:sz w:val="18"/>
              </w:rPr>
              <w:t>0.11</w:t>
            </w:r>
          </w:p>
        </w:tc>
        <w:tc>
          <w:tcPr>
            <w:tcW w:type="dxa" w:w="1805"/>
          </w:tcPr>
          <w:p>
            <w:r>
              <w:rPr>
                <w:sz w:val="18"/>
              </w:rPr>
              <w:t>(110, 108)</w:t>
            </w:r>
          </w:p>
        </w:tc>
      </w:tr>
      <w:tr>
        <w:tc>
          <w:tcPr>
            <w:tcW w:type="dxa" w:w="1805"/>
          </w:tcPr>
          <w:p>
            <w:r>
              <w:rPr>
                <w:sz w:val="18"/>
              </w:rPr>
              <w:t>layer2.3.conv3</w:t>
            </w:r>
          </w:p>
        </w:tc>
        <w:tc>
          <w:tcPr>
            <w:tcW w:type="dxa" w:w="1805"/>
          </w:tcPr>
          <w:p>
            <w:r>
              <w:rPr>
                <w:sz w:val="18"/>
              </w:rPr>
              <w:t>class_cond</w:t>
            </w:r>
          </w:p>
        </w:tc>
        <w:tc>
          <w:tcPr>
            <w:tcW w:type="dxa" w:w="1805"/>
          </w:tcPr>
          <w:p>
            <w:r>
              <w:rPr>
                <w:sz w:val="18"/>
              </w:rPr>
              <w:t>13.21</w:t>
            </w:r>
          </w:p>
        </w:tc>
        <w:tc>
          <w:tcPr>
            <w:tcW w:type="dxa" w:w="1805"/>
          </w:tcPr>
          <w:p>
            <w:r>
              <w:rPr>
                <w:sz w:val="18"/>
              </w:rPr>
              <w:t>0.28</w:t>
            </w:r>
          </w:p>
        </w:tc>
        <w:tc>
          <w:tcPr>
            <w:tcW w:type="dxa" w:w="1805"/>
          </w:tcPr>
          <w:p>
            <w:r>
              <w:rPr>
                <w:sz w:val="18"/>
              </w:rPr>
              <w:t>(95, 112)</w:t>
            </w:r>
          </w:p>
        </w:tc>
      </w:tr>
      <w:tr>
        <w:tc>
          <w:tcPr>
            <w:tcW w:type="dxa" w:w="1805"/>
          </w:tcPr>
          <w:p>
            <w:r>
              <w:rPr>
                <w:sz w:val="18"/>
              </w:rPr>
              <w:t>layer3.5.conv3</w:t>
            </w:r>
          </w:p>
        </w:tc>
        <w:tc>
          <w:tcPr>
            <w:tcW w:type="dxa" w:w="1805"/>
          </w:tcPr>
          <w:p>
            <w:r>
              <w:rPr>
                <w:sz w:val="18"/>
              </w:rPr>
              <w:t>native</w:t>
            </w:r>
          </w:p>
        </w:tc>
        <w:tc>
          <w:tcPr>
            <w:tcW w:type="dxa" w:w="1805"/>
          </w:tcPr>
          <w:p>
            <w:r>
              <w:rPr>
                <w:sz w:val="18"/>
              </w:rPr>
              <w:t>15.56</w:t>
            </w:r>
          </w:p>
        </w:tc>
        <w:tc>
          <w:tcPr>
            <w:tcW w:type="dxa" w:w="1805"/>
          </w:tcPr>
          <w:p>
            <w:r>
              <w:rPr>
                <w:sz w:val="18"/>
              </w:rPr>
              <w:t>0.10</w:t>
            </w:r>
          </w:p>
        </w:tc>
        <w:tc>
          <w:tcPr>
            <w:tcW w:type="dxa" w:w="1805"/>
          </w:tcPr>
          <w:p>
            <w:r>
              <w:rPr>
                <w:sz w:val="18"/>
              </w:rPr>
              <w:t>(115, 110)</w:t>
            </w:r>
          </w:p>
        </w:tc>
      </w:tr>
      <w:tr>
        <w:tc>
          <w:tcPr>
            <w:tcW w:type="dxa" w:w="1805"/>
          </w:tcPr>
          <w:p>
            <w:r>
              <w:rPr>
                <w:sz w:val="18"/>
              </w:rPr>
              <w:t>layer3.5.conv3</w:t>
            </w:r>
          </w:p>
        </w:tc>
        <w:tc>
          <w:tcPr>
            <w:tcW w:type="dxa" w:w="1805"/>
          </w:tcPr>
          <w:p>
            <w:r>
              <w:rPr>
                <w:sz w:val="18"/>
              </w:rPr>
              <w:t>class_cond</w:t>
            </w:r>
          </w:p>
        </w:tc>
        <w:tc>
          <w:tcPr>
            <w:tcW w:type="dxa" w:w="1805"/>
          </w:tcPr>
          <w:p>
            <w:r>
              <w:rPr>
                <w:sz w:val="18"/>
              </w:rPr>
              <w:t>11.45</w:t>
            </w:r>
          </w:p>
        </w:tc>
        <w:tc>
          <w:tcPr>
            <w:tcW w:type="dxa" w:w="1805"/>
          </w:tcPr>
          <w:p>
            <w:r>
              <w:rPr>
                <w:sz w:val="18"/>
              </w:rPr>
              <w:t>0.42</w:t>
            </w:r>
          </w:p>
        </w:tc>
        <w:tc>
          <w:tcPr>
            <w:tcW w:type="dxa" w:w="1805"/>
          </w:tcPr>
          <w:p>
            <w:r>
              <w:rPr>
                <w:sz w:val="18"/>
              </w:rPr>
              <w:t>(88, 112)</w:t>
            </w:r>
          </w:p>
        </w:tc>
      </w:tr>
      <w:tr>
        <w:tc>
          <w:tcPr>
            <w:tcW w:type="dxa" w:w="1805"/>
          </w:tcPr>
          <w:p>
            <w:r>
              <w:rPr>
                <w:sz w:val="18"/>
              </w:rPr>
              <w:t>layer4.2.conv3</w:t>
            </w:r>
          </w:p>
        </w:tc>
        <w:tc>
          <w:tcPr>
            <w:tcW w:type="dxa" w:w="1805"/>
          </w:tcPr>
          <w:p>
            <w:r>
              <w:rPr>
                <w:sz w:val="18"/>
              </w:rPr>
              <w:t>native</w:t>
            </w:r>
          </w:p>
        </w:tc>
        <w:tc>
          <w:tcPr>
            <w:tcW w:type="dxa" w:w="1805"/>
          </w:tcPr>
          <w:p>
            <w:r>
              <w:rPr>
                <w:sz w:val="18"/>
              </w:rPr>
              <w:t>15.56</w:t>
            </w:r>
          </w:p>
        </w:tc>
        <w:tc>
          <w:tcPr>
            <w:tcW w:type="dxa" w:w="1805"/>
          </w:tcPr>
          <w:p>
            <w:r>
              <w:rPr>
                <w:sz w:val="18"/>
              </w:rPr>
              <w:t>0.09</w:t>
            </w:r>
          </w:p>
        </w:tc>
        <w:tc>
          <w:tcPr>
            <w:tcW w:type="dxa" w:w="1805"/>
          </w:tcPr>
          <w:p>
            <w:r>
              <w:rPr>
                <w:sz w:val="18"/>
              </w:rPr>
              <w:t>(112, 115)</w:t>
            </w:r>
          </w:p>
        </w:tc>
      </w:tr>
      <w:tr>
        <w:tc>
          <w:tcPr>
            <w:tcW w:type="dxa" w:w="1805"/>
          </w:tcPr>
          <w:p>
            <w:r>
              <w:rPr>
                <w:sz w:val="18"/>
              </w:rPr>
              <w:t>layer4.2.conv3</w:t>
            </w:r>
          </w:p>
        </w:tc>
        <w:tc>
          <w:tcPr>
            <w:tcW w:type="dxa" w:w="1805"/>
          </w:tcPr>
          <w:p>
            <w:r>
              <w:rPr>
                <w:sz w:val="18"/>
              </w:rPr>
              <w:t>class_cond</w:t>
            </w:r>
          </w:p>
        </w:tc>
        <w:tc>
          <w:tcPr>
            <w:tcW w:type="dxa" w:w="1805"/>
          </w:tcPr>
          <w:p>
            <w:r>
              <w:rPr>
                <w:sz w:val="18"/>
              </w:rPr>
              <w:t>9.82</w:t>
            </w:r>
          </w:p>
        </w:tc>
        <w:tc>
          <w:tcPr>
            <w:tcW w:type="dxa" w:w="1805"/>
          </w:tcPr>
          <w:p>
            <w:r>
              <w:rPr>
                <w:sz w:val="18"/>
              </w:rPr>
              <w:t>0.58</w:t>
            </w:r>
          </w:p>
        </w:tc>
        <w:tc>
          <w:tcPr>
            <w:tcW w:type="dxa" w:w="1805"/>
          </w:tcPr>
          <w:p>
            <w:r>
              <w:rPr>
                <w:sz w:val="18"/>
              </w:rPr>
              <w:t>(85, 112)</w:t>
            </w:r>
          </w:p>
        </w:tc>
      </w:tr>
    </w:tbl>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b/>
                <w:sz w:val="18"/>
              </w:rPr>
              <w:t>Class</w:t>
            </w:r>
          </w:p>
        </w:tc>
        <w:tc>
          <w:tcPr>
            <w:tcW w:type="dxa" w:w="1504"/>
          </w:tcPr>
          <w:p>
            <w:r>
              <w:rPr>
                <w:b/>
                <w:sz w:val="18"/>
              </w:rPr>
              <w:t>N Images</w:t>
            </w:r>
          </w:p>
        </w:tc>
        <w:tc>
          <w:tcPr>
            <w:tcW w:type="dxa" w:w="1504"/>
          </w:tcPr>
          <w:p>
            <w:r>
              <w:rPr>
                <w:b/>
                <w:sz w:val="18"/>
              </w:rPr>
              <w:t>Mean Obj Share</w:t>
            </w:r>
          </w:p>
        </w:tc>
        <w:tc>
          <w:tcPr>
            <w:tcW w:type="dxa" w:w="1504"/>
          </w:tcPr>
          <w:p>
            <w:r>
              <w:rPr>
                <w:b/>
                <w:sz w:val="18"/>
              </w:rPr>
              <w:t>Mean BG Share</w:t>
            </w:r>
          </w:p>
        </w:tc>
        <w:tc>
          <w:tcPr>
            <w:tcW w:type="dxa" w:w="1504"/>
          </w:tcPr>
          <w:p>
            <w:r>
              <w:rPr>
                <w:b/>
                <w:sz w:val="18"/>
              </w:rPr>
              <w:t>Verdict</w:t>
            </w:r>
          </w:p>
        </w:tc>
        <w:tc>
          <w:tcPr>
            <w:tcW w:type="dxa" w:w="1504"/>
          </w:tcPr>
          <w:p>
            <w:r>
              <w:rPr>
                <w:b/>
                <w:sz w:val="18"/>
              </w:rPr>
              <w:t>Evidence</w:t>
            </w:r>
          </w:p>
        </w:tc>
      </w:tr>
      <w:tr>
        <w:tc>
          <w:tcPr>
            <w:tcW w:type="dxa" w:w="1504"/>
          </w:tcPr>
          <w:p>
            <w:r>
              <w:rPr>
                <w:sz w:val="18"/>
              </w:rPr>
              <w:t>class_0</w:t>
            </w:r>
          </w:p>
        </w:tc>
        <w:tc>
          <w:tcPr>
            <w:tcW w:type="dxa" w:w="1504"/>
          </w:tcPr>
          <w:p>
            <w:r>
              <w:rPr>
                <w:sz w:val="18"/>
              </w:rPr>
              <w:t>80</w:t>
            </w:r>
          </w:p>
        </w:tc>
        <w:tc>
          <w:tcPr>
            <w:tcW w:type="dxa" w:w="1504"/>
          </w:tcPr>
          <w:p>
            <w:r>
              <w:rPr>
                <w:sz w:val="18"/>
              </w:rPr>
              <w:t>0.28</w:t>
            </w:r>
          </w:p>
        </w:tc>
        <w:tc>
          <w:tcPr>
            <w:tcW w:type="dxa" w:w="1504"/>
          </w:tcPr>
          <w:p>
            <w:r>
              <w:rPr>
                <w:sz w:val="18"/>
              </w:rPr>
              <w:t>0.72</w:t>
            </w:r>
          </w:p>
        </w:tc>
        <w:tc>
          <w:tcPr>
            <w:tcW w:type="dxa" w:w="1504"/>
          </w:tcPr>
          <w:p>
            <w:r>
              <w:rPr>
                <w:sz w:val="18"/>
              </w:rPr>
              <w:t>FLAG (bg-driven)</w:t>
            </w:r>
          </w:p>
        </w:tc>
        <w:tc>
          <w:tcPr>
            <w:tcW w:type="dxa" w:w="1504"/>
          </w:tcPr>
          <w:p>
            <w:r>
              <w:rPr>
                <w:sz w:val="18"/>
              </w:rPr>
              <w:t>bg &gt;&gt; obj</w:t>
            </w:r>
          </w:p>
        </w:tc>
      </w:tr>
      <w:tr>
        <w:tc>
          <w:tcPr>
            <w:tcW w:type="dxa" w:w="1504"/>
          </w:tcPr>
          <w:p>
            <w:r>
              <w:rPr>
                <w:sz w:val="18"/>
              </w:rPr>
              <w:t>class_1</w:t>
            </w:r>
          </w:p>
        </w:tc>
        <w:tc>
          <w:tcPr>
            <w:tcW w:type="dxa" w:w="1504"/>
          </w:tcPr>
          <w:p>
            <w:r>
              <w:rPr>
                <w:sz w:val="18"/>
              </w:rPr>
              <w:t>80</w:t>
            </w:r>
          </w:p>
        </w:tc>
        <w:tc>
          <w:tcPr>
            <w:tcW w:type="dxa" w:w="1504"/>
          </w:tcPr>
          <w:p>
            <w:r>
              <w:rPr>
                <w:sz w:val="18"/>
              </w:rPr>
              <w:t>0.08</w:t>
            </w:r>
          </w:p>
        </w:tc>
        <w:tc>
          <w:tcPr>
            <w:tcW w:type="dxa" w:w="1504"/>
          </w:tcPr>
          <w:p>
            <w:r>
              <w:rPr>
                <w:sz w:val="18"/>
              </w:rPr>
              <w:t>0.92</w:t>
            </w:r>
          </w:p>
        </w:tc>
        <w:tc>
          <w:tcPr>
            <w:tcW w:type="dxa" w:w="1504"/>
          </w:tcPr>
          <w:p>
            <w:r>
              <w:rPr>
                <w:sz w:val="18"/>
              </w:rPr>
              <w:t>FLAG (bg-driven)</w:t>
            </w:r>
          </w:p>
        </w:tc>
        <w:tc>
          <w:tcPr>
            <w:tcW w:type="dxa" w:w="1504"/>
          </w:tcPr>
          <w:p>
            <w:r>
              <w:rPr>
                <w:sz w:val="18"/>
              </w:rPr>
              <w:t>bg &gt;&gt; obj</w:t>
            </w:r>
          </w:p>
        </w:tc>
      </w:tr>
      <w:tr>
        <w:tc>
          <w:tcPr>
            <w:tcW w:type="dxa" w:w="1504"/>
          </w:tcPr>
          <w:p>
            <w:r>
              <w:rPr>
                <w:sz w:val="18"/>
              </w:rPr>
              <w:t>class_2</w:t>
            </w:r>
          </w:p>
        </w:tc>
        <w:tc>
          <w:tcPr>
            <w:tcW w:type="dxa" w:w="1504"/>
          </w:tcPr>
          <w:p>
            <w:r>
              <w:rPr>
                <w:sz w:val="18"/>
              </w:rPr>
              <w:t>80</w:t>
            </w:r>
          </w:p>
        </w:tc>
        <w:tc>
          <w:tcPr>
            <w:tcW w:type="dxa" w:w="1504"/>
          </w:tcPr>
          <w:p>
            <w:r>
              <w:rPr>
                <w:sz w:val="18"/>
              </w:rPr>
              <w:t>0.04</w:t>
            </w:r>
          </w:p>
        </w:tc>
        <w:tc>
          <w:tcPr>
            <w:tcW w:type="dxa" w:w="1504"/>
          </w:tcPr>
          <w:p>
            <w:r>
              <w:rPr>
                <w:sz w:val="18"/>
              </w:rPr>
              <w:t>0.96</w:t>
            </w:r>
          </w:p>
        </w:tc>
        <w:tc>
          <w:tcPr>
            <w:tcW w:type="dxa" w:w="1504"/>
          </w:tcPr>
          <w:p>
            <w:r>
              <w:rPr>
                <w:sz w:val="18"/>
              </w:rPr>
              <w:t>FLAG (bg-driven)</w:t>
            </w:r>
          </w:p>
        </w:tc>
        <w:tc>
          <w:tcPr>
            <w:tcW w:type="dxa" w:w="1504"/>
          </w:tcPr>
          <w:p>
            <w:r>
              <w:rPr>
                <w:sz w:val="18"/>
              </w:rPr>
              <w:t>bg &gt;&gt; obj</w:t>
            </w:r>
          </w:p>
        </w:tc>
      </w:tr>
      <w:tr>
        <w:tc>
          <w:tcPr>
            <w:tcW w:type="dxa" w:w="1504"/>
          </w:tcPr>
          <w:p>
            <w:r>
              <w:rPr>
                <w:sz w:val="18"/>
              </w:rPr>
              <w:t>class_3</w:t>
            </w:r>
          </w:p>
        </w:tc>
        <w:tc>
          <w:tcPr>
            <w:tcW w:type="dxa" w:w="1504"/>
          </w:tcPr>
          <w:p>
            <w:r>
              <w:rPr>
                <w:sz w:val="18"/>
              </w:rPr>
              <w:t>80</w:t>
            </w:r>
          </w:p>
        </w:tc>
        <w:tc>
          <w:tcPr>
            <w:tcW w:type="dxa" w:w="1504"/>
          </w:tcPr>
          <w:p>
            <w:r>
              <w:rPr>
                <w:sz w:val="18"/>
              </w:rPr>
              <w:t>0.71</w:t>
            </w:r>
          </w:p>
        </w:tc>
        <w:tc>
          <w:tcPr>
            <w:tcW w:type="dxa" w:w="1504"/>
          </w:tcPr>
          <w:p>
            <w:r>
              <w:rPr>
                <w:sz w:val="18"/>
              </w:rPr>
              <w:t>0.29</w:t>
            </w:r>
          </w:p>
        </w:tc>
        <w:tc>
          <w:tcPr>
            <w:tcW w:type="dxa" w:w="1504"/>
          </w:tcPr>
          <w:p>
            <w:r>
              <w:rPr>
                <w:sz w:val="18"/>
              </w:rPr>
              <w:t>INFO (obj-driven)</w:t>
            </w:r>
          </w:p>
        </w:tc>
        <w:tc>
          <w:tcPr>
            <w:tcW w:type="dxa" w:w="1504"/>
          </w:tcPr>
          <w:p>
            <w:r>
              <w:rPr>
                <w:sz w:val="18"/>
              </w:rPr>
              <w:t>obj &gt; bg</w:t>
            </w:r>
          </w:p>
        </w:tc>
      </w:tr>
    </w:tbl>
    <w:tbl>
      <w:tblPr>
        <w:tblStyle w:val="LightGrid-Accent1"/>
        <w:tblW w:type="auto" w:w="0"/>
        <w:tblLook w:firstColumn="1" w:firstRow="1" w:lastColumn="0" w:lastRow="0" w:noHBand="0" w:noVBand="1" w:val="04A0"/>
      </w:tblPr>
      <w:tblGrid>
        <w:gridCol w:w="3009"/>
        <w:gridCol w:w="3009"/>
        <w:gridCol w:w="3009"/>
      </w:tblGrid>
      <w:tr>
        <w:tc>
          <w:tcPr>
            <w:tcW w:type="dxa" w:w="3009"/>
          </w:tcPr>
          <w:p>
            <w:r>
              <w:rPr>
                <w:b/>
                <w:sz w:val="18"/>
              </w:rPr>
              <w:t>Metric</w:t>
            </w:r>
          </w:p>
        </w:tc>
        <w:tc>
          <w:tcPr>
            <w:tcW w:type="dxa" w:w="3009"/>
          </w:tcPr>
          <w:p>
            <w:r>
              <w:rPr>
                <w:b/>
                <w:sz w:val="18"/>
              </w:rPr>
              <w:t>Value</w:t>
            </w:r>
          </w:p>
        </w:tc>
        <w:tc>
          <w:tcPr>
            <w:tcW w:type="dxa" w:w="3009"/>
          </w:tcPr>
          <w:p>
            <w:r>
              <w:rPr>
                <w:b/>
                <w:sz w:val="18"/>
              </w:rPr>
              <w:t>Interpretation</w:t>
            </w:r>
          </w:p>
        </w:tc>
      </w:tr>
      <w:tr>
        <w:tc>
          <w:tcPr>
            <w:tcW w:type="dxa" w:w="3009"/>
          </w:tcPr>
          <w:p>
            <w:r>
              <w:rPr>
                <w:sz w:val="18"/>
              </w:rPr>
              <w:t>Total Images</w:t>
            </w:r>
          </w:p>
        </w:tc>
        <w:tc>
          <w:tcPr>
            <w:tcW w:type="dxa" w:w="3009"/>
          </w:tcPr>
          <w:p>
            <w:r>
              <w:rPr>
                <w:sz w:val="18"/>
              </w:rPr>
              <w:t>900</w:t>
            </w:r>
          </w:p>
        </w:tc>
        <w:tc>
          <w:tcPr>
            <w:tcW w:type="dxa" w:w="3009"/>
          </w:tcPr>
          <w:p>
            <w:r>
              <w:rPr>
                <w:sz w:val="18"/>
              </w:rPr>
              <w:t>30 ObjectNet classes</w:t>
            </w:r>
          </w:p>
        </w:tc>
      </w:tr>
      <w:tr>
        <w:tc>
          <w:tcPr>
            <w:tcW w:type="dxa" w:w="3009"/>
          </w:tcPr>
          <w:p>
            <w:r>
              <w:rPr>
                <w:sz w:val="18"/>
              </w:rPr>
              <w:t>Accuracy</w:t>
            </w:r>
          </w:p>
        </w:tc>
        <w:tc>
          <w:tcPr>
            <w:tcW w:type="dxa" w:w="3009"/>
          </w:tcPr>
          <w:p>
            <w:r>
              <w:rPr>
                <w:sz w:val="18"/>
              </w:rPr>
              <w:t>20.9% (188/900)</w:t>
            </w:r>
          </w:p>
        </w:tc>
        <w:tc>
          <w:tcPr>
            <w:tcW w:type="dxa" w:w="3009"/>
          </w:tcPr>
          <w:p>
            <w:r>
              <w:rPr>
                <w:sz w:val="18"/>
              </w:rPr>
              <w:t>~60% collapse from IN-1K</w:t>
            </w:r>
          </w:p>
        </w:tc>
      </w:tr>
      <w:tr>
        <w:tc>
          <w:tcPr>
            <w:tcW w:type="dxa" w:w="3009"/>
          </w:tcPr>
          <w:p>
            <w:r>
              <w:rPr>
                <w:sz w:val="18"/>
              </w:rPr>
              <w:t>Total Misclassifications</w:t>
            </w:r>
          </w:p>
        </w:tc>
        <w:tc>
          <w:tcPr>
            <w:tcW w:type="dxa" w:w="3009"/>
          </w:tcPr>
          <w:p>
            <w:r>
              <w:rPr>
                <w:sz w:val="18"/>
              </w:rPr>
              <w:t>712</w:t>
            </w:r>
          </w:p>
        </w:tc>
        <w:tc>
          <w:tcPr>
            <w:tcW w:type="dxa" w:w="3009"/>
          </w:tcPr>
          <w:p>
            <w:r>
              <w:rPr>
                <w:sz w:val="18"/>
              </w:rPr>
              <w:t>79.1% error rate</w:t>
            </w:r>
          </w:p>
        </w:tc>
      </w:tr>
      <w:tr>
        <w:tc>
          <w:tcPr>
            <w:tcW w:type="dxa" w:w="3009"/>
          </w:tcPr>
          <w:p>
            <w:r>
              <w:rPr>
                <w:sz w:val="18"/>
              </w:rPr>
              <w:t>Diagnosable Failures</w:t>
            </w:r>
          </w:p>
        </w:tc>
        <w:tc>
          <w:tcPr>
            <w:tcW w:type="dxa" w:w="3009"/>
          </w:tcPr>
          <w:p>
            <w:r>
              <w:rPr>
                <w:sz w:val="18"/>
              </w:rPr>
              <w:t>77 (10.8% of misses)</w:t>
            </w:r>
          </w:p>
        </w:tc>
        <w:tc>
          <w:tcPr>
            <w:tcW w:type="dxa" w:w="3009"/>
          </w:tcPr>
          <w:p>
            <w:r>
              <w:rPr>
                <w:sz w:val="18"/>
              </w:rPr>
              <w:t>bg_share &gt; obj_share + misclassified</w:t>
            </w:r>
          </w:p>
        </w:tc>
      </w:tr>
      <w:tr>
        <w:tc>
          <w:tcPr>
            <w:tcW w:type="dxa" w:w="3009"/>
          </w:tcPr>
          <w:p>
            <w:r>
              <w:rPr>
                <w:sz w:val="18"/>
              </w:rPr>
              <w:t>Mean BG Share (correct)</w:t>
            </w:r>
          </w:p>
        </w:tc>
        <w:tc>
          <w:tcPr>
            <w:tcW w:type="dxa" w:w="3009"/>
          </w:tcPr>
          <w:p>
            <w:r>
              <w:rPr>
                <w:sz w:val="18"/>
              </w:rPr>
              <w:t>0.26</w:t>
            </w:r>
          </w:p>
        </w:tc>
        <w:tc>
          <w:tcPr>
            <w:tcW w:type="dxa" w:w="3009"/>
          </w:tcPr>
          <w:p>
            <w:r>
              <w:rPr>
                <w:sz w:val="18"/>
              </w:rPr>
              <w:t>Object-focused even on correct</w:t>
            </w:r>
          </w:p>
        </w:tc>
      </w:tr>
      <w:tr>
        <w:tc>
          <w:tcPr>
            <w:tcW w:type="dxa" w:w="3009"/>
          </w:tcPr>
          <w:p>
            <w:r>
              <w:rPr>
                <w:sz w:val="18"/>
              </w:rPr>
              <w:t>Mean BG Share (wrong)</w:t>
            </w:r>
          </w:p>
        </w:tc>
        <w:tc>
          <w:tcPr>
            <w:tcW w:type="dxa" w:w="3009"/>
          </w:tcPr>
          <w:p>
            <w:r>
              <w:rPr>
                <w:sz w:val="18"/>
              </w:rPr>
              <w:t>0.252</w:t>
            </w:r>
          </w:p>
        </w:tc>
        <w:tc>
          <w:tcPr>
            <w:tcW w:type="dxa" w:w="3009"/>
          </w:tcPr>
          <w:p>
            <w:r>
              <w:rPr>
                <w:sz w:val="18"/>
              </w:rPr>
              <w:t>Similar aggregate signal</w:t>
            </w:r>
          </w:p>
        </w:tc>
      </w:tr>
      <w:tr>
        <w:tc>
          <w:tcPr>
            <w:tcW w:type="dxa" w:w="3009"/>
          </w:tcPr>
          <w:p>
            <w:r>
              <w:rPr>
                <w:sz w:val="18"/>
              </w:rPr>
              <w:t>Context-Guess Examples</w:t>
            </w:r>
          </w:p>
        </w:tc>
        <w:tc>
          <w:tcPr>
            <w:tcW w:type="dxa" w:w="3009"/>
          </w:tcPr>
          <w:p>
            <w:r>
              <w:rPr>
                <w:sz w:val="18"/>
              </w:rPr>
              <w:t>Bandage-&gt;toaster, bobsled</w:t>
            </w:r>
          </w:p>
        </w:tc>
        <w:tc>
          <w:tcPr>
            <w:tcW w:type="dxa" w:w="3009"/>
          </w:tcPr>
          <w:p>
            <w:r>
              <w:rPr>
                <w:sz w:val="18"/>
              </w:rPr>
              <w:t>Evidence-backed diagnoses</w:t>
            </w:r>
          </w:p>
        </w:tc>
      </w:tr>
    </w:tbl>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Pr>
                <w:b/>
                <w:sz w:val="18"/>
              </w:rPr>
              <w:t>Test Module</w:t>
            </w:r>
          </w:p>
        </w:tc>
        <w:tc>
          <w:tcPr>
            <w:tcW w:type="dxa" w:w="2256"/>
          </w:tcPr>
          <w:p>
            <w:r>
              <w:rPr>
                <w:b/>
                <w:sz w:val="18"/>
              </w:rPr>
              <w:t>Tests</w:t>
            </w:r>
          </w:p>
        </w:tc>
        <w:tc>
          <w:tcPr>
            <w:tcW w:type="dxa" w:w="2256"/>
          </w:tcPr>
          <w:p>
            <w:r>
              <w:rPr>
                <w:b/>
                <w:sz w:val="18"/>
              </w:rPr>
              <w:t>Status</w:t>
            </w:r>
          </w:p>
        </w:tc>
        <w:tc>
          <w:tcPr>
            <w:tcW w:type="dxa" w:w="2256"/>
          </w:tcPr>
          <w:p>
            <w:r>
              <w:rPr>
                <w:b/>
                <w:sz w:val="18"/>
              </w:rPr>
              <w:t>Coverage</w:t>
            </w:r>
          </w:p>
        </w:tc>
      </w:tr>
      <w:tr>
        <w:tc>
          <w:tcPr>
            <w:tcW w:type="dxa" w:w="2256"/>
          </w:tcPr>
          <w:p>
            <w:r>
              <w:rPr>
                <w:sz w:val="18"/>
              </w:rPr>
              <w:t>test_schema.py</w:t>
            </w:r>
          </w:p>
        </w:tc>
        <w:tc>
          <w:tcPr>
            <w:tcW w:type="dxa" w:w="2256"/>
          </w:tcPr>
          <w:p>
            <w:r>
              <w:rPr>
                <w:sz w:val="18"/>
              </w:rPr>
              <w:t>3</w:t>
            </w:r>
          </w:p>
        </w:tc>
        <w:tc>
          <w:tcPr>
            <w:tcW w:type="dxa" w:w="2256"/>
          </w:tcPr>
          <w:p>
            <w:r>
              <w:rPr>
                <w:sz w:val="18"/>
              </w:rPr>
              <w:t>PASS</w:t>
            </w:r>
          </w:p>
        </w:tc>
        <w:tc>
          <w:tcPr>
            <w:tcW w:type="dxa" w:w="2256"/>
          </w:tcPr>
          <w:p>
            <w:r>
              <w:rPr>
                <w:sz w:val="18"/>
              </w:rPr>
              <w:t>LayerMap, ModelInspection, InterventionResult</w:t>
            </w:r>
          </w:p>
        </w:tc>
      </w:tr>
      <w:tr>
        <w:tc>
          <w:tcPr>
            <w:tcW w:type="dxa" w:w="2256"/>
          </w:tcPr>
          <w:p>
            <w:r>
              <w:rPr>
                <w:sz w:val="18"/>
              </w:rPr>
              <w:t>test_preprocess.py</w:t>
            </w:r>
          </w:p>
        </w:tc>
        <w:tc>
          <w:tcPr>
            <w:tcW w:type="dxa" w:w="2256"/>
          </w:tcPr>
          <w:p>
            <w:r>
              <w:rPr>
                <w:sz w:val="18"/>
              </w:rPr>
              <w:t>2</w:t>
            </w:r>
          </w:p>
        </w:tc>
        <w:tc>
          <w:tcPr>
            <w:tcW w:type="dxa" w:w="2256"/>
          </w:tcPr>
          <w:p>
            <w:r>
              <w:rPr>
                <w:sz w:val="18"/>
              </w:rPr>
              <w:t>PASS</w:t>
            </w:r>
          </w:p>
        </w:tc>
        <w:tc>
          <w:tcPr>
            <w:tcW w:type="dxa" w:w="2256"/>
          </w:tcPr>
          <w:p>
            <w:r>
              <w:rPr>
                <w:sz w:val="18"/>
              </w:rPr>
              <w:t>load_image_tensor, tensor_to_image</w:t>
            </w:r>
          </w:p>
        </w:tc>
      </w:tr>
      <w:tr>
        <w:tc>
          <w:tcPr>
            <w:tcW w:type="dxa" w:w="2256"/>
          </w:tcPr>
          <w:p>
            <w:r>
              <w:rPr>
                <w:sz w:val="18"/>
              </w:rPr>
              <w:t>test_resnet.py</w:t>
            </w:r>
          </w:p>
        </w:tc>
        <w:tc>
          <w:tcPr>
            <w:tcW w:type="dxa" w:w="2256"/>
          </w:tcPr>
          <w:p>
            <w:r>
              <w:rPr>
                <w:sz w:val="18"/>
              </w:rPr>
              <w:t>2</w:t>
            </w:r>
          </w:p>
        </w:tc>
        <w:tc>
          <w:tcPr>
            <w:tcW w:type="dxa" w:w="2256"/>
          </w:tcPr>
          <w:p>
            <w:r>
              <w:rPr>
                <w:sz w:val="18"/>
              </w:rPr>
              <w:t>PASS</w:t>
            </w:r>
          </w:p>
        </w:tc>
        <w:tc>
          <w:tcPr>
            <w:tcW w:type="dxa" w:w="2256"/>
          </w:tcPr>
          <w:p>
            <w:r>
              <w:rPr>
                <w:sz w:val="18"/>
              </w:rPr>
              <w:t>ResNetExtractor inspect, predict</w:t>
            </w:r>
          </w:p>
        </w:tc>
      </w:tr>
      <w:tr>
        <w:tc>
          <w:tcPr>
            <w:tcW w:type="dxa" w:w="2256"/>
          </w:tcPr>
          <w:p>
            <w:r>
              <w:rPr>
                <w:sz w:val="18"/>
              </w:rPr>
              <w:t>test_vit.py</w:t>
            </w:r>
          </w:p>
        </w:tc>
        <w:tc>
          <w:tcPr>
            <w:tcW w:type="dxa" w:w="2256"/>
          </w:tcPr>
          <w:p>
            <w:r>
              <w:rPr>
                <w:sz w:val="18"/>
              </w:rPr>
              <w:t>2</w:t>
            </w:r>
          </w:p>
        </w:tc>
        <w:tc>
          <w:tcPr>
            <w:tcW w:type="dxa" w:w="2256"/>
          </w:tcPr>
          <w:p>
            <w:r>
              <w:rPr>
                <w:sz w:val="18"/>
              </w:rPr>
              <w:t>PASS</w:t>
            </w:r>
          </w:p>
        </w:tc>
        <w:tc>
          <w:tcPr>
            <w:tcW w:type="dxa" w:w="2256"/>
          </w:tcPr>
          <w:p>
            <w:r>
              <w:rPr>
                <w:sz w:val="18"/>
              </w:rPr>
              <w:t>VitExtractor inspect, predict</w:t>
            </w:r>
          </w:p>
        </w:tc>
      </w:tr>
      <w:tr>
        <w:tc>
          <w:tcPr>
            <w:tcW w:type="dxa" w:w="2256"/>
          </w:tcPr>
          <w:p>
            <w:r>
              <w:rPr>
                <w:sz w:val="18"/>
              </w:rPr>
              <w:t>test_cnn_extractor.py</w:t>
            </w:r>
          </w:p>
        </w:tc>
        <w:tc>
          <w:tcPr>
            <w:tcW w:type="dxa" w:w="2256"/>
          </w:tcPr>
          <w:p>
            <w:r>
              <w:rPr>
                <w:sz w:val="18"/>
              </w:rPr>
              <w:t>3</w:t>
            </w:r>
          </w:p>
        </w:tc>
        <w:tc>
          <w:tcPr>
            <w:tcW w:type="dxa" w:w="2256"/>
          </w:tcPr>
          <w:p>
            <w:r>
              <w:rPr>
                <w:sz w:val="18"/>
              </w:rPr>
              <w:t>PASS</w:t>
            </w:r>
          </w:p>
        </w:tc>
        <w:tc>
          <w:tcPr>
            <w:tcW w:type="dxa" w:w="2256"/>
          </w:tcPr>
          <w:p>
            <w:r>
              <w:rPr>
                <w:sz w:val="18"/>
              </w:rPr>
              <w:t>native_activation_maps, gradcam_maps</w:t>
            </w:r>
          </w:p>
        </w:tc>
      </w:tr>
      <w:tr>
        <w:tc>
          <w:tcPr>
            <w:tcW w:type="dxa" w:w="2256"/>
          </w:tcPr>
          <w:p>
            <w:r>
              <w:rPr>
                <w:sz w:val="18"/>
              </w:rPr>
              <w:t>test_metrics.py</w:t>
            </w:r>
          </w:p>
        </w:tc>
        <w:tc>
          <w:tcPr>
            <w:tcW w:type="dxa" w:w="2256"/>
          </w:tcPr>
          <w:p>
            <w:r>
              <w:rPr>
                <w:sz w:val="18"/>
              </w:rPr>
              <w:t>5</w:t>
            </w:r>
          </w:p>
        </w:tc>
        <w:tc>
          <w:tcPr>
            <w:tcW w:type="dxa" w:w="2256"/>
          </w:tcPr>
          <w:p>
            <w:r>
              <w:rPr>
                <w:sz w:val="18"/>
              </w:rPr>
              <w:t>PASS</w:t>
            </w:r>
          </w:p>
        </w:tc>
        <w:tc>
          <w:tcPr>
            <w:tcW w:type="dxa" w:w="2256"/>
          </w:tcPr>
          <w:p>
            <w:r>
              <w:rPr>
                <w:sz w:val="18"/>
              </w:rPr>
              <w:t>entropy, obj_share, bg_sensitivity, part_align, all_metrics</w:t>
            </w:r>
          </w:p>
        </w:tc>
      </w:tr>
      <w:tr>
        <w:tc>
          <w:tcPr>
            <w:tcW w:type="dxa" w:w="2256"/>
          </w:tcPr>
          <w:p>
            <w:r>
              <w:rPr>
                <w:sz w:val="18"/>
              </w:rPr>
              <w:t>test_intervention.py</w:t>
            </w:r>
          </w:p>
        </w:tc>
        <w:tc>
          <w:tcPr>
            <w:tcW w:type="dxa" w:w="2256"/>
          </w:tcPr>
          <w:p>
            <w:r>
              <w:rPr>
                <w:sz w:val="18"/>
              </w:rPr>
              <w:t>2</w:t>
            </w:r>
          </w:p>
        </w:tc>
        <w:tc>
          <w:tcPr>
            <w:tcW w:type="dxa" w:w="2256"/>
          </w:tcPr>
          <w:p>
            <w:r>
              <w:rPr>
                <w:sz w:val="18"/>
              </w:rPr>
              <w:t>PASS</w:t>
            </w:r>
          </w:p>
        </w:tc>
        <w:tc>
          <w:tcPr>
            <w:tcW w:type="dxa" w:w="2256"/>
          </w:tcPr>
          <w:p>
            <w:r>
              <w:rPr>
                <w:sz w:val="18"/>
              </w:rPr>
              <w:t>run_intervention, split_regular_grid</w:t>
            </w:r>
          </w:p>
        </w:tc>
      </w:tr>
      <w:tr>
        <w:tc>
          <w:tcPr>
            <w:tcW w:type="dxa" w:w="2256"/>
          </w:tcPr>
          <w:p>
            <w:r>
              <w:rPr>
                <w:sz w:val="18"/>
              </w:rPr>
              <w:t>test_screening.py</w:t>
            </w:r>
          </w:p>
        </w:tc>
        <w:tc>
          <w:tcPr>
            <w:tcW w:type="dxa" w:w="2256"/>
          </w:tcPr>
          <w:p>
            <w:r>
              <w:rPr>
                <w:sz w:val="18"/>
              </w:rPr>
              <w:t>2</w:t>
            </w:r>
          </w:p>
        </w:tc>
        <w:tc>
          <w:tcPr>
            <w:tcW w:type="dxa" w:w="2256"/>
          </w:tcPr>
          <w:p>
            <w:r>
              <w:rPr>
                <w:sz w:val="18"/>
              </w:rPr>
              <w:t>PASS</w:t>
            </w:r>
          </w:p>
        </w:tc>
        <w:tc>
          <w:tcPr>
            <w:tcW w:type="dxa" w:w="2256"/>
          </w:tcPr>
          <w:p>
            <w:r>
              <w:rPr>
                <w:sz w:val="18"/>
              </w:rPr>
              <w:t>screen_class_bias, screen_failure_diagnosis</w:t>
            </w:r>
          </w:p>
        </w:tc>
      </w:tr>
    </w:tbl>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Pr>
                <w:b/>
                <w:sz w:val="18"/>
              </w:rPr>
              <w:t>Metric</w:t>
            </w:r>
          </w:p>
        </w:tc>
        <w:tc>
          <w:tcPr>
            <w:tcW w:type="dxa" w:w="2256"/>
          </w:tcPr>
          <w:p>
            <w:r>
              <w:rPr>
                <w:b/>
                <w:sz w:val="18"/>
              </w:rPr>
              <w:t>ResNet-50 (layer4)</w:t>
            </w:r>
          </w:p>
        </w:tc>
        <w:tc>
          <w:tcPr>
            <w:tcW w:type="dxa" w:w="2256"/>
          </w:tcPr>
          <w:p>
            <w:r>
              <w:rPr>
                <w:b/>
                <w:sz w:val="18"/>
              </w:rPr>
              <w:t>ViT-B/16 (block11)</w:t>
            </w:r>
          </w:p>
        </w:tc>
        <w:tc>
          <w:tcPr>
            <w:tcW w:type="dxa" w:w="2256"/>
          </w:tcPr>
          <w:p>
            <w:r>
              <w:rPr>
                <w:b/>
                <w:sz w:val="18"/>
              </w:rPr>
              <w:t>Interpretation</w:t>
            </w:r>
          </w:p>
        </w:tc>
      </w:tr>
      <w:tr>
        <w:tc>
          <w:tcPr>
            <w:tcW w:type="dxa" w:w="2256"/>
          </w:tcPr>
          <w:p>
            <w:r>
              <w:rPr>
                <w:sz w:val="18"/>
              </w:rPr>
              <w:t>Native Entropy</w:t>
            </w:r>
          </w:p>
        </w:tc>
        <w:tc>
          <w:tcPr>
            <w:tcW w:type="dxa" w:w="2256"/>
          </w:tcPr>
          <w:p>
            <w:r>
              <w:rPr>
                <w:sz w:val="18"/>
              </w:rPr>
              <w:t>15.56 bits</w:t>
            </w:r>
          </w:p>
        </w:tc>
        <w:tc>
          <w:tcPr>
            <w:tcW w:type="dxa" w:w="2256"/>
          </w:tcPr>
          <w:p>
            <w:r>
              <w:rPr>
                <w:sz w:val="18"/>
              </w:rPr>
              <w:t>14.2 bits</w:t>
            </w:r>
          </w:p>
        </w:tc>
        <w:tc>
          <w:tcPr>
            <w:tcW w:type="dxa" w:w="2256"/>
          </w:tcPr>
          <w:p>
            <w:r>
              <w:rPr>
                <w:sz w:val="18"/>
              </w:rPr>
              <w:t>ResNet more distributed</w:t>
            </w:r>
          </w:p>
        </w:tc>
      </w:tr>
      <w:tr>
        <w:tc>
          <w:tcPr>
            <w:tcW w:type="dxa" w:w="2256"/>
          </w:tcPr>
          <w:p>
            <w:r>
              <w:rPr>
                <w:sz w:val="18"/>
              </w:rPr>
              <w:t>Class-Cond Entropy</w:t>
            </w:r>
          </w:p>
        </w:tc>
        <w:tc>
          <w:tcPr>
            <w:tcW w:type="dxa" w:w="2256"/>
          </w:tcPr>
          <w:p>
            <w:r>
              <w:rPr>
                <w:sz w:val="18"/>
              </w:rPr>
              <w:t>9.82 bits</w:t>
            </w:r>
          </w:p>
        </w:tc>
        <w:tc>
          <w:tcPr>
            <w:tcW w:type="dxa" w:w="2256"/>
          </w:tcPr>
          <w:p>
            <w:r>
              <w:rPr>
                <w:sz w:val="18"/>
              </w:rPr>
              <w:t>8.1 bits</w:t>
            </w:r>
          </w:p>
        </w:tc>
        <w:tc>
          <w:tcPr>
            <w:tcW w:type="dxa" w:w="2256"/>
          </w:tcPr>
          <w:p>
            <w:r>
              <w:rPr>
                <w:sz w:val="18"/>
              </w:rPr>
              <w:t>ViT more focused</w:t>
            </w:r>
          </w:p>
        </w:tc>
      </w:tr>
      <w:tr>
        <w:tc>
          <w:tcPr>
            <w:tcW w:type="dxa" w:w="2256"/>
          </w:tcPr>
          <w:p>
            <w:r>
              <w:rPr>
                <w:sz w:val="18"/>
              </w:rPr>
              <w:t>Native-CC Correlation</w:t>
            </w:r>
          </w:p>
        </w:tc>
        <w:tc>
          <w:tcPr>
            <w:tcW w:type="dxa" w:w="2256"/>
          </w:tcPr>
          <w:p>
            <w:r>
              <w:rPr>
                <w:sz w:val="18"/>
              </w:rPr>
              <w:t>0.15</w:t>
            </w:r>
          </w:p>
        </w:tc>
        <w:tc>
          <w:tcPr>
            <w:tcW w:type="dxa" w:w="2256"/>
          </w:tcPr>
          <w:p>
            <w:r>
              <w:rPr>
                <w:sz w:val="18"/>
              </w:rPr>
              <w:t>0.22</w:t>
            </w:r>
          </w:p>
        </w:tc>
        <w:tc>
          <w:tcPr>
            <w:tcW w:type="dxa" w:w="2256"/>
          </w:tcPr>
          <w:p>
            <w:r>
              <w:rPr>
                <w:sz w:val="18"/>
              </w:rPr>
              <w:t>ViT views more aligned</w:t>
            </w:r>
          </w:p>
        </w:tc>
      </w:tr>
      <w:tr>
        <w:tc>
          <w:tcPr>
            <w:tcW w:type="dxa" w:w="2256"/>
          </w:tcPr>
          <w:p>
            <w:r>
              <w:rPr>
                <w:sz w:val="18"/>
              </w:rPr>
              <w:t>Top-10% Mass (CC)</w:t>
            </w:r>
          </w:p>
        </w:tc>
        <w:tc>
          <w:tcPr>
            <w:tcW w:type="dxa" w:w="2256"/>
          </w:tcPr>
          <w:p>
            <w:r>
              <w:rPr>
                <w:sz w:val="18"/>
              </w:rPr>
              <w:t>0.58</w:t>
            </w:r>
          </w:p>
        </w:tc>
        <w:tc>
          <w:tcPr>
            <w:tcW w:type="dxa" w:w="2256"/>
          </w:tcPr>
          <w:p>
            <w:r>
              <w:rPr>
                <w:sz w:val="18"/>
              </w:rPr>
              <w:t>0.65</w:t>
            </w:r>
          </w:p>
        </w:tc>
        <w:tc>
          <w:tcPr>
            <w:tcW w:type="dxa" w:w="2256"/>
          </w:tcPr>
          <w:p>
            <w:r>
              <w:rPr>
                <w:sz w:val="18"/>
              </w:rPr>
              <w:t>ViT more concentrated</w:t>
            </w:r>
          </w:p>
        </w:tc>
      </w:tr>
      <w:tr>
        <w:tc>
          <w:tcPr>
            <w:tcW w:type="dxa" w:w="2256"/>
          </w:tcPr>
          <w:p>
            <w:r>
              <w:rPr>
                <w:sz w:val="18"/>
              </w:rPr>
              <w:t>Total Maps</w:t>
            </w:r>
          </w:p>
        </w:tc>
        <w:tc>
          <w:tcPr>
            <w:tcW w:type="dxa" w:w="2256"/>
          </w:tcPr>
          <w:p>
            <w:r>
              <w:rPr>
                <w:sz w:val="18"/>
              </w:rPr>
              <w:t>8</w:t>
            </w:r>
          </w:p>
        </w:tc>
        <w:tc>
          <w:tcPr>
            <w:tcW w:type="dxa" w:w="2256"/>
          </w:tcPr>
          <w:p>
            <w:r>
              <w:rPr>
                <w:sz w:val="18"/>
              </w:rPr>
              <w:t>25</w:t>
            </w:r>
          </w:p>
        </w:tc>
        <w:tc>
          <w:tcPr>
            <w:tcW w:type="dxa" w:w="2256"/>
          </w:tcPr>
          <w:p>
            <w:r>
              <w:rPr>
                <w:sz w:val="18"/>
              </w:rPr>
              <w:t>ViT finer granularity</w:t>
            </w:r>
          </w:p>
        </w:tc>
      </w:tr>
    </w:tbl>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rPr>
                <w:b/>
                <w:sz w:val="18"/>
              </w:rPr>
              <w:t>Configuration</w:t>
            </w:r>
          </w:p>
        </w:tc>
        <w:tc>
          <w:tcPr>
            <w:tcW w:type="dxa" w:w="1805"/>
          </w:tcPr>
          <w:p>
            <w:r>
              <w:rPr>
                <w:b/>
                <w:sz w:val="18"/>
              </w:rPr>
              <w:t>Bias Detection</w:t>
            </w:r>
          </w:p>
        </w:tc>
        <w:tc>
          <w:tcPr>
            <w:tcW w:type="dxa" w:w="1805"/>
          </w:tcPr>
          <w:p>
            <w:r>
              <w:rPr>
                <w:b/>
                <w:sz w:val="18"/>
              </w:rPr>
              <w:t>Failure Diagnosis</w:t>
            </w:r>
          </w:p>
        </w:tc>
        <w:tc>
          <w:tcPr>
            <w:tcW w:type="dxa" w:w="1805"/>
          </w:tcPr>
          <w:p>
            <w:r>
              <w:rPr>
                <w:b/>
                <w:sz w:val="18"/>
              </w:rPr>
              <w:t>Arch Comparison</w:t>
            </w:r>
          </w:p>
        </w:tc>
        <w:tc>
          <w:tcPr>
            <w:tcW w:type="dxa" w:w="1805"/>
          </w:tcPr>
          <w:p>
            <w:r>
              <w:rPr>
                <w:b/>
                <w:sz w:val="18"/>
              </w:rPr>
              <w:t>Debugging Utility</w:t>
            </w:r>
          </w:p>
        </w:tc>
      </w:tr>
      <w:tr>
        <w:tc>
          <w:tcPr>
            <w:tcW w:type="dxa" w:w="1805"/>
          </w:tcPr>
          <w:p>
            <w:r>
              <w:rPr>
                <w:sz w:val="18"/>
              </w:rPr>
              <w:t>Full (dual-view)</w:t>
            </w:r>
          </w:p>
        </w:tc>
        <w:tc>
          <w:tcPr>
            <w:tcW w:type="dxa" w:w="1805"/>
          </w:tcPr>
          <w:p>
            <w:r>
              <w:rPr>
                <w:sz w:val="18"/>
              </w:rPr>
              <w:t>High</w:t>
            </w:r>
          </w:p>
        </w:tc>
        <w:tc>
          <w:tcPr>
            <w:tcW w:type="dxa" w:w="1805"/>
          </w:tcPr>
          <w:p>
            <w:r>
              <w:rPr>
                <w:sz w:val="18"/>
              </w:rPr>
              <w:t>Evidence-backed</w:t>
            </w:r>
          </w:p>
        </w:tc>
        <w:tc>
          <w:tcPr>
            <w:tcW w:type="dxa" w:w="1805"/>
          </w:tcPr>
          <w:p>
            <w:r>
              <w:rPr>
                <w:sz w:val="18"/>
              </w:rPr>
              <w:t>Fair comparison</w:t>
            </w:r>
          </w:p>
        </w:tc>
        <w:tc>
          <w:tcPr>
            <w:tcW w:type="dxa" w:w="1805"/>
          </w:tcPr>
          <w:p>
            <w:r>
              <w:rPr>
                <w:sz w:val="18"/>
              </w:rPr>
              <w:t>Complete</w:t>
            </w:r>
          </w:p>
        </w:tc>
      </w:tr>
      <w:tr>
        <w:tc>
          <w:tcPr>
            <w:tcW w:type="dxa" w:w="1805"/>
          </w:tcPr>
          <w:p>
            <w:r>
              <w:rPr>
                <w:sz w:val="18"/>
              </w:rPr>
              <w:t>Native-only</w:t>
            </w:r>
          </w:p>
        </w:tc>
        <w:tc>
          <w:tcPr>
            <w:tcW w:type="dxa" w:w="1805"/>
          </w:tcPr>
          <w:p>
            <w:r>
              <w:rPr>
                <w:sz w:val="18"/>
              </w:rPr>
              <w:t>Low</w:t>
            </w:r>
          </w:p>
        </w:tc>
        <w:tc>
          <w:tcPr>
            <w:tcW w:type="dxa" w:w="1805"/>
          </w:tcPr>
          <w:p>
            <w:r>
              <w:rPr>
                <w:sz w:val="18"/>
              </w:rPr>
              <w:t>No class signal</w:t>
            </w:r>
          </w:p>
        </w:tc>
        <w:tc>
          <w:tcPr>
            <w:tcW w:type="dxa" w:w="1805"/>
          </w:tcPr>
          <w:p>
            <w:r>
              <w:rPr>
                <w:sz w:val="18"/>
              </w:rPr>
              <w:t>Meaningless</w:t>
            </w:r>
          </w:p>
        </w:tc>
        <w:tc>
          <w:tcPr>
            <w:tcW w:type="dxa" w:w="1805"/>
          </w:tcPr>
          <w:p>
            <w:r>
              <w:rPr>
                <w:sz w:val="18"/>
              </w:rPr>
              <w:t>Limited</w:t>
            </w:r>
          </w:p>
        </w:tc>
      </w:tr>
      <w:tr>
        <w:tc>
          <w:tcPr>
            <w:tcW w:type="dxa" w:w="1805"/>
          </w:tcPr>
          <w:p>
            <w:r>
              <w:rPr>
                <w:sz w:val="18"/>
              </w:rPr>
              <w:t>Class-cond-only</w:t>
            </w:r>
          </w:p>
        </w:tc>
        <w:tc>
          <w:tcPr>
            <w:tcW w:type="dxa" w:w="1805"/>
          </w:tcPr>
          <w:p>
            <w:r>
              <w:rPr>
                <w:sz w:val="18"/>
              </w:rPr>
              <w:t>High</w:t>
            </w:r>
          </w:p>
        </w:tc>
        <w:tc>
          <w:tcPr>
            <w:tcW w:type="dxa" w:w="1805"/>
          </w:tcPr>
          <w:p>
            <w:r>
              <w:rPr>
                <w:sz w:val="18"/>
              </w:rPr>
              <w:t>Evidence-backed</w:t>
            </w:r>
          </w:p>
        </w:tc>
        <w:tc>
          <w:tcPr>
            <w:tcW w:type="dxa" w:w="1805"/>
          </w:tcPr>
          <w:p>
            <w:r>
              <w:rPr>
                <w:sz w:val="18"/>
              </w:rPr>
              <w:t>Partial</w:t>
            </w:r>
          </w:p>
        </w:tc>
        <w:tc>
          <w:tcPr>
            <w:tcW w:type="dxa" w:w="1805"/>
          </w:tcPr>
          <w:p>
            <w:r>
              <w:rPr>
                <w:sz w:val="18"/>
              </w:rPr>
              <w:t>Incomplete</w:t>
            </w:r>
          </w:p>
        </w:tc>
      </w:tr>
    </w:tbl>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Pr>
                <w:b/>
                <w:sz w:val="18"/>
              </w:rPr>
              <w:t>Removed Metric</w:t>
            </w:r>
          </w:p>
        </w:tc>
        <w:tc>
          <w:tcPr>
            <w:tcW w:type="dxa" w:w="2256"/>
          </w:tcPr>
          <w:p>
            <w:r>
              <w:rPr>
                <w:b/>
                <w:sz w:val="18"/>
              </w:rPr>
              <w:t>Detection Rate</w:t>
            </w:r>
          </w:p>
        </w:tc>
        <w:tc>
          <w:tcPr>
            <w:tcW w:type="dxa" w:w="2256"/>
          </w:tcPr>
          <w:p>
            <w:r>
              <w:rPr>
                <w:b/>
                <w:sz w:val="18"/>
              </w:rPr>
              <w:t>False Positive Rate</w:t>
            </w:r>
          </w:p>
        </w:tc>
        <w:tc>
          <w:tcPr>
            <w:tcW w:type="dxa" w:w="2256"/>
          </w:tcPr>
          <w:p>
            <w:r>
              <w:rPr>
                <w:b/>
                <w:sz w:val="18"/>
              </w:rPr>
              <w:t>Impact</w:t>
            </w:r>
          </w:p>
        </w:tc>
      </w:tr>
      <w:tr>
        <w:tc>
          <w:tcPr>
            <w:tcW w:type="dxa" w:w="2256"/>
          </w:tcPr>
          <w:p>
            <w:r>
              <w:rPr>
                <w:sz w:val="18"/>
              </w:rPr>
              <w:t>Full (all 5 metrics)</w:t>
            </w:r>
          </w:p>
        </w:tc>
        <w:tc>
          <w:tcPr>
            <w:tcW w:type="dxa" w:w="2256"/>
          </w:tcPr>
          <w:p>
            <w:r>
              <w:rPr>
                <w:sz w:val="18"/>
              </w:rPr>
              <w:t>75% (3/4 classes)</w:t>
            </w:r>
          </w:p>
        </w:tc>
        <w:tc>
          <w:tcPr>
            <w:tcW w:type="dxa" w:w="2256"/>
          </w:tcPr>
          <w:p>
            <w:r>
              <w:rPr>
                <w:sz w:val="18"/>
              </w:rPr>
              <w:t>0%</w:t>
            </w:r>
          </w:p>
        </w:tc>
        <w:tc>
          <w:tcPr>
            <w:tcW w:type="dxa" w:w="2256"/>
          </w:tcPr>
          <w:p>
            <w:r>
              <w:rPr>
                <w:sz w:val="18"/>
              </w:rPr>
              <w:t>Baseline</w:t>
            </w:r>
          </w:p>
        </w:tc>
      </w:tr>
      <w:tr>
        <w:tc>
          <w:tcPr>
            <w:tcW w:type="dxa" w:w="2256"/>
          </w:tcPr>
          <w:p>
            <w:r>
              <w:rPr>
                <w:sz w:val="18"/>
              </w:rPr>
              <w:t>Remove entropy</w:t>
            </w:r>
          </w:p>
        </w:tc>
        <w:tc>
          <w:tcPr>
            <w:tcW w:type="dxa" w:w="2256"/>
          </w:tcPr>
          <w:p>
            <w:r>
              <w:rPr>
                <w:sz w:val="18"/>
              </w:rPr>
              <w:t>75% (3/4)</w:t>
            </w:r>
          </w:p>
        </w:tc>
        <w:tc>
          <w:tcPr>
            <w:tcW w:type="dxa" w:w="2256"/>
          </w:tcPr>
          <w:p>
            <w:r>
              <w:rPr>
                <w:sz w:val="18"/>
              </w:rPr>
              <w:t>0%</w:t>
            </w:r>
          </w:p>
        </w:tc>
        <w:tc>
          <w:tcPr>
            <w:tcW w:type="dxa" w:w="2256"/>
          </w:tcPr>
          <w:p>
            <w:r>
              <w:rPr>
                <w:sz w:val="18"/>
              </w:rPr>
              <w:t>No change (entropy not used for screening)</w:t>
            </w:r>
          </w:p>
        </w:tc>
      </w:tr>
      <w:tr>
        <w:tc>
          <w:tcPr>
            <w:tcW w:type="dxa" w:w="2256"/>
          </w:tcPr>
          <w:p>
            <w:r>
              <w:rPr>
                <w:sz w:val="18"/>
              </w:rPr>
              <w:t>Remove obj_share</w:t>
            </w:r>
          </w:p>
        </w:tc>
        <w:tc>
          <w:tcPr>
            <w:tcW w:type="dxa" w:w="2256"/>
          </w:tcPr>
          <w:p>
            <w:r>
              <w:rPr>
                <w:sz w:val="18"/>
              </w:rPr>
              <w:t>0% (0/4)</w:t>
            </w:r>
          </w:p>
        </w:tc>
        <w:tc>
          <w:tcPr>
            <w:tcW w:type="dxa" w:w="2256"/>
          </w:tcPr>
          <w:p>
            <w:r>
              <w:rPr>
                <w:sz w:val="18"/>
              </w:rPr>
              <w:t>0%</w:t>
            </w:r>
          </w:p>
        </w:tc>
        <w:tc>
          <w:tcPr>
            <w:tcW w:type="dxa" w:w="2256"/>
          </w:tcPr>
          <w:p>
            <w:r>
              <w:rPr>
                <w:sz w:val="18"/>
              </w:rPr>
              <w:t>Critical: screening depends on obj/bg share</w:t>
            </w:r>
          </w:p>
        </w:tc>
      </w:tr>
      <w:tr>
        <w:tc>
          <w:tcPr>
            <w:tcW w:type="dxa" w:w="2256"/>
          </w:tcPr>
          <w:p>
            <w:r>
              <w:rPr>
                <w:sz w:val="18"/>
              </w:rPr>
              <w:t>Remove part_align</w:t>
            </w:r>
          </w:p>
        </w:tc>
        <w:tc>
          <w:tcPr>
            <w:tcW w:type="dxa" w:w="2256"/>
          </w:tcPr>
          <w:p>
            <w:r>
              <w:rPr>
                <w:sz w:val="18"/>
              </w:rPr>
              <w:t>75% (3/4)</w:t>
            </w:r>
          </w:p>
        </w:tc>
        <w:tc>
          <w:tcPr>
            <w:tcW w:type="dxa" w:w="2256"/>
          </w:tcPr>
          <w:p>
            <w:r>
              <w:rPr>
                <w:sz w:val="18"/>
              </w:rPr>
              <w:t>0%</w:t>
            </w:r>
          </w:p>
        </w:tc>
        <w:tc>
          <w:tcPr>
            <w:tcW w:type="dxa" w:w="2256"/>
          </w:tcPr>
          <w:p>
            <w:r>
              <w:rPr>
                <w:sz w:val="18"/>
              </w:rPr>
              <w:t>No change (part_align not used for screening)</w:t>
            </w:r>
          </w:p>
        </w:tc>
      </w:tr>
      <w:tr>
        <w:tc>
          <w:tcPr>
            <w:tcW w:type="dxa" w:w="2256"/>
          </w:tcPr>
          <w:p>
            <w:r>
              <w:rPr>
                <w:sz w:val="18"/>
              </w:rPr>
              <w:t>Remove bg_sensitivity</w:t>
            </w:r>
          </w:p>
        </w:tc>
        <w:tc>
          <w:tcPr>
            <w:tcW w:type="dxa" w:w="2256"/>
          </w:tcPr>
          <w:p>
            <w:r>
              <w:rPr>
                <w:sz w:val="18"/>
              </w:rPr>
              <w:t>0% (0/4)</w:t>
            </w:r>
          </w:p>
        </w:tc>
        <w:tc>
          <w:tcPr>
            <w:tcW w:type="dxa" w:w="2256"/>
          </w:tcPr>
          <w:p>
            <w:r>
              <w:rPr>
                <w:sz w:val="18"/>
              </w:rPr>
              <w:t>0%</w:t>
            </w:r>
          </w:p>
        </w:tc>
        <w:tc>
          <w:tcPr>
            <w:tcW w:type="dxa" w:w="2256"/>
          </w:tcPr>
          <w:p>
            <w:r>
              <w:rPr>
                <w:sz w:val="18"/>
              </w:rPr>
              <w:t>Critical: complement of obj_share</w:t>
            </w:r>
          </w:p>
        </w:tc>
      </w:tr>
      <w:tr>
        <w:tc>
          <w:tcPr>
            <w:tcW w:type="dxa" w:w="2256"/>
          </w:tcPr>
          <w:p>
            <w:r>
              <w:rPr>
                <w:sz w:val="18"/>
              </w:rPr>
              <w:t>Remove intervention</w:t>
            </w:r>
          </w:p>
        </w:tc>
        <w:tc>
          <w:tcPr>
            <w:tcW w:type="dxa" w:w="2256"/>
          </w:tcPr>
          <w:p>
            <w:r>
              <w:rPr>
                <w:sz w:val="18"/>
              </w:rPr>
              <w:t>75% (3/4)</w:t>
            </w:r>
          </w:p>
        </w:tc>
        <w:tc>
          <w:tcPr>
            <w:tcW w:type="dxa" w:w="2256"/>
          </w:tcPr>
          <w:p>
            <w:r>
              <w:rPr>
                <w:sz w:val="18"/>
              </w:rPr>
              <w:t>0%</w:t>
            </w:r>
          </w:p>
        </w:tc>
        <w:tc>
          <w:tcPr>
            <w:tcW w:type="dxa" w:w="2256"/>
          </w:tcPr>
          <w:p>
            <w:r>
              <w:rPr>
                <w:sz w:val="18"/>
              </w:rPr>
              <w:t>No change in detection; weaker evidence</w:t>
            </w:r>
          </w:p>
        </w:tc>
      </w:tr>
    </w:tbl>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Pr>
                <w:b/>
                <w:sz w:val="18"/>
              </w:rPr>
              <w:t>Threshold</w:t>
            </w:r>
          </w:p>
        </w:tc>
        <w:tc>
          <w:tcPr>
            <w:tcW w:type="dxa" w:w="2256"/>
          </w:tcPr>
          <w:p>
            <w:r>
              <w:rPr>
                <w:b/>
                <w:sz w:val="18"/>
              </w:rPr>
              <w:t>Classes Flagged</w:t>
            </w:r>
          </w:p>
        </w:tc>
        <w:tc>
          <w:tcPr>
            <w:tcW w:type="dxa" w:w="2256"/>
          </w:tcPr>
          <w:p>
            <w:r>
              <w:rPr>
                <w:b/>
                <w:sz w:val="18"/>
              </w:rPr>
              <w:t>True Positives</w:t>
            </w:r>
          </w:p>
        </w:tc>
        <w:tc>
          <w:tcPr>
            <w:tcW w:type="dxa" w:w="2256"/>
          </w:tcPr>
          <w:p>
            <w:r>
              <w:rPr>
                <w:b/>
                <w:sz w:val="18"/>
              </w:rPr>
              <w:t>False Positives</w:t>
            </w:r>
          </w:p>
        </w:tc>
      </w:tr>
      <w:tr>
        <w:tc>
          <w:tcPr>
            <w:tcW w:type="dxa" w:w="2256"/>
          </w:tcPr>
          <w:p>
            <w:r>
              <w:rPr>
                <w:sz w:val="18"/>
              </w:rPr>
              <w:t>0.00</w:t>
            </w:r>
          </w:p>
        </w:tc>
        <w:tc>
          <w:tcPr>
            <w:tcW w:type="dxa" w:w="2256"/>
          </w:tcPr>
          <w:p>
            <w:r>
              <w:rPr>
                <w:sz w:val="18"/>
              </w:rPr>
              <w:t>4 (all)</w:t>
            </w:r>
          </w:p>
        </w:tc>
        <w:tc>
          <w:tcPr>
            <w:tcW w:type="dxa" w:w="2256"/>
          </w:tcPr>
          <w:p>
            <w:r>
              <w:rPr>
                <w:sz w:val="18"/>
              </w:rPr>
              <w:t>3</w:t>
            </w:r>
          </w:p>
        </w:tc>
        <w:tc>
          <w:tcPr>
            <w:tcW w:type="dxa" w:w="2256"/>
          </w:tcPr>
          <w:p>
            <w:r>
              <w:rPr>
                <w:sz w:val="18"/>
              </w:rPr>
              <w:t>1 (class_3 over-flagged)</w:t>
            </w:r>
          </w:p>
        </w:tc>
      </w:tr>
      <w:tr>
        <w:tc>
          <w:tcPr>
            <w:tcW w:type="dxa" w:w="2256"/>
          </w:tcPr>
          <w:p>
            <w:r>
              <w:rPr>
                <w:sz w:val="18"/>
              </w:rPr>
              <w:t>0.05 (default)</w:t>
            </w:r>
          </w:p>
        </w:tc>
        <w:tc>
          <w:tcPr>
            <w:tcW w:type="dxa" w:w="2256"/>
          </w:tcPr>
          <w:p>
            <w:r>
              <w:rPr>
                <w:sz w:val="18"/>
              </w:rPr>
              <w:t>3</w:t>
            </w:r>
          </w:p>
        </w:tc>
        <w:tc>
          <w:tcPr>
            <w:tcW w:type="dxa" w:w="2256"/>
          </w:tcPr>
          <w:p>
            <w:r>
              <w:rPr>
                <w:sz w:val="18"/>
              </w:rPr>
              <w:t>3</w:t>
            </w:r>
          </w:p>
        </w:tc>
        <w:tc>
          <w:tcPr>
            <w:tcW w:type="dxa" w:w="2256"/>
          </w:tcPr>
          <w:p>
            <w:r>
              <w:rPr>
                <w:sz w:val="18"/>
              </w:rPr>
              <w:t>0</w:t>
            </w:r>
          </w:p>
        </w:tc>
      </w:tr>
      <w:tr>
        <w:tc>
          <w:tcPr>
            <w:tcW w:type="dxa" w:w="2256"/>
          </w:tcPr>
          <w:p>
            <w:r>
              <w:rPr>
                <w:sz w:val="18"/>
              </w:rPr>
              <w:t>0.10</w:t>
            </w:r>
          </w:p>
        </w:tc>
        <w:tc>
          <w:tcPr>
            <w:tcW w:type="dxa" w:w="2256"/>
          </w:tcPr>
          <w:p>
            <w:r>
              <w:rPr>
                <w:sz w:val="18"/>
              </w:rPr>
              <w:t>3</w:t>
            </w:r>
          </w:p>
        </w:tc>
        <w:tc>
          <w:tcPr>
            <w:tcW w:type="dxa" w:w="2256"/>
          </w:tcPr>
          <w:p>
            <w:r>
              <w:rPr>
                <w:sz w:val="18"/>
              </w:rPr>
              <w:t>3</w:t>
            </w:r>
          </w:p>
        </w:tc>
        <w:tc>
          <w:tcPr>
            <w:tcW w:type="dxa" w:w="2256"/>
          </w:tcPr>
          <w:p>
            <w:r>
              <w:rPr>
                <w:sz w:val="18"/>
              </w:rPr>
              <w:t>0</w:t>
            </w:r>
          </w:p>
        </w:tc>
      </w:tr>
      <w:tr>
        <w:tc>
          <w:tcPr>
            <w:tcW w:type="dxa" w:w="2256"/>
          </w:tcPr>
          <w:p>
            <w:r>
              <w:rPr>
                <w:sz w:val="18"/>
              </w:rPr>
              <w:t>0.15</w:t>
            </w:r>
          </w:p>
        </w:tc>
        <w:tc>
          <w:tcPr>
            <w:tcW w:type="dxa" w:w="2256"/>
          </w:tcPr>
          <w:p>
            <w:r>
              <w:rPr>
                <w:sz w:val="18"/>
              </w:rPr>
              <w:t>3</w:t>
            </w:r>
          </w:p>
        </w:tc>
        <w:tc>
          <w:tcPr>
            <w:tcW w:type="dxa" w:w="2256"/>
          </w:tcPr>
          <w:p>
            <w:r>
              <w:rPr>
                <w:sz w:val="18"/>
              </w:rPr>
              <w:t>3</w:t>
            </w:r>
          </w:p>
        </w:tc>
        <w:tc>
          <w:tcPr>
            <w:tcW w:type="dxa" w:w="2256"/>
          </w:tcPr>
          <w:p>
            <w:r>
              <w:rPr>
                <w:sz w:val="18"/>
              </w:rPr>
              <w:t>0</w:t>
            </w:r>
          </w:p>
        </w:tc>
      </w:tr>
      <w:tr>
        <w:tc>
          <w:tcPr>
            <w:tcW w:type="dxa" w:w="2256"/>
          </w:tcPr>
          <w:p>
            <w:r>
              <w:rPr>
                <w:sz w:val="18"/>
              </w:rPr>
              <w:t>0.20</w:t>
            </w:r>
          </w:p>
        </w:tc>
        <w:tc>
          <w:tcPr>
            <w:tcW w:type="dxa" w:w="2256"/>
          </w:tcPr>
          <w:p>
            <w:r>
              <w:rPr>
                <w:sz w:val="18"/>
              </w:rPr>
              <w:t>2</w:t>
            </w:r>
          </w:p>
        </w:tc>
        <w:tc>
          <w:tcPr>
            <w:tcW w:type="dxa" w:w="2256"/>
          </w:tcPr>
          <w:p>
            <w:r>
              <w:rPr>
                <w:sz w:val="18"/>
              </w:rPr>
              <w:t>2</w:t>
            </w:r>
          </w:p>
        </w:tc>
        <w:tc>
          <w:tcPr>
            <w:tcW w:type="dxa" w:w="2256"/>
          </w:tcPr>
          <w:p>
            <w:r>
              <w:rPr>
                <w:sz w:val="18"/>
              </w:rPr>
              <w:t>0 (class_0 missed)</w:t>
            </w:r>
          </w:p>
        </w:tc>
      </w:tr>
    </w:tbl>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Pr>
                <w:b/>
                <w:sz w:val="18"/>
              </w:rPr>
              <w:t>Strategy</w:t>
            </w:r>
          </w:p>
        </w:tc>
        <w:tc>
          <w:tcPr>
            <w:tcW w:type="dxa" w:w="2256"/>
          </w:tcPr>
          <w:p>
            <w:r>
              <w:rPr>
                <w:b/>
                <w:sz w:val="18"/>
              </w:rPr>
              <w:t>Mean Logit Delta (bg mask)</w:t>
            </w:r>
          </w:p>
        </w:tc>
        <w:tc>
          <w:tcPr>
            <w:tcW w:type="dxa" w:w="2256"/>
          </w:tcPr>
          <w:p>
            <w:r>
              <w:rPr>
                <w:b/>
                <w:sz w:val="18"/>
              </w:rPr>
              <w:t>Mean Logit Delta (obj mask)</w:t>
            </w:r>
          </w:p>
        </w:tc>
        <w:tc>
          <w:tcPr>
            <w:tcW w:type="dxa" w:w="2256"/>
          </w:tcPr>
          <w:p>
            <w:r>
              <w:rPr>
                <w:b/>
                <w:sz w:val="18"/>
              </w:rPr>
              <w:t>Interpretability</w:t>
            </w:r>
          </w:p>
        </w:tc>
      </w:tr>
      <w:tr>
        <w:tc>
          <w:tcPr>
            <w:tcW w:type="dxa" w:w="2256"/>
          </w:tcPr>
          <w:p>
            <w:r>
              <w:rPr>
                <w:sz w:val="18"/>
              </w:rPr>
              <w:t>Zero-fill</w:t>
            </w:r>
          </w:p>
        </w:tc>
        <w:tc>
          <w:tcPr>
            <w:tcW w:type="dxa" w:w="2256"/>
          </w:tcPr>
          <w:p>
            <w:r>
              <w:rPr>
                <w:sz w:val="18"/>
              </w:rPr>
              <w:t>2.1</w:t>
            </w:r>
          </w:p>
        </w:tc>
        <w:tc>
          <w:tcPr>
            <w:tcW w:type="dxa" w:w="2256"/>
          </w:tcPr>
          <w:p>
            <w:r>
              <w:rPr>
                <w:sz w:val="18"/>
              </w:rPr>
              <w:t>0.05</w:t>
            </w:r>
          </w:p>
        </w:tc>
        <w:tc>
          <w:tcPr>
            <w:tcW w:type="dxa" w:w="2256"/>
          </w:tcPr>
          <w:p>
            <w:r>
              <w:rPr>
                <w:sz w:val="18"/>
              </w:rPr>
              <w:t>Best: clean removal of information</w:t>
            </w:r>
          </w:p>
        </w:tc>
      </w:tr>
      <w:tr>
        <w:tc>
          <w:tcPr>
            <w:tcW w:type="dxa" w:w="2256"/>
          </w:tcPr>
          <w:p>
            <w:r>
              <w:rPr>
                <w:sz w:val="18"/>
              </w:rPr>
              <w:t>Noise injection</w:t>
            </w:r>
          </w:p>
        </w:tc>
        <w:tc>
          <w:tcPr>
            <w:tcW w:type="dxa" w:w="2256"/>
          </w:tcPr>
          <w:p>
            <w:r>
              <w:rPr>
                <w:sz w:val="18"/>
              </w:rPr>
              <w:t>1.8</w:t>
            </w:r>
          </w:p>
        </w:tc>
        <w:tc>
          <w:tcPr>
            <w:tcW w:type="dxa" w:w="2256"/>
          </w:tcPr>
          <w:p>
            <w:r>
              <w:rPr>
                <w:sz w:val="18"/>
              </w:rPr>
              <w:t>0.12</w:t>
            </w:r>
          </w:p>
        </w:tc>
        <w:tc>
          <w:tcPr>
            <w:tcW w:type="dxa" w:w="2256"/>
          </w:tcPr>
          <w:p>
            <w:r>
              <w:rPr>
                <w:sz w:val="18"/>
              </w:rPr>
              <w:t>Good: but noise may add artifacts</w:t>
            </w:r>
          </w:p>
        </w:tc>
      </w:tr>
      <w:tr>
        <w:tc>
          <w:tcPr>
            <w:tcW w:type="dxa" w:w="2256"/>
          </w:tcPr>
          <w:p>
            <w:r>
              <w:rPr>
                <w:sz w:val="18"/>
              </w:rPr>
              <w:t>Box-average blur</w:t>
            </w:r>
          </w:p>
        </w:tc>
        <w:tc>
          <w:tcPr>
            <w:tcW w:type="dxa" w:w="2256"/>
          </w:tcPr>
          <w:p>
            <w:r>
              <w:rPr>
                <w:sz w:val="18"/>
              </w:rPr>
              <w:t>1.4</w:t>
            </w:r>
          </w:p>
        </w:tc>
        <w:tc>
          <w:tcPr>
            <w:tcW w:type="dxa" w:w="2256"/>
          </w:tcPr>
          <w:p>
            <w:r>
              <w:rPr>
                <w:sz w:val="18"/>
              </w:rPr>
              <w:t>0.08</w:t>
            </w:r>
          </w:p>
        </w:tc>
        <w:tc>
          <w:tcPr>
            <w:tcW w:type="dxa" w:w="2256"/>
          </w:tcPr>
          <w:p>
            <w:r>
              <w:rPr>
                <w:sz w:val="18"/>
              </w:rPr>
              <w:t>Moderate: preserves some statistics</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