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Times New Roman" w:hAnsi="Times New Roman"/>
          <w:b/>
          <w:i w:val="0"/>
          <w:sz w:val="32"/>
        </w:rPr>
        <w:t>2. Literature Review</w:t>
      </w:r>
    </w:p>
    <w:p>
      <w:pPr>
        <w:spacing w:after="160" w:line="276" w:lineRule="auto"/>
        <w:ind w:firstLine="0"/>
        <w:jc w:val="both"/>
      </w:pPr>
      <w:r>
        <w:rPr>
          <w:rFonts w:ascii="Times New Roman" w:hAnsi="Times New Roman"/>
          <w:b w:val="0"/>
          <w:i w:val="0"/>
          <w:sz w:val="22"/>
        </w:rPr>
        <w:t>This section presents a comprehensive review of existing work in explainable artificial intelligence (XAI) for computer vision, covering gradient-based attribution methods, perturbation-based approaches, attention visualization techniques for Vision Transformers, spurious correlation detection, and existing XAI toolkits. The review identifies the research gaps that motivate the development of AttentionLens.</w:t>
      </w:r>
    </w:p>
    <w:p>
      <w:pPr>
        <w:spacing w:before="360" w:after="200"/>
      </w:pPr>
      <w:r>
        <w:rPr>
          <w:rFonts w:ascii="Times New Roman" w:hAnsi="Times New Roman"/>
          <w:b/>
          <w:i w:val="0"/>
          <w:sz w:val="24"/>
        </w:rPr>
        <w:t>2.1 Gradient-Based Attribution Methods</w:t>
      </w:r>
    </w:p>
    <w:p>
      <w:pPr>
        <w:spacing w:after="160" w:line="276" w:lineRule="auto"/>
        <w:ind w:firstLine="0"/>
        <w:jc w:val="both"/>
      </w:pPr>
      <w:r>
        <w:rPr>
          <w:rFonts w:ascii="Times New Roman" w:hAnsi="Times New Roman"/>
          <w:b w:val="0"/>
          <w:i w:val="0"/>
          <w:sz w:val="22"/>
        </w:rPr>
        <w:t>Gradient-based attribution methods compute the importance of each input feature (pixel or region) by analyzing the gradient of the model's output with respect to the input. These methods leverage the fact that deep neural networks are differentiable, allowing backpropagation to trace which input regions most influence a given prediction.</w:t>
      </w:r>
    </w:p>
    <w:p>
      <w:pPr>
        <w:spacing w:before="280" w:after="160"/>
      </w:pPr>
      <w:r>
        <w:rPr>
          <w:rFonts w:ascii="Times New Roman" w:hAnsi="Times New Roman"/>
          <w:b/>
          <w:i w:val="0"/>
          <w:sz w:val="22"/>
        </w:rPr>
        <w:t>2.1.1 Saliency Maps and Gradient × Input</w:t>
      </w:r>
    </w:p>
    <w:p>
      <w:pPr>
        <w:spacing w:after="160" w:line="276" w:lineRule="auto"/>
        <w:ind w:firstLine="0"/>
        <w:jc w:val="both"/>
      </w:pPr>
      <w:r>
        <w:rPr>
          <w:rFonts w:ascii="Times New Roman" w:hAnsi="Times New Roman"/>
          <w:b w:val="0"/>
          <w:i w:val="0"/>
          <w:sz w:val="22"/>
        </w:rPr>
        <w:t>The earliest gradient-based approach is the saliency map introduced by Simonyan et al. (2013), which computes the gradient of the target class score with respect to each input pixel. The saliency map S is defined as:</w:t>
      </w:r>
    </w:p>
    <w:p>
      <w:pPr>
        <w:spacing w:before="160" w:after="80"/>
        <w:jc w:val="center"/>
      </w:pPr>
      <w:r>
        <w:rPr>
          <w:rFonts w:ascii="Times New Roman" w:hAnsi="Times New Roman"/>
          <w:b w:val="0"/>
          <w:i/>
          <w:sz w:val="22"/>
        </w:rPr>
        <w:t>S_ij = ∂y/∂x_ij</w:t>
      </w:r>
    </w:p>
    <w:p>
      <w:pPr>
        <w:spacing w:after="160"/>
        <w:jc w:val="right"/>
      </w:pPr>
      <w:r>
        <w:rPr>
          <w:rFonts w:ascii="Times New Roman" w:hAnsi="Times New Roman"/>
          <w:b w:val="0"/>
          <w:i w:val="0"/>
          <w:sz w:val="20"/>
        </w:rPr>
        <w:t>(2.1)</w:t>
      </w:r>
    </w:p>
    <w:p>
      <w:pPr>
        <w:spacing w:after="160" w:line="276" w:lineRule="auto"/>
        <w:ind w:firstLine="0"/>
        <w:jc w:val="both"/>
      </w:pPr>
      <w:r>
        <w:rPr>
          <w:rFonts w:ascii="Times New Roman" w:hAnsi="Times New Roman"/>
          <w:b w:val="0"/>
          <w:i w:val="0"/>
          <w:sz w:val="22"/>
        </w:rPr>
        <w:t>where y is the output score for the target class and x_ij is the pixel at position (i,j). While intuitive, raw saliency maps are often noisy and difficult to interpret. Gradient × Input (Kindermans et al., 2016) improves upon this by multiplying the gradient by the input itself, giving higher importance to pixels that are both non-zero and have high gradient magnitude.</w:t>
      </w:r>
    </w:p>
    <w:p>
      <w:pPr>
        <w:spacing w:before="280" w:after="160"/>
      </w:pPr>
      <w:r>
        <w:rPr>
          <w:rFonts w:ascii="Times New Roman" w:hAnsi="Times New Roman"/>
          <w:b/>
          <w:i w:val="0"/>
          <w:sz w:val="22"/>
        </w:rPr>
        <w:t>2.1.2 Grad-CAM and Variants</w:t>
      </w:r>
    </w:p>
    <w:p>
      <w:pPr>
        <w:spacing w:after="160" w:line="276" w:lineRule="auto"/>
        <w:ind w:firstLine="0"/>
        <w:jc w:val="both"/>
      </w:pPr>
      <w:r>
        <w:rPr>
          <w:rFonts w:ascii="Times New Roman" w:hAnsi="Times New Roman"/>
          <w:b w:val="0"/>
          <w:i w:val="0"/>
          <w:sz w:val="22"/>
        </w:rPr>
        <w:t>Gradient-weighted Class Activation Mapping (Grad-CAM), introduced by Selvaraju et al. (2017), is one of the most widely used attribution methods for CNNs. Grad-CAM computes the importance of each channel in the final convolutional layer by globally averaging the gradients, then producing a coarse localization map highlighting important regions. The Grad-CAM importance weight α_k for channel k is computed as:</w:t>
      </w:r>
    </w:p>
    <w:p>
      <w:pPr>
        <w:spacing w:before="160" w:after="80"/>
        <w:jc w:val="center"/>
      </w:pPr>
      <w:r>
        <w:rPr>
          <w:rFonts w:ascii="Times New Roman" w:hAnsi="Times New Roman"/>
          <w:b w:val="0"/>
          <w:i/>
          <w:sz w:val="22"/>
        </w:rPr>
        <w:t>α_k = (1/Z) Σ_i Σ_j ∂y/∂A^k_ij</w:t>
      </w:r>
    </w:p>
    <w:p>
      <w:pPr>
        <w:spacing w:after="160"/>
        <w:jc w:val="right"/>
      </w:pPr>
      <w:r>
        <w:rPr>
          <w:rFonts w:ascii="Times New Roman" w:hAnsi="Times New Roman"/>
          <w:b w:val="0"/>
          <w:i w:val="0"/>
          <w:sz w:val="20"/>
        </w:rPr>
        <w:t>(2.2)</w:t>
      </w:r>
    </w:p>
    <w:p>
      <w:pPr>
        <w:spacing w:after="160" w:line="276" w:lineRule="auto"/>
        <w:ind w:firstLine="0"/>
        <w:jc w:val="both"/>
      </w:pPr>
      <w:r>
        <w:rPr>
          <w:rFonts w:ascii="Times New Roman" w:hAnsi="Times New Roman"/>
          <w:b w:val="0"/>
          <w:i w:val="0"/>
          <w:sz w:val="22"/>
        </w:rPr>
        <w:t>where A^k_ij is the activation map at position (i,j) for channel k, y is the target class score, and Z is the number of pixels in the feature map. The final Grad-CAM heatmap is then:</w:t>
      </w:r>
    </w:p>
    <w:p>
      <w:pPr>
        <w:spacing w:before="160" w:after="80"/>
        <w:jc w:val="center"/>
      </w:pPr>
      <w:r>
        <w:rPr>
          <w:rFonts w:ascii="Times New Roman" w:hAnsi="Times New Roman"/>
          <w:b w:val="0"/>
          <w:i/>
          <w:sz w:val="22"/>
        </w:rPr>
        <w:t>α Grad-CAM = ReLU(Σ_k α_k A^k)</w:t>
      </w:r>
    </w:p>
    <w:p>
      <w:pPr>
        <w:spacing w:after="160"/>
        <w:jc w:val="right"/>
      </w:pPr>
      <w:r>
        <w:rPr>
          <w:rFonts w:ascii="Times New Roman" w:hAnsi="Times New Roman"/>
          <w:b w:val="0"/>
          <w:i w:val="0"/>
          <w:sz w:val="20"/>
        </w:rPr>
        <w:t>(2.3)</w:t>
      </w:r>
    </w:p>
    <w:p>
      <w:pPr>
        <w:spacing w:after="160" w:line="276" w:lineRule="auto"/>
        <w:ind w:firstLine="0"/>
        <w:jc w:val="both"/>
      </w:pPr>
      <w:r>
        <w:rPr>
          <w:rFonts w:ascii="Times New Roman" w:hAnsi="Times New Roman"/>
          <w:b w:val="0"/>
          <w:i w:val="0"/>
          <w:sz w:val="22"/>
        </w:rPr>
        <w:t>The ReLU operation retains only features that have a positive influence on the class of interest, discarding negative contributions that may belong to other classes. Grad-CAM has inspired numerous variants: Guided Grad-CAM combines Grad-CAM with guided backpropagation for higher resolution; Grad-CAM++ improves localization by using weighted combinations of positive gradients; Score-CAM replaces gradients with score-based weights; Eigen-CAM uses principal component analysis on feature maps; and HiResCAM provides guaranteed faithful explanations by avoiding the averaging step that can cancel out important features.</w:t>
      </w:r>
    </w:p>
    <w:p>
      <w:pPr>
        <w:spacing w:after="160" w:line="276" w:lineRule="auto"/>
        <w:ind w:firstLine="0"/>
        <w:jc w:val="both"/>
      </w:pPr>
      <w:r>
        <w:rPr>
          <w:rFonts w:ascii="Times New Roman" w:hAnsi="Times New Roman"/>
          <w:b w:val="0"/>
          <w:i w:val="0"/>
          <w:sz w:val="22"/>
        </w:rPr>
        <w:t>While Grad-CAM and its variants are effective for CNNs, they require convolutional layers with spatial structure and cannot be directly applied to Vision Transformers, which lack convolutional layers entirely. This architectural limitation motivates the need for architecture-agnostic explanation methods.</w:t>
      </w:r>
    </w:p>
    <w:p>
      <w:pPr>
        <w:spacing w:before="360" w:after="200"/>
      </w:pPr>
      <w:r>
        <w:rPr>
          <w:rFonts w:ascii="Times New Roman" w:hAnsi="Times New Roman"/>
          <w:b/>
          <w:i w:val="0"/>
          <w:sz w:val="24"/>
        </w:rPr>
        <w:t>2.2 Perturbation-Based Methods</w:t>
      </w:r>
    </w:p>
    <w:p>
      <w:pPr>
        <w:spacing w:after="160" w:line="276" w:lineRule="auto"/>
        <w:ind w:firstLine="0"/>
        <w:jc w:val="both"/>
      </w:pPr>
      <w:r>
        <w:rPr>
          <w:rFonts w:ascii="Times New Roman" w:hAnsi="Times New Roman"/>
          <w:b w:val="0"/>
          <w:i w:val="0"/>
          <w:sz w:val="22"/>
        </w:rPr>
        <w:t>Perturbation-based methods estimate feature importance by observing how the model's output changes when input features are systematically perturbed (masked, occluded, or noised). These methods are model-agnostic and can be applied to any black-box model, but they are computationally expensive as they require multiple forward passes.</w:t>
      </w:r>
    </w:p>
    <w:p>
      <w:pPr>
        <w:spacing w:before="280" w:after="160"/>
      </w:pPr>
      <w:r>
        <w:rPr>
          <w:rFonts w:ascii="Times New Roman" w:hAnsi="Times New Roman"/>
          <w:b/>
          <w:i w:val="0"/>
          <w:sz w:val="22"/>
        </w:rPr>
        <w:t>2.2.1 LIME (Local Interpretable Model-agnostic Explanations)</w:t>
      </w:r>
    </w:p>
    <w:p>
      <w:pPr>
        <w:spacing w:after="160" w:line="276" w:lineRule="auto"/>
        <w:ind w:firstLine="0"/>
        <w:jc w:val="both"/>
      </w:pPr>
      <w:r>
        <w:rPr>
          <w:rFonts w:ascii="Times New Roman" w:hAnsi="Times New Roman"/>
          <w:b w:val="0"/>
          <w:i w:val="0"/>
          <w:sz w:val="22"/>
        </w:rPr>
        <w:t>LIME, introduced by Ribeiro et al. (2016), explains individual predictions by learning a local interpretable model (typically linear) around the prediction. For image classification, LIME superpixels the image into segments, then generates perturbed samples by randomly turning segments on or off. It fits a weighted linear model to these perturbed samples, where the weights are based on proximity to the original image. The LIME explanation is defined as:</w:t>
      </w:r>
    </w:p>
    <w:p>
      <w:pPr>
        <w:spacing w:before="160" w:after="80"/>
        <w:jc w:val="center"/>
      </w:pPr>
      <w:r>
        <w:rPr>
          <w:rFonts w:ascii="Times New Roman" w:hAnsi="Times New Roman"/>
          <w:b w:val="0"/>
          <w:i/>
          <w:sz w:val="22"/>
        </w:rPr>
        <w:t>ξ(x) = argmin_g∈G L(f, g, π_x) + Ω(g)</w:t>
      </w:r>
    </w:p>
    <w:p>
      <w:pPr>
        <w:spacing w:after="160"/>
        <w:jc w:val="right"/>
      </w:pPr>
      <w:r>
        <w:rPr>
          <w:rFonts w:ascii="Times New Roman" w:hAnsi="Times New Roman"/>
          <w:b w:val="0"/>
          <w:i w:val="0"/>
          <w:sz w:val="20"/>
        </w:rPr>
        <w:t>(2.4)</w:t>
      </w:r>
    </w:p>
    <w:p>
      <w:pPr>
        <w:spacing w:after="160" w:line="276" w:lineRule="auto"/>
        <w:ind w:firstLine="0"/>
        <w:jc w:val="both"/>
      </w:pPr>
      <w:r>
        <w:rPr>
          <w:rFonts w:ascii="Times New Roman" w:hAnsi="Times New Roman"/>
          <w:b w:val="0"/>
          <w:i w:val="0"/>
          <w:sz w:val="22"/>
        </w:rPr>
        <w:t>where f is the original complex model, g is the interpretable model from class G, π_x is a proximity measure around instance x, L is a loss function measuring how well g approximates f in the locality defined by π_x, and Ω is a complexity penalty. LIME provides locally faithful explanations but suffers from instability: different random seeds can produce substantially different explanations for the same input.</w:t>
      </w:r>
    </w:p>
    <w:p>
      <w:pPr>
        <w:spacing w:before="280" w:after="160"/>
      </w:pPr>
      <w:r>
        <w:rPr>
          <w:rFonts w:ascii="Times New Roman" w:hAnsi="Times New Roman"/>
          <w:b/>
          <w:i w:val="0"/>
          <w:sz w:val="22"/>
        </w:rPr>
        <w:t>2.2.2 SHAP (SHapley Additive exPlanations)</w:t>
      </w:r>
    </w:p>
    <w:p>
      <w:pPr>
        <w:spacing w:after="160" w:line="276" w:lineRule="auto"/>
        <w:ind w:firstLine="0"/>
        <w:jc w:val="both"/>
      </w:pPr>
      <w:r>
        <w:rPr>
          <w:rFonts w:ascii="Times New Roman" w:hAnsi="Times New Roman"/>
          <w:b w:val="0"/>
          <w:i w:val="0"/>
          <w:sz w:val="22"/>
        </w:rPr>
        <w:t>SHAP, introduced by Lundberg and Lee (2017), is grounded in cooperative game theory. It assigns each feature an importance value (Shapley value) that represents its marginal contribution to the prediction across all possible coalitions of features. The Shapley value φ_i for feature i is computed as:</w:t>
      </w:r>
    </w:p>
    <w:p>
      <w:pPr>
        <w:spacing w:before="160" w:after="80"/>
        <w:jc w:val="center"/>
      </w:pPr>
      <w:r>
        <w:rPr>
          <w:rFonts w:ascii="Times New Roman" w:hAnsi="Times New Roman"/>
          <w:b w:val="0"/>
          <w:i/>
          <w:sz w:val="22"/>
        </w:rPr>
        <w:t>φ_i = Σ_{S⊆N\{i}} |S|!(|N|-|S|-1)!/|N|! [f(S∪{i}) - f(S)]</w:t>
      </w:r>
    </w:p>
    <w:p>
      <w:pPr>
        <w:spacing w:after="160"/>
        <w:jc w:val="right"/>
      </w:pPr>
      <w:r>
        <w:rPr>
          <w:rFonts w:ascii="Times New Roman" w:hAnsi="Times New Roman"/>
          <w:b w:val="0"/>
          <w:i w:val="0"/>
          <w:sz w:val="20"/>
        </w:rPr>
        <w:t>(2.5)</w:t>
      </w:r>
    </w:p>
    <w:p>
      <w:pPr>
        <w:spacing w:after="160" w:line="276" w:lineRule="auto"/>
        <w:ind w:firstLine="0"/>
        <w:jc w:val="both"/>
      </w:pPr>
      <w:r>
        <w:rPr>
          <w:rFonts w:ascii="Times New Roman" w:hAnsi="Times New Roman"/>
          <w:b w:val="0"/>
          <w:i w:val="0"/>
          <w:sz w:val="22"/>
        </w:rPr>
        <w:t>where N is the set of all features, S is a subset of features not including i, and f(S) is the model output for coalition S. SHAP provides theoretically guaranteed properties: local accuracy, missingness, and consistency. However, computing exact Shapley values is NP-hard, requiring approximations. For images, SHAP typically operates on superpixels rather than individual pixels, and Kernel SHAP uses a weighted linear regression to estimate Shapley values efficiently.</w:t>
      </w:r>
    </w:p>
    <w:p>
      <w:pPr>
        <w:spacing w:before="360" w:after="200"/>
      </w:pPr>
      <w:r>
        <w:rPr>
          <w:rFonts w:ascii="Times New Roman" w:hAnsi="Times New Roman"/>
          <w:b/>
          <w:i w:val="0"/>
          <w:sz w:val="24"/>
        </w:rPr>
        <w:t>2.3 Attention Visualization for Vision Transformers</w:t>
      </w:r>
    </w:p>
    <w:p>
      <w:pPr>
        <w:spacing w:after="160" w:line="276" w:lineRule="auto"/>
        <w:ind w:firstLine="0"/>
        <w:jc w:val="both"/>
      </w:pPr>
      <w:r>
        <w:rPr>
          <w:rFonts w:ascii="Times New Roman" w:hAnsi="Times New Roman"/>
          <w:b w:val="0"/>
          <w:i w:val="0"/>
          <w:sz w:val="22"/>
        </w:rPr>
        <w:t>Vision Transformers (ViTs) process images as sequences of patches through self-attention layers. Each attention layer computes attention weights that determine how much each patch attends to every other patch. These attention weights provide a natural starting point for explainability, as they directly encode the information flow through the model.</w:t>
      </w:r>
    </w:p>
    <w:p>
      <w:pPr>
        <w:spacing w:before="280" w:after="160"/>
      </w:pPr>
      <w:r>
        <w:rPr>
          <w:rFonts w:ascii="Times New Roman" w:hAnsi="Times New Roman"/>
          <w:b/>
          <w:i w:val="0"/>
          <w:sz w:val="22"/>
        </w:rPr>
        <w:t>2.3.1 Attention Rollout</w:t>
      </w:r>
    </w:p>
    <w:p>
      <w:pPr>
        <w:spacing w:after="160" w:line="276" w:lineRule="auto"/>
        <w:ind w:firstLine="0"/>
        <w:jc w:val="both"/>
      </w:pPr>
      <w:r>
        <w:rPr>
          <w:rFonts w:ascii="Times New Roman" w:hAnsi="Times New Roman"/>
          <w:b w:val="0"/>
          <w:i w:val="0"/>
          <w:sz w:val="22"/>
        </w:rPr>
        <w:t>Attention rollout, introduced by Abnar and Zuidema (2020), aggregates attention weights across all layers to produce a single attention map showing how information flows from input patches to the final classification token. The rollout is computed iteratively by multiplying attention matrices across layers. For a single layer with attention matrix A, the rollout R is updated as:</w:t>
      </w:r>
    </w:p>
    <w:p>
      <w:pPr>
        <w:spacing w:before="160" w:after="80"/>
        <w:jc w:val="center"/>
      </w:pPr>
      <w:r>
        <w:rPr>
          <w:rFonts w:ascii="Times New Roman" w:hAnsi="Times New Roman"/>
          <w:b w:val="0"/>
          <w:i/>
          <w:sz w:val="22"/>
        </w:rPr>
        <w:t>R^{(l)} = (αI + (1-α)A^{(l)}) · R^{(l-1)}</w:t>
      </w:r>
    </w:p>
    <w:p>
      <w:pPr>
        <w:spacing w:after="160"/>
        <w:jc w:val="right"/>
      </w:pPr>
      <w:r>
        <w:rPr>
          <w:rFonts w:ascii="Times New Roman" w:hAnsi="Times New Roman"/>
          <w:b w:val="0"/>
          <w:i w:val="0"/>
          <w:sz w:val="20"/>
        </w:rPr>
        <w:t>(2.6)</w:t>
      </w:r>
    </w:p>
    <w:p>
      <w:pPr>
        <w:spacing w:after="160" w:line="276" w:lineRule="auto"/>
        <w:ind w:firstLine="0"/>
        <w:jc w:val="both"/>
      </w:pPr>
      <w:r>
        <w:rPr>
          <w:rFonts w:ascii="Times New Roman" w:hAnsi="Times New Roman"/>
          <w:b w:val="0"/>
          <w:i w:val="0"/>
          <w:sz w:val="22"/>
        </w:rPr>
        <w:t>where I is the identity matrix (representing residual connections), α is a hyperparameter controlling the balance between residual and attention flow (typically α=0.5), and R^{(0)} = I. The final rollout map shows the cumulative attention from the CLS token to all input patches.</w:t>
      </w:r>
    </w:p>
    <w:p>
      <w:pPr>
        <w:spacing w:after="160" w:line="276" w:lineRule="auto"/>
        <w:ind w:firstLine="0"/>
        <w:jc w:val="both"/>
      </w:pPr>
      <w:r>
        <w:rPr>
          <w:rFonts w:ascii="Times New Roman" w:hAnsi="Times New Roman"/>
          <w:b w:val="0"/>
          <w:i w:val="0"/>
          <w:sz w:val="22"/>
        </w:rPr>
        <w:t>Attention rollout is class-agnostic: it shows where information flows, not which regions are important for a specific class prediction. To obtain class-conditioned explanations, researchers have proposed gradient-weighted attention rollout, where the rollout is weighted by the gradient of the target class score with respect to the attention weights.</w:t>
      </w:r>
    </w:p>
    <w:p>
      <w:pPr>
        <w:spacing w:before="280" w:after="160"/>
      </w:pPr>
      <w:r>
        <w:rPr>
          <w:rFonts w:ascii="Times New Roman" w:hAnsi="Times New Roman"/>
          <w:b/>
          <w:i w:val="0"/>
          <w:sz w:val="22"/>
        </w:rPr>
        <w:t>2.3.2 Attention × Gradient (AxG)</w:t>
      </w:r>
    </w:p>
    <w:p>
      <w:pPr>
        <w:spacing w:after="160" w:line="276" w:lineRule="auto"/>
        <w:ind w:firstLine="0"/>
        <w:jc w:val="both"/>
      </w:pPr>
      <w:r>
        <w:rPr>
          <w:rFonts w:ascii="Times New Roman" w:hAnsi="Times New Roman"/>
          <w:b w:val="0"/>
          <w:i w:val="0"/>
          <w:sz w:val="22"/>
        </w:rPr>
        <w:t>Attention × Gradient (AxG) computes class-conditioned attention by multiplying the raw attention weights by their gradients with respect to the target class. For each attention head h and layer l, the AxG map is:</w:t>
      </w:r>
    </w:p>
    <w:p>
      <w:pPr>
        <w:spacing w:before="160" w:after="80"/>
        <w:jc w:val="center"/>
      </w:pPr>
      <w:r>
        <w:rPr>
          <w:rFonts w:ascii="Times New Roman" w:hAnsi="Times New Roman"/>
          <w:b w:val="0"/>
          <w:i/>
          <w:sz w:val="22"/>
        </w:rPr>
        <w:t>AxG^{(l,h)} = ReLU(A^{(l,h)} ⊙ ∂y/∂A^{(l,h)})</w:t>
      </w:r>
    </w:p>
    <w:p>
      <w:pPr>
        <w:spacing w:after="160"/>
        <w:jc w:val="right"/>
      </w:pPr>
      <w:r>
        <w:rPr>
          <w:rFonts w:ascii="Times New Roman" w:hAnsi="Times New Roman"/>
          <w:b w:val="0"/>
          <w:i w:val="0"/>
          <w:sz w:val="20"/>
        </w:rPr>
        <w:t>(2.7)</w:t>
      </w:r>
    </w:p>
    <w:p>
      <w:pPr>
        <w:spacing w:after="160" w:line="276" w:lineRule="auto"/>
        <w:ind w:firstLine="0"/>
        <w:jc w:val="both"/>
      </w:pPr>
      <w:r>
        <w:rPr>
          <w:rFonts w:ascii="Times New Roman" w:hAnsi="Times New Roman"/>
          <w:b w:val="0"/>
          <w:i w:val="0"/>
          <w:sz w:val="22"/>
        </w:rPr>
        <w:t>where A^{(l,h)} is the attention matrix for head h at layer l, y is the target class score, and ⊙ denotes element-wise multiplication. The ReLU retains only attention patterns with positive gradients, indicating regions that increase the target class score. AxG is the Vision Transformer analogue of Grad-CAM: it provides per-layer, class-specific explanations that can be directly compared to CNN Grad-CAM maps.</w:t>
      </w:r>
    </w:p>
    <w:p>
      <w:pPr>
        <w:spacing w:after="160" w:line="276" w:lineRule="auto"/>
        <w:ind w:firstLine="0"/>
        <w:jc w:val="both"/>
      </w:pPr>
      <w:r>
        <w:rPr>
          <w:rFonts w:ascii="Times New Roman" w:hAnsi="Times New Roman"/>
          <w:b w:val="0"/>
          <w:i w:val="0"/>
          <w:sz w:val="22"/>
        </w:rPr>
        <w:t>Recent work has explored more sophisticated ViT explanation methods: Attention Flow (Chefer et al., 2021) uses optimal transport to align attention with relevance; Transformer Interpretability Beyond Attention Visualization (Chefer et al., 2022) integrates attention with gradient information; and ATAT (Abnar and Zuidema, 2020) proposes full rollout with residual connections. However, these methods remain architecture-specific and cannot be directly compared to CNN attribution methods without a unified framework.</w:t>
      </w:r>
    </w:p>
    <w:p>
      <w:pPr>
        <w:spacing w:before="360" w:after="200"/>
      </w:pPr>
      <w:r>
        <w:rPr>
          <w:rFonts w:ascii="Times New Roman" w:hAnsi="Times New Roman"/>
          <w:b/>
          <w:i w:val="0"/>
          <w:sz w:val="24"/>
        </w:rPr>
        <w:t>2.4 Spurious Correlation Detection</w:t>
      </w:r>
    </w:p>
    <w:p>
      <w:pPr>
        <w:spacing w:after="160" w:line="276" w:lineRule="auto"/>
        <w:ind w:firstLine="0"/>
        <w:jc w:val="both"/>
      </w:pPr>
      <w:r>
        <w:rPr>
          <w:rFonts w:ascii="Times New Roman" w:hAnsi="Times New Roman"/>
          <w:b w:val="0"/>
          <w:i w:val="0"/>
          <w:sz w:val="22"/>
        </w:rPr>
        <w:t>Spurious correlations occur when a model learns to associate a class with an irrelevant feature (such as background, watermark, or artifact) rather than the true discriminative features. These shortcuts lead to models that achieve high accuracy on training and test sets but fail catastrophically in deployment when the spurious feature is absent or changed.</w:t>
      </w:r>
    </w:p>
    <w:p>
      <w:pPr>
        <w:spacing w:before="280" w:after="160"/>
      </w:pPr>
      <w:r>
        <w:rPr>
          <w:rFonts w:ascii="Times New Roman" w:hAnsi="Times New Roman"/>
          <w:b/>
          <w:i w:val="0"/>
          <w:sz w:val="22"/>
        </w:rPr>
        <w:t>2.4.1 Waterbirds Dataset and Background Bias</w:t>
      </w:r>
    </w:p>
    <w:p>
      <w:pPr>
        <w:spacing w:after="160" w:line="276" w:lineRule="auto"/>
        <w:ind w:firstLine="0"/>
        <w:jc w:val="both"/>
      </w:pPr>
      <w:r>
        <w:rPr>
          <w:rFonts w:ascii="Times New Roman" w:hAnsi="Times New Roman"/>
          <w:b w:val="0"/>
          <w:i w:val="0"/>
          <w:sz w:val="22"/>
        </w:rPr>
        <w:t>The Waterbirds dataset, introduced by Sagawa et al. (2020), is a benchmark for studying spurious correlations. It composes bird images from the CUB-200 dataset onto backgrounds that are correlated with species: water birds are placed on water backgrounds and land birds on land backgrounds with high probability (e.g., 95% correlation). A model trained on this biased dataset may learn to classify based on background rather than bird morphology, achieving high accuracy on the biased test set but failing on a balanced evaluation set where background and species are decorrelated.</w:t>
      </w:r>
    </w:p>
    <w:p>
      <w:pPr>
        <w:spacing w:after="160" w:line="276" w:lineRule="auto"/>
        <w:ind w:firstLine="0"/>
        <w:jc w:val="both"/>
      </w:pPr>
      <w:r>
        <w:rPr>
          <w:rFonts w:ascii="Times New Roman" w:hAnsi="Times New Roman"/>
          <w:b w:val="0"/>
          <w:i w:val="0"/>
          <w:sz w:val="22"/>
        </w:rPr>
        <w:t>Detecting background bias requires methods that can separate object-focused attention from background-focused attention. Grad-CAM heatmaps can reveal whether a model focuses on the bird or the background, but without quantitative metrics, this detection requires manual inspection. Automated detection requires systematic measurement of attention distribution across object and background regions.</w:t>
      </w:r>
    </w:p>
    <w:p>
      <w:pPr>
        <w:spacing w:before="280" w:after="160"/>
      </w:pPr>
      <w:r>
        <w:rPr>
          <w:rFonts w:ascii="Times New Roman" w:hAnsi="Times New Roman"/>
          <w:b/>
          <w:i w:val="0"/>
          <w:sz w:val="22"/>
        </w:rPr>
        <w:t>2.4.2 ObjectNet and Context Reliance</w:t>
      </w:r>
    </w:p>
    <w:p>
      <w:pPr>
        <w:spacing w:after="160" w:line="276" w:lineRule="auto"/>
        <w:ind w:firstLine="0"/>
        <w:jc w:val="both"/>
      </w:pPr>
      <w:r>
        <w:rPr>
          <w:rFonts w:ascii="Times New Roman" w:hAnsi="Times New Roman"/>
          <w:b w:val="0"/>
          <w:i w:val="0"/>
          <w:sz w:val="22"/>
        </w:rPr>
        <w:t>ObjectNet, introduced by Barbu et al. (2019), is a dataset designed to test object recognition under natural variation. It presents objects in unusual contexts: unusual viewpoints, unusual backgrounds, and unusual rotations. Standard ImageNet-trained models experience a dramatic accuracy drop on ObjectNet (from ~80% to ~20%), revealing their reliance on contextual cues rather than invariant object features.</w:t>
      </w:r>
    </w:p>
    <w:p>
      <w:pPr>
        <w:spacing w:after="160" w:line="276" w:lineRule="auto"/>
        <w:ind w:firstLine="0"/>
        <w:jc w:val="both"/>
      </w:pPr>
      <w:r>
        <w:rPr>
          <w:rFonts w:ascii="Times New Roman" w:hAnsi="Times New Roman"/>
          <w:b w:val="0"/>
          <w:i w:val="0"/>
          <w:sz w:val="22"/>
        </w:rPr>
        <w:t>ObjectNet provides a natural-bias benchmark: if a model's attention is dominated by background when objects appear in unusual contexts, this indicates context reliance. Detecting this requires quantitative measurement of object versus background attention, combined with automated verdict generation to flag classes or images where context dominates.</w:t>
      </w:r>
    </w:p>
    <w:p>
      <w:pPr>
        <w:spacing w:before="360" w:after="200"/>
      </w:pPr>
      <w:r>
        <w:rPr>
          <w:rFonts w:ascii="Times New Roman" w:hAnsi="Times New Roman"/>
          <w:b/>
          <w:i w:val="0"/>
          <w:sz w:val="24"/>
        </w:rPr>
        <w:t>2.5 Existing XAI Toolkits and Frameworks</w:t>
      </w:r>
    </w:p>
    <w:p>
      <w:pPr>
        <w:spacing w:after="160" w:line="276" w:lineRule="auto"/>
        <w:ind w:firstLine="0"/>
        <w:jc w:val="both"/>
      </w:pPr>
      <w:r>
        <w:rPr>
          <w:rFonts w:ascii="Times New Roman" w:hAnsi="Times New Roman"/>
          <w:b w:val="0"/>
          <w:i w:val="0"/>
          <w:sz w:val="22"/>
        </w:rPr>
        <w:t>Several open-source toolkits provide implementations of XAI methods for vision models. While these toolkits are valuable for researchers, they lack the unified abstraction, quantitative metrics, and automated screening capabilities that AttentionLens provides.</w:t>
      </w:r>
    </w:p>
    <w:p>
      <w:pPr>
        <w:spacing w:before="280" w:after="160"/>
      </w:pPr>
      <w:r>
        <w:rPr>
          <w:rFonts w:ascii="Times New Roman" w:hAnsi="Times New Roman"/>
          <w:b/>
          <w:i w:val="0"/>
          <w:sz w:val="22"/>
        </w:rPr>
        <w:t>2.5.1 Captum</w:t>
      </w:r>
    </w:p>
    <w:p>
      <w:pPr>
        <w:spacing w:after="160" w:line="276" w:lineRule="auto"/>
        <w:ind w:firstLine="0"/>
        <w:jc w:val="both"/>
      </w:pPr>
      <w:r>
        <w:rPr>
          <w:rFonts w:ascii="Times New Roman" w:hAnsi="Times New Roman"/>
          <w:b w:val="0"/>
          <w:i w:val="0"/>
          <w:sz w:val="22"/>
        </w:rPr>
        <w:t>Captum (Kokhlikyan et al., 2020) is a comprehensive PyTorch-based library for model interpretability. It provides implementations of numerous attribution methods including Grad-CAM, Integrated Gradients, DeepLIFT, SHAP, and LIME. Captum is highly flexible and supports custom models, but it provides individual attribution methods without integration, metrics, or automated diagnosis. Users must manually combine methods, compute metrics, and interpret results.</w:t>
      </w:r>
    </w:p>
    <w:p>
      <w:pPr>
        <w:spacing w:before="280" w:after="160"/>
      </w:pPr>
      <w:r>
        <w:rPr>
          <w:rFonts w:ascii="Times New Roman" w:hAnsi="Times New Roman"/>
          <w:b/>
          <w:i w:val="0"/>
          <w:sz w:val="22"/>
        </w:rPr>
        <w:t>2.5.2 SHAP Library</w:t>
      </w:r>
    </w:p>
    <w:p>
      <w:pPr>
        <w:spacing w:after="160" w:line="276" w:lineRule="auto"/>
        <w:ind w:firstLine="0"/>
        <w:jc w:val="both"/>
      </w:pPr>
      <w:r>
        <w:rPr>
          <w:rFonts w:ascii="Times New Roman" w:hAnsi="Times New Roman"/>
          <w:b w:val="0"/>
          <w:i w:val="0"/>
          <w:sz w:val="22"/>
        </w:rPr>
        <w:t>The SHAP library (Lundberg and Lee, 2017) provides efficient implementations of Shapley value estimation for various model types. For images, Kernel SHAP operates on superpixels and provides locally faithful explanations. However, SHAP is computationally expensive (requiring thousands of model evaluations per image) and provides only feature importance values, not spatial attention maps. It lacks architecture-specific optimizations for CNNs or ViTs.</w:t>
      </w:r>
    </w:p>
    <w:p>
      <w:pPr>
        <w:spacing w:before="280" w:after="160"/>
      </w:pPr>
      <w:r>
        <w:rPr>
          <w:rFonts w:ascii="Times New Roman" w:hAnsi="Times New Roman"/>
          <w:b/>
          <w:i w:val="0"/>
          <w:sz w:val="22"/>
        </w:rPr>
        <w:t>2.5.3 torchcam and Lucid</w:t>
      </w:r>
    </w:p>
    <w:p>
      <w:pPr>
        <w:spacing w:after="160" w:line="276" w:lineRule="auto"/>
        <w:ind w:firstLine="0"/>
        <w:jc w:val="both"/>
      </w:pPr>
      <w:r>
        <w:rPr>
          <w:rFonts w:ascii="Times New Roman" w:hAnsi="Times New Roman"/>
          <w:b w:val="0"/>
          <w:i w:val="0"/>
          <w:sz w:val="22"/>
        </w:rPr>
        <w:t>torchcam (Godefroy, 2020) provides a collection of CAM (Class Activation Mapping) methods for PyTorch models, including Grad-CAM, Grad-CAM++, Score-CAM, and Eigen-CAM. It is lightweight and easy to use but focuses exclusively on CNN attribution methods. Lucid (Carter et al., 2019) is a TensorFlow-based framework for neural network interpretability, providing tools for feature visualization, neuron attribution, and model inspection. Lucid is powerful but TensorFlow-specific and lacks integration with modern transformer architectures.</w:t>
      </w:r>
    </w:p>
    <w:p>
      <w:pPr>
        <w:spacing w:before="280" w:after="160"/>
      </w:pPr>
      <w:r>
        <w:rPr>
          <w:rFonts w:ascii="Times New Roman" w:hAnsi="Times New Roman"/>
          <w:b/>
          <w:i w:val="0"/>
          <w:sz w:val="22"/>
        </w:rPr>
        <w:t>2.5.4 What-If Tool and Facets</w:t>
      </w:r>
    </w:p>
    <w:p>
      <w:pPr>
        <w:spacing w:after="160" w:line="276" w:lineRule="auto"/>
        <w:ind w:firstLine="0"/>
        <w:jc w:val="both"/>
      </w:pPr>
      <w:r>
        <w:rPr>
          <w:rFonts w:ascii="Times New Roman" w:hAnsi="Times New Roman"/>
          <w:b w:val="0"/>
          <w:i w:val="0"/>
          <w:sz w:val="22"/>
        </w:rPr>
        <w:t>The What-If Tool (Wexler et al., 2020) is an interactive web interface for exploring ML models. It allows users to visualize predictions, examine feature importances, and perform counterfactual analysis. While the What-If Tool provides interactive exploration, it is designed for tabular data and lacks support for vision models. Facets (Wexler et al., 2019) is a suite of visualizations for understanding datasets, but it does not provide model explanation capabilities.</w:t>
      </w:r>
    </w:p>
    <w:p>
      <w:pPr>
        <w:spacing w:before="360" w:after="200"/>
      </w:pPr>
      <w:r>
        <w:rPr>
          <w:rFonts w:ascii="Times New Roman" w:hAnsi="Times New Roman"/>
          <w:b/>
          <w:i w:val="0"/>
          <w:sz w:val="24"/>
        </w:rPr>
        <w:t>2.6 Comparative Analysis of Existing Approaches</w:t>
      </w:r>
    </w:p>
    <w:p>
      <w:pPr>
        <w:spacing w:after="160" w:line="276" w:lineRule="auto"/>
        <w:ind w:firstLine="0"/>
        <w:jc w:val="both"/>
      </w:pPr>
      <w:r>
        <w:rPr>
          <w:rFonts w:ascii="Times New Roman" w:hAnsi="Times New Roman"/>
          <w:b w:val="0"/>
          <w:i w:val="0"/>
          <w:sz w:val="22"/>
        </w:rPr>
        <w:t>Table 2.1 provides a comprehensive comparison of existing XAI methods and toolkits across key dimensions relevant to vision model debugging. This comparison highlights the research gaps that motivate AttentionLens.</w:t>
      </w:r>
    </w:p>
    <w:tbl>
      <w:tblPr>
        <w:tblStyle w:val="LightGrid-Accent1"/>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fill="4472C4"/>
          </w:tcPr>
          <w:p>
            <w:r>
              <w:rPr>
                <w:b/>
                <w:color w:val="FFFFFF"/>
                <w:sz w:val="18"/>
              </w:rPr>
              <w:t>Method/Tool</w:t>
            </w:r>
          </w:p>
        </w:tc>
        <w:tc>
          <w:tcPr>
            <w:tcW w:type="dxa" w:w="1504"/>
            <w:shd w:fill="4472C4"/>
          </w:tcPr>
          <w:p>
            <w:r>
              <w:rPr>
                <w:b/>
                <w:color w:val="FFFFFF"/>
                <w:sz w:val="18"/>
              </w:rPr>
              <w:t>Architecture</w:t>
            </w:r>
          </w:p>
        </w:tc>
        <w:tc>
          <w:tcPr>
            <w:tcW w:type="dxa" w:w="1504"/>
            <w:shd w:fill="4472C4"/>
          </w:tcPr>
          <w:p>
            <w:r>
              <w:rPr>
                <w:b/>
                <w:color w:val="FFFFFF"/>
                <w:sz w:val="18"/>
              </w:rPr>
              <w:t>Quantitative Metrics</w:t>
            </w:r>
          </w:p>
        </w:tc>
        <w:tc>
          <w:tcPr>
            <w:tcW w:type="dxa" w:w="1504"/>
            <w:shd w:fill="4472C4"/>
          </w:tcPr>
          <w:p>
            <w:r>
              <w:rPr>
                <w:b/>
                <w:color w:val="FFFFFF"/>
                <w:sz w:val="18"/>
              </w:rPr>
              <w:t>Automated Screening</w:t>
            </w:r>
          </w:p>
        </w:tc>
        <w:tc>
          <w:tcPr>
            <w:tcW w:type="dxa" w:w="1504"/>
            <w:shd w:fill="4472C4"/>
          </w:tcPr>
          <w:p>
            <w:r>
              <w:rPr>
                <w:b/>
                <w:color w:val="FFFFFF"/>
                <w:sz w:val="18"/>
              </w:rPr>
              <w:t>Causal Intervention</w:t>
            </w:r>
          </w:p>
        </w:tc>
        <w:tc>
          <w:tcPr>
            <w:tcW w:type="dxa" w:w="1504"/>
            <w:shd w:fill="4472C4"/>
          </w:tcPr>
          <w:p>
            <w:r>
              <w:rPr>
                <w:b/>
                <w:color w:val="FFFFFF"/>
                <w:sz w:val="18"/>
              </w:rPr>
              <w:t>Unified Schema</w:t>
            </w:r>
          </w:p>
        </w:tc>
      </w:tr>
      <w:tr>
        <w:tc>
          <w:tcPr>
            <w:tcW w:type="dxa" w:w="1504"/>
          </w:tcPr>
          <w:p>
            <w:r>
              <w:rPr>
                <w:sz w:val="18"/>
              </w:rPr>
              <w:t>Grad-CAM</w:t>
            </w:r>
          </w:p>
        </w:tc>
        <w:tc>
          <w:tcPr>
            <w:tcW w:type="dxa" w:w="1504"/>
          </w:tcPr>
          <w:p>
            <w:r>
              <w:rPr>
                <w:sz w:val="18"/>
              </w:rPr>
              <w:t>CNN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Grad-CAM++</w:t>
            </w:r>
          </w:p>
        </w:tc>
        <w:tc>
          <w:tcPr>
            <w:tcW w:type="dxa" w:w="1504"/>
          </w:tcPr>
          <w:p>
            <w:r>
              <w:rPr>
                <w:sz w:val="18"/>
              </w:rPr>
              <w:t>CNN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Attention Rollout</w:t>
            </w:r>
          </w:p>
        </w:tc>
        <w:tc>
          <w:tcPr>
            <w:tcW w:type="dxa" w:w="1504"/>
          </w:tcPr>
          <w:p>
            <w:r>
              <w:rPr>
                <w:sz w:val="18"/>
              </w:rPr>
              <w:t>ViT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LIME</w:t>
            </w:r>
          </w:p>
        </w:tc>
        <w:tc>
          <w:tcPr>
            <w:tcW w:type="dxa" w:w="1504"/>
          </w:tcPr>
          <w:p>
            <w:r>
              <w:rPr>
                <w:sz w:val="18"/>
              </w:rPr>
              <w:t>Both</w:t>
            </w:r>
          </w:p>
        </w:tc>
        <w:tc>
          <w:tcPr>
            <w:tcW w:type="dxa" w:w="1504"/>
          </w:tcPr>
          <w:p>
            <w:r>
              <w:rPr>
                <w:sz w:val="18"/>
              </w:rPr>
              <w:t>✗</w:t>
            </w:r>
          </w:p>
        </w:tc>
        <w:tc>
          <w:tcPr>
            <w:tcW w:type="dxa" w:w="1504"/>
          </w:tcPr>
          <w:p>
            <w:r>
              <w:rPr>
                <w:sz w:val="18"/>
              </w:rPr>
              <w:t>✗</w:t>
            </w:r>
          </w:p>
        </w:tc>
        <w:tc>
          <w:tcPr>
            <w:tcW w:type="dxa" w:w="1504"/>
          </w:tcPr>
          <w:p>
            <w:r>
              <w:rPr>
                <w:sz w:val="18"/>
              </w:rPr>
              <w:t>✓ (manual)</w:t>
            </w:r>
          </w:p>
        </w:tc>
        <w:tc>
          <w:tcPr>
            <w:tcW w:type="dxa" w:w="1504"/>
          </w:tcPr>
          <w:p>
            <w:r>
              <w:rPr>
                <w:sz w:val="18"/>
              </w:rPr>
              <w:t>✗</w:t>
            </w:r>
          </w:p>
        </w:tc>
      </w:tr>
      <w:tr>
        <w:tc>
          <w:tcPr>
            <w:tcW w:type="dxa" w:w="1504"/>
          </w:tcPr>
          <w:p>
            <w:r>
              <w:rPr>
                <w:sz w:val="18"/>
              </w:rPr>
              <w:t>SHAP</w:t>
            </w:r>
          </w:p>
        </w:tc>
        <w:tc>
          <w:tcPr>
            <w:tcW w:type="dxa" w:w="1504"/>
          </w:tcPr>
          <w:p>
            <w:r>
              <w:rPr>
                <w:sz w:val="18"/>
              </w:rPr>
              <w:t>Both</w:t>
            </w:r>
          </w:p>
        </w:tc>
        <w:tc>
          <w:tcPr>
            <w:tcW w:type="dxa" w:w="1504"/>
          </w:tcPr>
          <w:p>
            <w:r>
              <w:rPr>
                <w:sz w:val="18"/>
              </w:rPr>
              <w:t>✓ (feature)</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Captum</w:t>
            </w:r>
          </w:p>
        </w:tc>
        <w:tc>
          <w:tcPr>
            <w:tcW w:type="dxa" w:w="1504"/>
          </w:tcPr>
          <w:p>
            <w:r>
              <w:rPr>
                <w:sz w:val="18"/>
              </w:rPr>
              <w:t>Both</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torchcam</w:t>
            </w:r>
          </w:p>
        </w:tc>
        <w:tc>
          <w:tcPr>
            <w:tcW w:type="dxa" w:w="1504"/>
          </w:tcPr>
          <w:p>
            <w:r>
              <w:rPr>
                <w:sz w:val="18"/>
              </w:rPr>
              <w:t>CNN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Lucid</w:t>
            </w:r>
          </w:p>
        </w:tc>
        <w:tc>
          <w:tcPr>
            <w:tcW w:type="dxa" w:w="1504"/>
          </w:tcPr>
          <w:p>
            <w:r>
              <w:rPr>
                <w:sz w:val="18"/>
              </w:rPr>
              <w:t>CNN only</w:t>
            </w:r>
          </w:p>
        </w:tc>
        <w:tc>
          <w:tcPr>
            <w:tcW w:type="dxa" w:w="1504"/>
          </w:tcPr>
          <w:p>
            <w:r>
              <w:rPr>
                <w:sz w:val="18"/>
              </w:rPr>
              <w:t>✗</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What-If Tool</w:t>
            </w:r>
          </w:p>
        </w:tc>
        <w:tc>
          <w:tcPr>
            <w:tcW w:type="dxa" w:w="1504"/>
          </w:tcPr>
          <w:p>
            <w:r>
              <w:rPr>
                <w:sz w:val="18"/>
              </w:rPr>
              <w:t>Tabular</w:t>
            </w:r>
          </w:p>
        </w:tc>
        <w:tc>
          <w:tcPr>
            <w:tcW w:type="dxa" w:w="1504"/>
          </w:tcPr>
          <w:p>
            <w:r>
              <w:rPr>
                <w:sz w:val="18"/>
              </w:rPr>
              <w:t>✓ (basic)</w:t>
            </w:r>
          </w:p>
        </w:tc>
        <w:tc>
          <w:tcPr>
            <w:tcW w:type="dxa" w:w="1504"/>
          </w:tcPr>
          <w:p>
            <w:r>
              <w:rPr>
                <w:sz w:val="18"/>
              </w:rPr>
              <w:t>✗</w:t>
            </w:r>
          </w:p>
        </w:tc>
        <w:tc>
          <w:tcPr>
            <w:tcW w:type="dxa" w:w="1504"/>
          </w:tcPr>
          <w:p>
            <w:r>
              <w:rPr>
                <w:sz w:val="18"/>
              </w:rPr>
              <w:t>✓</w:t>
            </w:r>
          </w:p>
        </w:tc>
        <w:tc>
          <w:tcPr>
            <w:tcW w:type="dxa" w:w="1504"/>
          </w:tcPr>
          <w:p>
            <w:r>
              <w:rPr>
                <w:sz w:val="18"/>
              </w:rPr>
              <w:t>✗</w:t>
            </w:r>
          </w:p>
        </w:tc>
      </w:tr>
      <w:tr>
        <w:tc>
          <w:tcPr>
            <w:tcW w:type="dxa" w:w="1504"/>
          </w:tcPr>
          <w:p>
            <w:r>
              <w:rPr>
                <w:sz w:val="18"/>
              </w:rPr>
              <w:t>AttentionLens</w:t>
            </w:r>
          </w:p>
        </w:tc>
        <w:tc>
          <w:tcPr>
            <w:tcW w:type="dxa" w:w="1504"/>
          </w:tcPr>
          <w:p>
            <w:r>
              <w:rPr>
                <w:sz w:val="18"/>
              </w:rPr>
              <w:t>Both</w:t>
            </w:r>
          </w:p>
        </w:tc>
        <w:tc>
          <w:tcPr>
            <w:tcW w:type="dxa" w:w="1504"/>
          </w:tcPr>
          <w:p>
            <w:r>
              <w:rPr>
                <w:sz w:val="18"/>
              </w:rPr>
              <w:t>✓ (5 metrics)</w:t>
            </w:r>
          </w:p>
        </w:tc>
        <w:tc>
          <w:tcPr>
            <w:tcW w:type="dxa" w:w="1504"/>
          </w:tcPr>
          <w:p>
            <w:r>
              <w:rPr>
                <w:sz w:val="18"/>
              </w:rPr>
              <w:t>✓</w:t>
            </w:r>
          </w:p>
        </w:tc>
        <w:tc>
          <w:tcPr>
            <w:tcW w:type="dxa" w:w="1504"/>
          </w:tcPr>
          <w:p>
            <w:r>
              <w:rPr>
                <w:sz w:val="18"/>
              </w:rPr>
              <w:t>✓</w:t>
            </w:r>
          </w:p>
        </w:tc>
        <w:tc>
          <w:tcPr>
            <w:tcW w:type="dxa" w:w="1504"/>
          </w:tcPr>
          <w:p>
            <w:r>
              <w:rPr>
                <w:sz w:val="18"/>
              </w:rPr>
              <w:t>✓</w:t>
            </w:r>
          </w:p>
        </w:tc>
      </w:tr>
    </w:tbl>
    <w:p/>
    <w:p>
      <w:pPr>
        <w:spacing w:after="240"/>
        <w:jc w:val="center"/>
      </w:pPr>
      <w:r>
        <w:rPr>
          <w:rFonts w:ascii="Times New Roman" w:hAnsi="Times New Roman"/>
          <w:b w:val="0"/>
          <w:i/>
          <w:sz w:val="20"/>
        </w:rPr>
        <w:t>Table 2.1: Comparison of XAI Methods and Toolkits</w:t>
      </w:r>
    </w:p>
    <w:p>
      <w:pPr>
        <w:spacing w:after="160" w:line="276" w:lineRule="auto"/>
        <w:ind w:firstLine="0"/>
        <w:jc w:val="both"/>
      </w:pPr>
      <w:r>
        <w:rPr>
          <w:rFonts w:ascii="Times New Roman" w:hAnsi="Times New Roman"/>
          <w:b w:val="0"/>
          <w:i w:val="0"/>
          <w:sz w:val="22"/>
        </w:rPr>
        <w:t>Table 2.1 reveals several critical gaps in existing approaches. First, most attribution methods are architecture-specific: Grad-CAM works only for CNNs, while attention rollout applies only to ViTs. This fragmentation prevents fair comparison across architectures. Second, no existing toolkit provides quantitative metrics that characterize attention quality (focus, localization, part sensitivity, background reliance). Third, automated screening for spurious correlations is absent from all current tools. Fourth, causal intervention capabilities are either missing or require manual implementation. Finally, no framework provides a unified schema that treats CNNs and ViTs symmetrically.</w:t>
      </w:r>
    </w:p>
    <w:p>
      <w:pPr>
        <w:spacing w:before="360" w:after="200"/>
      </w:pPr>
      <w:r>
        <w:rPr>
          <w:rFonts w:ascii="Times New Roman" w:hAnsi="Times New Roman"/>
          <w:b/>
          <w:i w:val="0"/>
          <w:sz w:val="24"/>
        </w:rPr>
        <w:t>2.7 Research Gap Identification</w:t>
      </w:r>
    </w:p>
    <w:p>
      <w:pPr>
        <w:spacing w:after="160" w:line="276" w:lineRule="auto"/>
        <w:ind w:firstLine="0"/>
        <w:jc w:val="both"/>
      </w:pPr>
      <w:r>
        <w:rPr>
          <w:rFonts w:ascii="Times New Roman" w:hAnsi="Times New Roman"/>
          <w:b w:val="0"/>
          <w:i w:val="0"/>
          <w:sz w:val="22"/>
        </w:rPr>
        <w:t>The literature review reveals five critical research gaps that motivate the development of AttentionLens:</w:t>
      </w:r>
    </w:p>
    <w:p>
      <w:pPr>
        <w:spacing w:after="160" w:line="276" w:lineRule="auto"/>
        <w:ind w:firstLine="0"/>
        <w:jc w:val="both"/>
      </w:pPr>
      <w:r>
        <w:rPr>
          <w:rFonts w:ascii="Times New Roman" w:hAnsi="Times New Roman"/>
          <w:b w:val="0"/>
          <w:i w:val="0"/>
          <w:sz w:val="22"/>
        </w:rPr>
        <w:t>Gap 1: Architecture Fragmentation. Existing XAI methods are architecture-specific, preventing fair comparison between CNNs and ViTs. No unified schema treats both architectures symmetrically, producing explanations in the same format that can be directly compared using identical metrics.</w:t>
      </w:r>
    </w:p>
    <w:p>
      <w:pPr>
        <w:spacing w:after="160" w:line="276" w:lineRule="auto"/>
        <w:ind w:firstLine="0"/>
        <w:jc w:val="both"/>
      </w:pPr>
      <w:r>
        <w:rPr>
          <w:rFonts w:ascii="Times New Roman" w:hAnsi="Times New Roman"/>
          <w:b w:val="0"/>
          <w:i w:val="0"/>
          <w:sz w:val="22"/>
        </w:rPr>
        <w:t>Gap 2: Lack of Quantitative Metrics. While attribution methods produce heatmaps, no framework provides a comprehensive suite of quantitative metrics that characterize attention quality against ground-truth annotations. Metrics such as focus entropy, object relevance share, part alignment, and background sensitivity are missing from existing toolkits.</w:t>
      </w:r>
    </w:p>
    <w:p>
      <w:pPr>
        <w:spacing w:after="160" w:line="276" w:lineRule="auto"/>
        <w:ind w:firstLine="0"/>
        <w:jc w:val="both"/>
      </w:pPr>
      <w:r>
        <w:rPr>
          <w:rFonts w:ascii="Times New Roman" w:hAnsi="Times New Roman"/>
          <w:b w:val="0"/>
          <w:i w:val="0"/>
          <w:sz w:val="22"/>
        </w:rPr>
        <w:t>Gap 3: No Automated Bias Detection. Current tools require manual inspection of heatmaps to detect spurious correlations. At scale (thousands of images, dozens of classes), this is impractical. No existing framework provides automated screening that aggregates per-image metrics into class-level statistics and produces evidence-backed verdicts.</w:t>
      </w:r>
    </w:p>
    <w:p>
      <w:pPr>
        <w:spacing w:after="160" w:line="276" w:lineRule="auto"/>
        <w:ind w:firstLine="0"/>
        <w:jc w:val="both"/>
      </w:pPr>
      <w:r>
        <w:rPr>
          <w:rFonts w:ascii="Times New Roman" w:hAnsi="Times New Roman"/>
          <w:b w:val="0"/>
          <w:i w:val="0"/>
          <w:sz w:val="22"/>
        </w:rPr>
        <w:t>Gap 4: Absence of Causal Integration. Attribution methods show correlation (where the model attends) but not causation (whether masking that region changes the prediction). No framework integrates causal intervention into the explanation workflow, leaving researchers without a principled way to test hypotheses about model behavior.</w:t>
      </w:r>
    </w:p>
    <w:p>
      <w:pPr>
        <w:spacing w:after="160" w:line="276" w:lineRule="auto"/>
        <w:ind w:firstLine="0"/>
        <w:jc w:val="both"/>
      </w:pPr>
      <w:r>
        <w:rPr>
          <w:rFonts w:ascii="Times New Roman" w:hAnsi="Times New Roman"/>
          <w:b w:val="0"/>
          <w:i w:val="0"/>
          <w:sz w:val="22"/>
        </w:rPr>
        <w:t>Gap 5: Fragmented Debugging Workflow. In practice, debugging a vision model requires combining multiple tools: attribution for heatmaps, separate scripts for metrics, manual inspection for bias detection, and ad-hoc occlusion experiments. No integrated framework chains these steps together in a principled, reproducible pipeline.</w:t>
      </w:r>
    </w:p>
    <w:p>
      <w:pPr>
        <w:spacing w:after="160" w:line="276" w:lineRule="auto"/>
        <w:ind w:firstLine="0"/>
        <w:jc w:val="both"/>
      </w:pPr>
      <w:r>
        <w:rPr>
          <w:rFonts w:ascii="Times New Roman" w:hAnsi="Times New Roman"/>
          <w:b w:val="0"/>
          <w:i w:val="0"/>
          <w:sz w:val="22"/>
        </w:rPr>
        <w:t>AttentionLens addresses all five gaps through its unified dual-view abstraction, quantitative metrics, automated screening engine, causal intervention loop, and integrated debugging interface. The following sections detail the methodology and experimental validation that demonstrate how AttentionLens fills these gaps.</w:t>
      </w:r>
    </w:p>
    <w:p>
      <w:pPr>
        <w:spacing w:before="240" w:after="240"/>
        <w:jc w:val="center"/>
      </w:pPr>
      <w:r>
        <w:rPr>
          <w:rFonts w:ascii="Times New Roman" w:hAnsi="Times New Roman"/>
          <w:b w:val="0"/>
          <w:i/>
          <w:color w:val="787878"/>
          <w:sz w:val="20"/>
        </w:rPr>
        <w:br/>
        <w:t>────────────────────────────────────────────────────────────</w:t>
        <w:br/>
        <w:br/>
        <w:t>[ PLACEHOLDER: SYSTEM ARCHITECTURE DIAGRAM - AttentionLens Framework Overview showing Extractors, Metrics, Screening Engine, and UI components ]</w:t>
        <w:br/>
        <w:br/>
        <w:t>────────────────────────────────────────────────────────────</w:t>
        <w:br/>
      </w:r>
    </w:p>
    <w:p>
      <w:pPr>
        <w:spacing w:before="240" w:after="240"/>
        <w:jc w:val="center"/>
      </w:pPr>
      <w:r>
        <w:rPr>
          <w:rFonts w:ascii="Times New Roman" w:hAnsi="Times New Roman"/>
          <w:b w:val="0"/>
          <w:i/>
          <w:color w:val="787878"/>
          <w:sz w:val="20"/>
        </w:rPr>
        <w:br/>
        <w:t>────────────────────────────────────────────────────────────</w:t>
        <w:br/>
        <w:br/>
        <w:t>[ PLACEHOLDER: PROJECT RUNNING SCREENSHOT - Gradio UI showing dual-view attention maps for a sample image ]</w:t>
        <w:br/>
        <w:br/>
        <w:t>────────────────────────────────────────────────────────────</w:t>
        <w:br/>
      </w:r>
    </w:p>
    <w:p>
      <w:r>
        <w:br w:type="page"/>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