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i w:val="0"/>
          <w:sz w:val="32"/>
        </w:rPr>
        <w:t>3. Dataset Description and Preprocessing</w:t>
      </w:r>
    </w:p>
    <w:p>
      <w:pPr>
        <w:spacing w:after="160" w:line="276" w:lineRule="auto"/>
        <w:jc w:val="both"/>
      </w:pPr>
      <w:r>
        <w:rPr>
          <w:rFonts w:ascii="Times New Roman" w:hAnsi="Times New Roman"/>
          <w:b w:val="0"/>
          <w:i w:val="0"/>
          <w:sz w:val="22"/>
        </w:rPr>
        <w:t>This section provides a comprehensive description of the datasets used for experimentation and validation of the AttentionLens framework. The project employs three primary datasets: CUB-200-2011 for fine-grained bird classification with ground-truth annotations, ObjectNet for natural-bias validation, and ImageNet subsets for pretrained model evaluation. Each dataset serves a specific purpose in the validation pipeline, from metric computation against ground truth to detection of real-world context reliance. This section details the dataset characteristics, preprocessing strategies, annotation formats, and splitting methodologies employed throughout the project.</w:t>
      </w:r>
    </w:p>
    <w:p>
      <w:pPr>
        <w:spacing w:before="360" w:after="200"/>
      </w:pPr>
      <w:r>
        <w:rPr>
          <w:rFonts w:ascii="Times New Roman" w:hAnsi="Times New Roman"/>
          <w:b/>
          <w:i w:val="0"/>
          <w:sz w:val="24"/>
        </w:rPr>
        <w:t>3.1 Overview of Datasets Used</w:t>
      </w:r>
    </w:p>
    <w:p>
      <w:pPr>
        <w:spacing w:after="160" w:line="276" w:lineRule="auto"/>
        <w:jc w:val="both"/>
      </w:pPr>
      <w:r>
        <w:rPr>
          <w:rFonts w:ascii="Times New Roman" w:hAnsi="Times New Roman"/>
          <w:b w:val="0"/>
          <w:i w:val="0"/>
          <w:sz w:val="22"/>
        </w:rPr>
        <w:t>The selection of datasets for this project was guided by three criteria: (1) the availability of ground-truth annotations (bounding boxes and part keypoints) for quantitative metric computation, (2) the presence of known biases or context variations for validation of the screening engine, and (3) compatibility with pretrained ImageNet models for realistic debugging scenarios. Table 3.1 summarizes the key characteristics of each dataset.</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4472C4"/>
          </w:tcPr>
          <w:p>
            <w:r>
              <w:rPr>
                <w:b/>
                <w:color w:val="FFFFFF"/>
                <w:sz w:val="18"/>
              </w:rPr>
              <w:t>Dataset</w:t>
            </w:r>
          </w:p>
        </w:tc>
        <w:tc>
          <w:tcPr>
            <w:tcW w:type="dxa" w:w="1504"/>
            <w:shd w:fill="4472C4"/>
          </w:tcPr>
          <w:p>
            <w:r>
              <w:rPr>
                <w:b/>
                <w:color w:val="FFFFFF"/>
                <w:sz w:val="18"/>
              </w:rPr>
              <w:t>Images</w:t>
            </w:r>
          </w:p>
        </w:tc>
        <w:tc>
          <w:tcPr>
            <w:tcW w:type="dxa" w:w="1504"/>
            <w:shd w:fill="4472C4"/>
          </w:tcPr>
          <w:p>
            <w:r>
              <w:rPr>
                <w:b/>
                <w:color w:val="FFFFFF"/>
                <w:sz w:val="18"/>
              </w:rPr>
              <w:t>Classes</w:t>
            </w:r>
          </w:p>
        </w:tc>
        <w:tc>
          <w:tcPr>
            <w:tcW w:type="dxa" w:w="1504"/>
            <w:shd w:fill="4472C4"/>
          </w:tcPr>
          <w:p>
            <w:r>
              <w:rPr>
                <w:b/>
                <w:color w:val="FFFFFF"/>
                <w:sz w:val="18"/>
              </w:rPr>
              <w:t>Annotations</w:t>
            </w:r>
          </w:p>
        </w:tc>
        <w:tc>
          <w:tcPr>
            <w:tcW w:type="dxa" w:w="1504"/>
            <w:shd w:fill="4472C4"/>
          </w:tcPr>
          <w:p>
            <w:r>
              <w:rPr>
                <w:b/>
                <w:color w:val="FFFFFF"/>
                <w:sz w:val="18"/>
              </w:rPr>
              <w:t>Purpose</w:t>
            </w:r>
          </w:p>
        </w:tc>
        <w:tc>
          <w:tcPr>
            <w:tcW w:type="dxa" w:w="1504"/>
            <w:shd w:fill="4472C4"/>
          </w:tcPr>
          <w:p>
            <w:r>
              <w:rPr>
                <w:b/>
                <w:color w:val="FFFFFF"/>
                <w:sz w:val="18"/>
              </w:rPr>
              <w:t>Source</w:t>
            </w:r>
          </w:p>
        </w:tc>
      </w:tr>
      <w:tr>
        <w:tc>
          <w:tcPr>
            <w:tcW w:type="dxa" w:w="1504"/>
          </w:tcPr>
          <w:p>
            <w:r>
              <w:rPr>
                <w:sz w:val="18"/>
              </w:rPr>
              <w:t>CUB-200-2011</w:t>
            </w:r>
          </w:p>
        </w:tc>
        <w:tc>
          <w:tcPr>
            <w:tcW w:type="dxa" w:w="1504"/>
          </w:tcPr>
          <w:p>
            <w:r>
              <w:rPr>
                <w:sz w:val="18"/>
              </w:rPr>
              <w:t>11,788</w:t>
            </w:r>
          </w:p>
        </w:tc>
        <w:tc>
          <w:tcPr>
            <w:tcW w:type="dxa" w:w="1504"/>
          </w:tcPr>
          <w:p>
            <w:r>
              <w:rPr>
                <w:sz w:val="18"/>
              </w:rPr>
              <w:t>200</w:t>
            </w:r>
          </w:p>
        </w:tc>
        <w:tc>
          <w:tcPr>
            <w:tcW w:type="dxa" w:w="1504"/>
          </w:tcPr>
          <w:p>
            <w:r>
              <w:rPr>
                <w:sz w:val="18"/>
              </w:rPr>
              <w:t>Bbox + Parts</w:t>
            </w:r>
          </w:p>
        </w:tc>
        <w:tc>
          <w:tcPr>
            <w:tcW w:type="dxa" w:w="1504"/>
          </w:tcPr>
          <w:p>
            <w:r>
              <w:rPr>
                <w:sz w:val="18"/>
              </w:rPr>
              <w:t>Metrics</w:t>
            </w:r>
          </w:p>
        </w:tc>
        <w:tc>
          <w:tcPr>
            <w:tcW w:type="dxa" w:w="1504"/>
          </w:tcPr>
          <w:p>
            <w:r>
              <w:rPr>
                <w:sz w:val="18"/>
              </w:rPr>
              <w:t>caltech.edu</w:t>
            </w:r>
          </w:p>
        </w:tc>
      </w:tr>
      <w:tr>
        <w:tc>
          <w:tcPr>
            <w:tcW w:type="dxa" w:w="1504"/>
          </w:tcPr>
          <w:p>
            <w:r>
              <w:rPr>
                <w:sz w:val="18"/>
              </w:rPr>
              <w:t>ObjectNet</w:t>
            </w:r>
          </w:p>
        </w:tc>
        <w:tc>
          <w:tcPr>
            <w:tcW w:type="dxa" w:w="1504"/>
          </w:tcPr>
          <w:p>
            <w:r>
              <w:rPr>
                <w:sz w:val="18"/>
              </w:rPr>
              <w:t>50,000+</w:t>
            </w:r>
          </w:p>
        </w:tc>
        <w:tc>
          <w:tcPr>
            <w:tcW w:type="dxa" w:w="1504"/>
          </w:tcPr>
          <w:p>
            <w:r>
              <w:rPr>
                <w:sz w:val="18"/>
              </w:rPr>
              <w:t>313</w:t>
            </w:r>
          </w:p>
        </w:tc>
        <w:tc>
          <w:tcPr>
            <w:tcW w:type="dxa" w:w="1504"/>
          </w:tcPr>
          <w:p>
            <w:r>
              <w:rPr>
                <w:sz w:val="18"/>
              </w:rPr>
              <w:t>Context labels</w:t>
            </w:r>
          </w:p>
        </w:tc>
        <w:tc>
          <w:tcPr>
            <w:tcW w:type="dxa" w:w="1504"/>
          </w:tcPr>
          <w:p>
            <w:r>
              <w:rPr>
                <w:sz w:val="18"/>
              </w:rPr>
              <w:t>Natural bias</w:t>
            </w:r>
          </w:p>
        </w:tc>
        <w:tc>
          <w:tcPr>
            <w:tcW w:type="dxa" w:w="1504"/>
          </w:tcPr>
          <w:p>
            <w:r>
              <w:rPr>
                <w:sz w:val="18"/>
              </w:rPr>
              <w:t>objectnet.dev</w:t>
            </w:r>
          </w:p>
        </w:tc>
      </w:tr>
      <w:tr>
        <w:tc>
          <w:tcPr>
            <w:tcW w:type="dxa" w:w="1504"/>
          </w:tcPr>
          <w:p>
            <w:r>
              <w:rPr>
                <w:sz w:val="18"/>
              </w:rPr>
              <w:t>ImageNet-1K</w:t>
            </w:r>
          </w:p>
        </w:tc>
        <w:tc>
          <w:tcPr>
            <w:tcW w:type="dxa" w:w="1504"/>
          </w:tcPr>
          <w:p>
            <w:r>
              <w:rPr>
                <w:sz w:val="18"/>
              </w:rPr>
              <w:t>1.28M</w:t>
            </w:r>
          </w:p>
        </w:tc>
        <w:tc>
          <w:tcPr>
            <w:tcW w:type="dxa" w:w="1504"/>
          </w:tcPr>
          <w:p>
            <w:r>
              <w:rPr>
                <w:sz w:val="18"/>
              </w:rPr>
              <w:t>1,000</w:t>
            </w:r>
          </w:p>
        </w:tc>
        <w:tc>
          <w:tcPr>
            <w:tcW w:type="dxa" w:w="1504"/>
          </w:tcPr>
          <w:p>
            <w:r>
              <w:rPr>
                <w:sz w:val="18"/>
              </w:rPr>
              <w:t>Class labels</w:t>
            </w:r>
          </w:p>
        </w:tc>
        <w:tc>
          <w:tcPr>
            <w:tcW w:type="dxa" w:w="1504"/>
          </w:tcPr>
          <w:p>
            <w:r>
              <w:rPr>
                <w:sz w:val="18"/>
              </w:rPr>
              <w:t>Pretrained eval</w:t>
            </w:r>
          </w:p>
        </w:tc>
        <w:tc>
          <w:tcPr>
            <w:tcW w:type="dxa" w:w="1504"/>
          </w:tcPr>
          <w:p>
            <w:r>
              <w:rPr>
                <w:sz w:val="18"/>
              </w:rPr>
              <w:t>image-net.org</w:t>
            </w:r>
          </w:p>
        </w:tc>
      </w:tr>
      <w:tr>
        <w:tc>
          <w:tcPr>
            <w:tcW w:type="dxa" w:w="1504"/>
          </w:tcPr>
          <w:p>
            <w:r>
              <w:rPr>
                <w:sz w:val="18"/>
              </w:rPr>
              <w:t>Planted-Bias (synthetic)</w:t>
            </w:r>
          </w:p>
        </w:tc>
        <w:tc>
          <w:tcPr>
            <w:tcW w:type="dxa" w:w="1504"/>
          </w:tcPr>
          <w:p>
            <w:r>
              <w:rPr>
                <w:sz w:val="18"/>
              </w:rPr>
              <w:t>320-2000</w:t>
            </w:r>
          </w:p>
        </w:tc>
        <w:tc>
          <w:tcPr>
            <w:tcW w:type="dxa" w:w="1504"/>
          </w:tcPr>
          <w:p>
            <w:r>
              <w:rPr>
                <w:sz w:val="18"/>
              </w:rPr>
              <w:t>2-8</w:t>
            </w:r>
          </w:p>
        </w:tc>
        <w:tc>
          <w:tcPr>
            <w:tcW w:type="dxa" w:w="1504"/>
          </w:tcPr>
          <w:p>
            <w:r>
              <w:rPr>
                <w:sz w:val="18"/>
              </w:rPr>
              <w:t>Planted correlation</w:t>
            </w:r>
          </w:p>
        </w:tc>
        <w:tc>
          <w:tcPr>
            <w:tcW w:type="dxa" w:w="1504"/>
          </w:tcPr>
          <w:p>
            <w:r>
              <w:rPr>
                <w:sz w:val="18"/>
              </w:rPr>
              <w:t>Screening validation</w:t>
            </w:r>
          </w:p>
        </w:tc>
        <w:tc>
          <w:tcPr>
            <w:tcW w:type="dxa" w:w="1504"/>
          </w:tcPr>
          <w:p>
            <w:r>
              <w:rPr>
                <w:sz w:val="18"/>
              </w:rPr>
              <w:t>Self-generated</w:t>
            </w:r>
          </w:p>
        </w:tc>
      </w:tr>
    </w:tbl>
    <w:p/>
    <w:p>
      <w:pPr>
        <w:spacing w:after="240"/>
        <w:jc w:val="center"/>
      </w:pPr>
      <w:r>
        <w:rPr>
          <w:rFonts w:ascii="Times New Roman" w:hAnsi="Times New Roman"/>
          <w:b w:val="0"/>
          <w:i/>
          <w:sz w:val="20"/>
        </w:rPr>
        <w:t>Table 3.1: Overview of Datasets Used in AttentionLens</w:t>
      </w:r>
    </w:p>
    <w:p>
      <w:pPr>
        <w:spacing w:after="160" w:line="276" w:lineRule="auto"/>
        <w:jc w:val="both"/>
      </w:pPr>
      <w:r>
        <w:rPr>
          <w:rFonts w:ascii="Times New Roman" w:hAnsi="Times New Roman"/>
          <w:b w:val="0"/>
          <w:i w:val="0"/>
          <w:sz w:val="22"/>
        </w:rPr>
        <w:t>The CUB-200-2011 dataset serves as the primary dataset for metric computation and fine-grained analysis, providing the richest annotation set among all datasets used. ObjectNet provides a natural-bias benchmark where objects appear in unusual contexts, allowing validation of the screening engine's ability to detect real-world context reliance. ImageNet-1K provides pretrained models (ResNet-50, ViT-B/16) that have been extensively studied in the literature, enabling comparison with published results. The planted-bias synthetic dataset provides controlled validation where the ground truth is known exactly, allowing provable verification of the screener's detection capabilities.</w:t>
      </w:r>
    </w:p>
    <w:p>
      <w:pPr>
        <w:spacing w:before="360" w:after="200"/>
      </w:pPr>
      <w:r>
        <w:rPr>
          <w:rFonts w:ascii="Times New Roman" w:hAnsi="Times New Roman"/>
          <w:b/>
          <w:i w:val="0"/>
          <w:sz w:val="24"/>
        </w:rPr>
        <w:t>3.2 CUB-200-2011 Dataset</w:t>
      </w:r>
    </w:p>
    <w:p>
      <w:pPr>
        <w:spacing w:after="160" w:line="276" w:lineRule="auto"/>
        <w:jc w:val="both"/>
      </w:pPr>
      <w:r>
        <w:rPr>
          <w:rFonts w:ascii="Times New Roman" w:hAnsi="Times New Roman"/>
          <w:b w:val="0"/>
          <w:i w:val="0"/>
          <w:sz w:val="22"/>
        </w:rPr>
        <w:t>The Caltech-UCSD Birds-200-2011 (CUB-200-2011) dataset, introduced by Wah et al. (2011), is a benchmark dataset for fine-grained visual categorization. It contains 11,788 images of 200 bird species native to North America, with each image accompanied by rich annotations including bounding boxes, part locations, and attribute labels. The dataset is specifically designed for challenging fine-grained classification tasks where inter-class variation is subtle (e.g., distinguishing between different species of warblers) and intra-class variation is significant (e.g., different poses, lighting conditions, and backgrounds for the same species).</w:t>
      </w:r>
    </w:p>
    <w:p>
      <w:pPr>
        <w:spacing w:before="280" w:after="160"/>
      </w:pPr>
      <w:r>
        <w:rPr>
          <w:rFonts w:ascii="Times New Roman" w:hAnsi="Times New Roman"/>
          <w:b/>
          <w:i w:val="0"/>
          <w:sz w:val="22"/>
        </w:rPr>
        <w:t>3.2.1 Dataset Structure and Statistics</w:t>
      </w:r>
    </w:p>
    <w:p>
      <w:pPr>
        <w:spacing w:after="160" w:line="276" w:lineRule="auto"/>
        <w:jc w:val="both"/>
      </w:pPr>
      <w:r>
        <w:rPr>
          <w:rFonts w:ascii="Times New Roman" w:hAnsi="Times New Roman"/>
          <w:b w:val="0"/>
          <w:i w:val="0"/>
          <w:sz w:val="22"/>
        </w:rPr>
        <w:t>The CUB-200-2011 dataset is organized into 200 class directories, each containing images of a single bird species. The number of images per class varies from approximately 30 to 60 images, with an average of about 59 images per class. The dataset provides the following annotations for each image:</w:t>
      </w:r>
    </w:p>
    <w:p>
      <w:pPr>
        <w:spacing w:after="160" w:line="276" w:lineRule="auto"/>
        <w:jc w:val="both"/>
      </w:pPr>
      <w:r>
        <w:rPr>
          <w:rFonts w:ascii="Times New Roman" w:hAnsi="Times New Roman"/>
          <w:b w:val="0"/>
          <w:i w:val="0"/>
          <w:sz w:val="22"/>
        </w:rPr>
        <w:t>Bounding Boxes: Each image is annotated with a tight bounding box (x, y, width, height) that encloses the bird. These bounding boxes are essential for computing the object relevance share and background sensitivity metrics, as they define the object region against which attention patterns are evaluated.</w:t>
      </w:r>
    </w:p>
    <w:p>
      <w:pPr>
        <w:spacing w:after="160" w:line="276" w:lineRule="auto"/>
        <w:jc w:val="both"/>
      </w:pPr>
      <w:r>
        <w:rPr>
          <w:rFonts w:ascii="Times New Roman" w:hAnsi="Times New Roman"/>
          <w:b w:val="0"/>
          <w:i w:val="0"/>
          <w:sz w:val="22"/>
        </w:rPr>
        <w:t>Part Keypoints: Each image includes 15 annotated part locations corresponding to anatomically meaningful regions: beak, head, left eye, right eye, throat, upper breast, lower breast, nape, left wing, right wing, back, tail, left leg, right leg, and belly. Each part location is specified as (x, y) pixel coordinates along with a visibility flag (indicating whether the part is visible in the image). These keypoints enable computation of the part alignment metric, which measures whether the model's attention focuses on discriminative body parts.</w:t>
      </w:r>
    </w:p>
    <w:p>
      <w:pPr>
        <w:spacing w:after="160" w:line="276" w:lineRule="auto"/>
        <w:jc w:val="both"/>
      </w:pPr>
      <w:r>
        <w:rPr>
          <w:rFonts w:ascii="Times New Roman" w:hAnsi="Times New Roman"/>
          <w:b w:val="0"/>
          <w:i w:val="0"/>
          <w:sz w:val="22"/>
        </w:rPr>
        <w:t>Attribute Labels: The dataset includes 312 binary attribute labels per image, describing visual characteristics such as bill shape, wing pattern, upper parts color, and under parts pattern. While not directly used in the current implementation of AttentionLens, these attributes provide additional semantic information that could be leveraged for more sophisticated attribute-based explanation methods in future work.</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shd w:fill="4472C4"/>
          </w:tcPr>
          <w:p>
            <w:r>
              <w:rPr>
                <w:b/>
                <w:color w:val="FFFFFF"/>
                <w:sz w:val="18"/>
              </w:rPr>
              <w:t>Property</w:t>
            </w:r>
          </w:p>
        </w:tc>
        <w:tc>
          <w:tcPr>
            <w:tcW w:type="dxa" w:w="3009"/>
            <w:shd w:fill="4472C4"/>
          </w:tcPr>
          <w:p>
            <w:r>
              <w:rPr>
                <w:b/>
                <w:color w:val="FFFFFF"/>
                <w:sz w:val="18"/>
              </w:rPr>
              <w:t>Value</w:t>
            </w:r>
          </w:p>
        </w:tc>
        <w:tc>
          <w:tcPr>
            <w:tcW w:type="dxa" w:w="3009"/>
            <w:shd w:fill="4472C4"/>
          </w:tcPr>
          <w:p>
            <w:r>
              <w:rPr>
                <w:b/>
                <w:color w:val="FFFFFF"/>
                <w:sz w:val="18"/>
              </w:rPr>
              <w:t>Description</w:t>
            </w:r>
          </w:p>
        </w:tc>
      </w:tr>
      <w:tr>
        <w:tc>
          <w:tcPr>
            <w:tcW w:type="dxa" w:w="3009"/>
          </w:tcPr>
          <w:p>
            <w:r>
              <w:rPr>
                <w:sz w:val="18"/>
              </w:rPr>
              <w:t>Total Images</w:t>
            </w:r>
          </w:p>
        </w:tc>
        <w:tc>
          <w:tcPr>
            <w:tcW w:type="dxa" w:w="3009"/>
          </w:tcPr>
          <w:p>
            <w:r>
              <w:rPr>
                <w:sz w:val="18"/>
              </w:rPr>
              <w:t>11,788</w:t>
            </w:r>
          </w:p>
        </w:tc>
        <w:tc>
          <w:tcPr>
            <w:tcW w:type="dxa" w:w="3009"/>
          </w:tcPr>
          <w:p>
            <w:r>
              <w:rPr>
                <w:sz w:val="18"/>
              </w:rPr>
              <w:t>All species combined</w:t>
            </w:r>
          </w:p>
        </w:tc>
      </w:tr>
      <w:tr>
        <w:tc>
          <w:tcPr>
            <w:tcW w:type="dxa" w:w="3009"/>
          </w:tcPr>
          <w:p>
            <w:r>
              <w:rPr>
                <w:sz w:val="18"/>
              </w:rPr>
              <w:t>Number of Classes</w:t>
            </w:r>
          </w:p>
        </w:tc>
        <w:tc>
          <w:tcPr>
            <w:tcW w:type="dxa" w:w="3009"/>
          </w:tcPr>
          <w:p>
            <w:r>
              <w:rPr>
                <w:sz w:val="18"/>
              </w:rPr>
              <w:t>200</w:t>
            </w:r>
          </w:p>
        </w:tc>
        <w:tc>
          <w:tcPr>
            <w:tcW w:type="dxa" w:w="3009"/>
          </w:tcPr>
          <w:p>
            <w:r>
              <w:rPr>
                <w:sz w:val="18"/>
              </w:rPr>
              <w:t>Bird species</w:t>
            </w:r>
          </w:p>
        </w:tc>
      </w:tr>
      <w:tr>
        <w:tc>
          <w:tcPr>
            <w:tcW w:type="dxa" w:w="3009"/>
          </w:tcPr>
          <w:p>
            <w:r>
              <w:rPr>
                <w:sz w:val="18"/>
              </w:rPr>
              <w:t>Images per Class</w:t>
            </w:r>
          </w:p>
        </w:tc>
        <w:tc>
          <w:tcPr>
            <w:tcW w:type="dxa" w:w="3009"/>
          </w:tcPr>
          <w:p>
            <w:r>
              <w:rPr>
                <w:sz w:val="18"/>
              </w:rPr>
              <w:t>~59 (avg)</w:t>
            </w:r>
          </w:p>
        </w:tc>
        <w:tc>
          <w:tcPr>
            <w:tcW w:type="dxa" w:w="3009"/>
          </w:tcPr>
          <w:p>
            <w:r>
              <w:rPr>
                <w:sz w:val="18"/>
              </w:rPr>
              <w:t>Range: 30-60</w:t>
            </w:r>
          </w:p>
        </w:tc>
      </w:tr>
      <w:tr>
        <w:tc>
          <w:tcPr>
            <w:tcW w:type="dxa" w:w="3009"/>
          </w:tcPr>
          <w:p>
            <w:r>
              <w:rPr>
                <w:sz w:val="18"/>
              </w:rPr>
              <w:t>Bounding Boxes</w:t>
            </w:r>
          </w:p>
        </w:tc>
        <w:tc>
          <w:tcPr>
            <w:tcW w:type="dxa" w:w="3009"/>
          </w:tcPr>
          <w:p>
            <w:r>
              <w:rPr>
                <w:sz w:val="18"/>
              </w:rPr>
              <w:t>11,788</w:t>
            </w:r>
          </w:p>
        </w:tc>
        <w:tc>
          <w:tcPr>
            <w:tcW w:type="dxa" w:w="3009"/>
          </w:tcPr>
          <w:p>
            <w:r>
              <w:rPr>
                <w:sz w:val="18"/>
              </w:rPr>
              <w:t>One per image</w:t>
            </w:r>
          </w:p>
        </w:tc>
      </w:tr>
      <w:tr>
        <w:tc>
          <w:tcPr>
            <w:tcW w:type="dxa" w:w="3009"/>
          </w:tcPr>
          <w:p>
            <w:r>
              <w:rPr>
                <w:sz w:val="18"/>
              </w:rPr>
              <w:t>Part Keypoints</w:t>
            </w:r>
          </w:p>
        </w:tc>
        <w:tc>
          <w:tcPr>
            <w:tcW w:type="dxa" w:w="3009"/>
          </w:tcPr>
          <w:p>
            <w:r>
              <w:rPr>
                <w:sz w:val="18"/>
              </w:rPr>
              <w:t>15 per image</w:t>
            </w:r>
          </w:p>
        </w:tc>
        <w:tc>
          <w:tcPr>
            <w:tcW w:type="dxa" w:w="3009"/>
          </w:tcPr>
          <w:p>
            <w:r>
              <w:rPr>
                <w:sz w:val="18"/>
              </w:rPr>
              <w:t>Anatomical landmarks</w:t>
            </w:r>
          </w:p>
        </w:tc>
      </w:tr>
      <w:tr>
        <w:tc>
          <w:tcPr>
            <w:tcW w:type="dxa" w:w="3009"/>
          </w:tcPr>
          <w:p>
            <w:r>
              <w:rPr>
                <w:sz w:val="18"/>
              </w:rPr>
              <w:t>Image Resolution</w:t>
            </w:r>
          </w:p>
        </w:tc>
        <w:tc>
          <w:tcPr>
            <w:tcW w:type="dxa" w:w="3009"/>
          </w:tcPr>
          <w:p>
            <w:r>
              <w:rPr>
                <w:sz w:val="18"/>
              </w:rPr>
              <w:t>Variable</w:t>
            </w:r>
          </w:p>
        </w:tc>
        <w:tc>
          <w:tcPr>
            <w:tcW w:type="dxa" w:w="3009"/>
          </w:tcPr>
          <w:p>
            <w:r>
              <w:rPr>
                <w:sz w:val="18"/>
              </w:rPr>
              <w:t>Typically 200-500 px</w:t>
            </w:r>
          </w:p>
        </w:tc>
      </w:tr>
      <w:tr>
        <w:tc>
          <w:tcPr>
            <w:tcW w:type="dxa" w:w="3009"/>
          </w:tcPr>
          <w:p>
            <w:r>
              <w:rPr>
                <w:sz w:val="18"/>
              </w:rPr>
              <w:t>File Format</w:t>
            </w:r>
          </w:p>
        </w:tc>
        <w:tc>
          <w:tcPr>
            <w:tcW w:type="dxa" w:w="3009"/>
          </w:tcPr>
          <w:p>
            <w:r>
              <w:rPr>
                <w:sz w:val="18"/>
              </w:rPr>
              <w:t>JPEG</w:t>
            </w:r>
          </w:p>
        </w:tc>
        <w:tc>
          <w:tcPr>
            <w:tcW w:type="dxa" w:w="3009"/>
          </w:tcPr>
          <w:p>
            <w:r>
              <w:rPr>
                <w:sz w:val="18"/>
              </w:rPr>
              <w:t>RGB color images</w:t>
            </w:r>
          </w:p>
        </w:tc>
      </w:tr>
      <w:tr>
        <w:tc>
          <w:tcPr>
            <w:tcW w:type="dxa" w:w="3009"/>
          </w:tcPr>
          <w:p>
            <w:r>
              <w:rPr>
                <w:sz w:val="18"/>
              </w:rPr>
              <w:t>Train/Test Split</w:t>
            </w:r>
          </w:p>
        </w:tc>
        <w:tc>
          <w:tcPr>
            <w:tcW w:type="dxa" w:w="3009"/>
          </w:tcPr>
          <w:p>
            <w:r>
              <w:rPr>
                <w:sz w:val="18"/>
              </w:rPr>
              <w:t>Not predefined</w:t>
            </w:r>
          </w:p>
        </w:tc>
        <w:tc>
          <w:tcPr>
            <w:tcW w:type="dxa" w:w="3009"/>
          </w:tcPr>
          <w:p>
            <w:r>
              <w:rPr>
                <w:sz w:val="18"/>
              </w:rPr>
              <w:t>User-defined</w:t>
            </w:r>
          </w:p>
        </w:tc>
      </w:tr>
    </w:tbl>
    <w:p/>
    <w:p>
      <w:pPr>
        <w:spacing w:after="240"/>
        <w:jc w:val="center"/>
      </w:pPr>
      <w:r>
        <w:rPr>
          <w:rFonts w:ascii="Times New Roman" w:hAnsi="Times New Roman"/>
          <w:b w:val="0"/>
          <w:i/>
          <w:sz w:val="20"/>
        </w:rPr>
        <w:t>Table 3.2: CUB-200-2011 Dataset Statistics</w:t>
      </w:r>
    </w:p>
    <w:p>
      <w:pPr>
        <w:spacing w:before="280" w:after="160"/>
      </w:pPr>
      <w:r>
        <w:rPr>
          <w:rFonts w:ascii="Times New Roman" w:hAnsi="Times New Roman"/>
          <w:b/>
          <w:i w:val="0"/>
          <w:sz w:val="22"/>
        </w:rPr>
        <w:t>3.2.2 Relevance to AttentionLens</w:t>
      </w:r>
    </w:p>
    <w:p>
      <w:pPr>
        <w:spacing w:after="160" w:line="276" w:lineRule="auto"/>
        <w:jc w:val="both"/>
      </w:pPr>
      <w:r>
        <w:rPr>
          <w:rFonts w:ascii="Times New Roman" w:hAnsi="Times New Roman"/>
          <w:b w:val="0"/>
          <w:i w:val="0"/>
          <w:sz w:val="22"/>
        </w:rPr>
        <w:t>The CUB-200-2011 dataset is particularly well-suited for the AttentionLens framework for several reasons. First, the bounding box annotations enable computation of object relevance share, which measures what fraction of the model's attention falls on the bird versus the background. This is critical for detecting spurious correlations where the model may key on background features (water, branches) rather than the bird itself.</w:t>
      </w:r>
    </w:p>
    <w:p>
      <w:pPr>
        <w:spacing w:after="160" w:line="276" w:lineRule="auto"/>
        <w:jc w:val="both"/>
      </w:pPr>
      <w:r>
        <w:rPr>
          <w:rFonts w:ascii="Times New Roman" w:hAnsi="Times New Roman"/>
          <w:b w:val="0"/>
          <w:i w:val="0"/>
          <w:sz w:val="22"/>
        </w:rPr>
        <w:t>Second, the 15 part keypoints enable the part alignment metric, which measures whether the model's attention focuses on discriminative body parts. For bird species classification, the beak, head, and wing patterns are often the most discriminative features, so a well-calibrated model should show high attention on these regions. The part alignment metric quantifies this expectation.</w:t>
      </w:r>
    </w:p>
    <w:p>
      <w:pPr>
        <w:spacing w:after="160" w:line="276" w:lineRule="auto"/>
        <w:jc w:val="both"/>
      </w:pPr>
      <w:r>
        <w:rPr>
          <w:rFonts w:ascii="Times New Roman" w:hAnsi="Times New Roman"/>
          <w:b w:val="0"/>
          <w:i w:val="0"/>
          <w:sz w:val="22"/>
        </w:rPr>
        <w:t>Third, the fine-grained nature of the dataset (200 visually similar species) provides a challenging testbed for attention quality. Unlike coarse-grained datasets where objects are easily distinguishable, fine-grained classification requires the model to attend to subtle discriminative features, making attention analysis more informative.</w:t>
      </w:r>
    </w:p>
    <w:p>
      <w:pPr>
        <w:spacing w:after="160" w:line="276" w:lineRule="auto"/>
        <w:jc w:val="both"/>
      </w:pPr>
      <w:r>
        <w:rPr>
          <w:rFonts w:ascii="Times New Roman" w:hAnsi="Times New Roman"/>
          <w:b w:val="0"/>
          <w:i w:val="0"/>
          <w:sz w:val="22"/>
        </w:rPr>
        <w:t>Finally, the dataset is small enough (11,788 images) to allow comprehensive analysis of all images within reasonable computational time, yet large enough to provide statistically meaningful results. This balance makes CUB-200-2011 an ideal dataset for validating the AttentionLens framework's metrics and screening engine.</w:t>
      </w:r>
    </w:p>
    <w:p>
      <w:pPr>
        <w:spacing w:before="360" w:after="200"/>
      </w:pPr>
      <w:r>
        <w:rPr>
          <w:rFonts w:ascii="Times New Roman" w:hAnsi="Times New Roman"/>
          <w:b/>
          <w:i w:val="0"/>
          <w:sz w:val="24"/>
        </w:rPr>
        <w:t>3.3 ObjectNet Dataset</w:t>
      </w:r>
    </w:p>
    <w:p>
      <w:pPr>
        <w:spacing w:after="160" w:line="276" w:lineRule="auto"/>
        <w:jc w:val="both"/>
      </w:pPr>
      <w:r>
        <w:rPr>
          <w:rFonts w:ascii="Times New Roman" w:hAnsi="Times New Roman"/>
          <w:b w:val="0"/>
          <w:i w:val="0"/>
          <w:sz w:val="22"/>
        </w:rPr>
        <w:t>ObjectNet, introduced by Barbu et al. (2019), is a dataset specifically designed to test object recognition under natural variation. Unlike ImageNet, where objects are typically photographed in canonical poses and clean backgrounds, ObjectNet presents objects in unusual contexts: unusual viewpoints (rotated objects), unusual backgrounds (objects on strange surfaces), and unusual lighting conditions. The dataset contains over 50,000 images across 313 object categories, with each image carefully curated to maximize contextual variation while preserving object identity.</w:t>
      </w:r>
    </w:p>
    <w:p>
      <w:pPr>
        <w:spacing w:before="280" w:after="160"/>
      </w:pPr>
      <w:r>
        <w:rPr>
          <w:rFonts w:ascii="Times New Roman" w:hAnsi="Times New Roman"/>
          <w:b/>
          <w:i w:val="0"/>
          <w:sz w:val="22"/>
        </w:rPr>
        <w:t>3.3.1 Dataset Characteristics</w:t>
      </w:r>
    </w:p>
    <w:p>
      <w:pPr>
        <w:spacing w:after="160" w:line="276" w:lineRule="auto"/>
        <w:jc w:val="both"/>
      </w:pPr>
      <w:r>
        <w:rPr>
          <w:rFonts w:ascii="Times New Roman" w:hAnsi="Times New Roman"/>
          <w:b w:val="0"/>
          <w:i w:val="0"/>
          <w:sz w:val="22"/>
        </w:rPr>
        <w:t>ObjectNet's key characteristic is its emphasis on context variation. Standard ImageNet-trained models experience a dramatic accuracy drop on ObjectNet, falling from approximately 80% top-1 accuracy on ImageNet validation to approximately 20% on ObjectNet. This 60% collapse reveals that models rely heavily on contextual cues (typical backgrounds, canonical poses) rather than invariant object features. The dataset is designed to expose this reliance and test whether models can generalize to objects in novel contexts.</w:t>
      </w:r>
    </w:p>
    <w:p>
      <w:pPr>
        <w:spacing w:after="160" w:line="276" w:lineRule="auto"/>
        <w:jc w:val="both"/>
      </w:pPr>
      <w:r>
        <w:rPr>
          <w:rFonts w:ascii="Times New Roman" w:hAnsi="Times New Roman"/>
          <w:b w:val="0"/>
          <w:i w:val="0"/>
          <w:sz w:val="22"/>
        </w:rPr>
        <w:t>For AttentionLens, ObjectNet serves as a natural-bias benchmark. If the screening engine correctly identifies context reliance (background-dominated attention) on ObjectNet images, this demonstrates that the framework can detect real-world biases without requiring synthetic planted correlations. The dataset provides a complementary validation to the planted-bias experiment: the synthetic experiment proves the screener catches what we know (controlled shortcuts), while ObjectNet proves it catches what's real (natural context reliance).</w:t>
      </w:r>
    </w:p>
    <w:p>
      <w:pPr>
        <w:spacing w:before="280" w:after="160"/>
      </w:pPr>
      <w:r>
        <w:rPr>
          <w:rFonts w:ascii="Times New Roman" w:hAnsi="Times New Roman"/>
          <w:b/>
          <w:i w:val="0"/>
          <w:sz w:val="22"/>
        </w:rPr>
        <w:t>3.3.2 Integration with AttentionLens</w:t>
      </w:r>
    </w:p>
    <w:p>
      <w:pPr>
        <w:spacing w:after="160" w:line="276" w:lineRule="auto"/>
        <w:jc w:val="both"/>
      </w:pPr>
      <w:r>
        <w:rPr>
          <w:rFonts w:ascii="Times New Roman" w:hAnsi="Times New Roman"/>
          <w:b w:val="0"/>
          <w:i w:val="0"/>
          <w:sz w:val="22"/>
        </w:rPr>
        <w:t>In the AttentionLens framework, ObjectNet images are processed through the same pipeline as CUB-200 images: the ResNet-50 or ViT-B/16 extractor produces dual-view attention maps, the metrics module computes object relevance share and background sensitivity (using approximate bounding boxes since ObjectNet does not provide pixel-perfect annotations), and the screening engine produces verdicts indicating whether the model's attention is object-driven or context-driven.</w:t>
      </w:r>
    </w:p>
    <w:p>
      <w:pPr>
        <w:spacing w:after="160" w:line="276" w:lineRule="auto"/>
        <w:jc w:val="both"/>
      </w:pPr>
      <w:r>
        <w:rPr>
          <w:rFonts w:ascii="Times New Roman" w:hAnsi="Times New Roman"/>
          <w:b w:val="0"/>
          <w:i w:val="0"/>
          <w:sz w:val="22"/>
        </w:rPr>
        <w:t>The ObjectNet experiment (M8) revealed that standard pretrained models remain surprisingly object-focused even on unusual backgrounds, with background share typically below 0.10 for correctly classified images. However, for misclassified images, the screener identified 77 cases (approximately 10.8% of misclassifications) where background reliance exceeded object reliance, providing evidence-backed failure diagnoses. These cases represent instances where the model 'guessed from context' rather than recognizing the object, demonstrating the framework's ability to diagnose real-world failures.</w:t>
      </w:r>
    </w:p>
    <w:p>
      <w:pPr>
        <w:spacing w:before="360" w:after="200"/>
      </w:pPr>
      <w:r>
        <w:rPr>
          <w:rFonts w:ascii="Times New Roman" w:hAnsi="Times New Roman"/>
          <w:b/>
          <w:i w:val="0"/>
          <w:sz w:val="24"/>
        </w:rPr>
        <w:t>3.4 ImageNet-1K and Pretrained Models</w:t>
      </w:r>
    </w:p>
    <w:p>
      <w:pPr>
        <w:spacing w:after="160" w:line="276" w:lineRule="auto"/>
        <w:jc w:val="both"/>
      </w:pPr>
      <w:r>
        <w:rPr>
          <w:rFonts w:ascii="Times New Roman" w:hAnsi="Times New Roman"/>
          <w:b w:val="0"/>
          <w:i w:val="0"/>
          <w:sz w:val="22"/>
        </w:rPr>
        <w:t>ImageNet-1K (Deng et al., 2009) is the de facto standard benchmark for image classification, containing 1.28 million training images and 50,000 validation images across 1,000 object categories. While the full ImageNet dataset is too large for comprehensive attention analysis (requiring weeks of computation), AttentionLens uses ImageNet-pretrained models (ResNet-50 and ViT-B/16) as the primary subjects of analysis.</w:t>
      </w:r>
    </w:p>
    <w:p>
      <w:pPr>
        <w:spacing w:after="160" w:line="276" w:lineRule="auto"/>
        <w:jc w:val="both"/>
      </w:pPr>
      <w:r>
        <w:rPr>
          <w:rFonts w:ascii="Times New Roman" w:hAnsi="Times New Roman"/>
          <w:b w:val="0"/>
          <w:i w:val="0"/>
          <w:sz w:val="22"/>
        </w:rPr>
        <w:t>The ResNet-50 model used is torchvision's pretrained ResNet-50 with ImageNet1K_V2 weights, achieving approximately 80.8% top-1 accuracy on the ImageNet validation set. The ViT-B/16 model is timm's pretrained vit_base_patch16_224, achieving approximately 81.0% top-1 accuracy. Both models have been extensively studied in the literature, providing a basis for comparison with published attribution results.</w:t>
      </w:r>
    </w:p>
    <w:p>
      <w:pPr>
        <w:spacing w:after="160" w:line="276" w:lineRule="auto"/>
        <w:jc w:val="both"/>
      </w:pPr>
      <w:r>
        <w:rPr>
          <w:rFonts w:ascii="Times New Roman" w:hAnsi="Times New Roman"/>
          <w:b w:val="0"/>
          <w:i w:val="0"/>
          <w:sz w:val="22"/>
        </w:rPr>
        <w:t>For demonstration and testing purposes, AttentionLens also uses a small subset of ImageNet images (the sample.jpg image used throughout the experiments, which is a Samoyed dog image). This allows rapid iteration during development while the full dataset analysis is reserved for GPU-rented runs.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shd w:fill="4472C4"/>
          </w:tcPr>
          <w:p>
            <w:r>
              <w:rPr>
                <w:b/>
                <w:color w:val="FFFFFF"/>
                <w:sz w:val="18"/>
              </w:rPr>
              <w:t>Model</w:t>
            </w:r>
          </w:p>
        </w:tc>
        <w:tc>
          <w:tcPr>
            <w:tcW w:type="dxa" w:w="1805"/>
            <w:shd w:fill="4472C4"/>
          </w:tcPr>
          <w:p>
            <w:r>
              <w:rPr>
                <w:b/>
                <w:color w:val="FFFFFF"/>
                <w:sz w:val="18"/>
              </w:rPr>
              <w:t>Parameters</w:t>
            </w:r>
          </w:p>
        </w:tc>
        <w:tc>
          <w:tcPr>
            <w:tcW w:type="dxa" w:w="1805"/>
            <w:shd w:fill="4472C4"/>
          </w:tcPr>
          <w:p>
            <w:r>
              <w:rPr>
                <w:b/>
                <w:color w:val="FFFFFF"/>
                <w:sz w:val="18"/>
              </w:rPr>
              <w:t>Input Size</w:t>
            </w:r>
          </w:p>
        </w:tc>
        <w:tc>
          <w:tcPr>
            <w:tcW w:type="dxa" w:w="1805"/>
            <w:shd w:fill="4472C4"/>
          </w:tcPr>
          <w:p>
            <w:r>
              <w:rPr>
                <w:b/>
                <w:color w:val="FFFFFF"/>
                <w:sz w:val="18"/>
              </w:rPr>
              <w:t>Top-1 Acc</w:t>
            </w:r>
          </w:p>
        </w:tc>
        <w:tc>
          <w:tcPr>
            <w:tcW w:type="dxa" w:w="1805"/>
            <w:shd w:fill="4472C4"/>
          </w:tcPr>
          <w:p>
            <w:r>
              <w:rPr>
                <w:b/>
                <w:color w:val="FFFFFF"/>
                <w:sz w:val="18"/>
              </w:rPr>
              <w:t>Source</w:t>
            </w:r>
          </w:p>
        </w:tc>
      </w:tr>
      <w:tr>
        <w:tc>
          <w:tcPr>
            <w:tcW w:type="dxa" w:w="1805"/>
          </w:tcPr>
          <w:p>
            <w:r>
              <w:rPr>
                <w:sz w:val="18"/>
              </w:rPr>
              <w:t>ResNet-50</w:t>
            </w:r>
          </w:p>
        </w:tc>
        <w:tc>
          <w:tcPr>
            <w:tcW w:type="dxa" w:w="1805"/>
          </w:tcPr>
          <w:p>
            <w:r>
              <w:rPr>
                <w:sz w:val="18"/>
              </w:rPr>
              <w:t>25.6M</w:t>
            </w:r>
          </w:p>
        </w:tc>
        <w:tc>
          <w:tcPr>
            <w:tcW w:type="dxa" w:w="1805"/>
          </w:tcPr>
          <w:p>
            <w:r>
              <w:rPr>
                <w:sz w:val="18"/>
              </w:rPr>
              <w:t>224×224</w:t>
            </w:r>
          </w:p>
        </w:tc>
        <w:tc>
          <w:tcPr>
            <w:tcW w:type="dxa" w:w="1805"/>
          </w:tcPr>
          <w:p>
            <w:r>
              <w:rPr>
                <w:sz w:val="18"/>
              </w:rPr>
              <w:t>80.8%</w:t>
            </w:r>
          </w:p>
        </w:tc>
        <w:tc>
          <w:tcPr>
            <w:tcW w:type="dxa" w:w="1805"/>
          </w:tcPr>
          <w:p>
            <w:r>
              <w:rPr>
                <w:sz w:val="18"/>
              </w:rPr>
              <w:t>torchvision</w:t>
            </w:r>
          </w:p>
        </w:tc>
      </w:tr>
      <w:tr>
        <w:tc>
          <w:tcPr>
            <w:tcW w:type="dxa" w:w="1805"/>
          </w:tcPr>
          <w:p>
            <w:r>
              <w:rPr>
                <w:sz w:val="18"/>
              </w:rPr>
              <w:t>ViT-B/16</w:t>
            </w:r>
          </w:p>
        </w:tc>
        <w:tc>
          <w:tcPr>
            <w:tcW w:type="dxa" w:w="1805"/>
          </w:tcPr>
          <w:p>
            <w:r>
              <w:rPr>
                <w:sz w:val="18"/>
              </w:rPr>
              <w:t>86.6M</w:t>
            </w:r>
          </w:p>
        </w:tc>
        <w:tc>
          <w:tcPr>
            <w:tcW w:type="dxa" w:w="1805"/>
          </w:tcPr>
          <w:p>
            <w:r>
              <w:rPr>
                <w:sz w:val="18"/>
              </w:rPr>
              <w:t>224×224</w:t>
            </w:r>
          </w:p>
        </w:tc>
        <w:tc>
          <w:tcPr>
            <w:tcW w:type="dxa" w:w="1805"/>
          </w:tcPr>
          <w:p>
            <w:r>
              <w:rPr>
                <w:sz w:val="18"/>
              </w:rPr>
              <w:t>81.0%</w:t>
            </w:r>
          </w:p>
        </w:tc>
        <w:tc>
          <w:tcPr>
            <w:tcW w:type="dxa" w:w="1805"/>
          </w:tcPr>
          <w:p>
            <w:r>
              <w:rPr>
                <w:sz w:val="18"/>
              </w:rPr>
              <w:t>timm</w:t>
            </w:r>
          </w:p>
        </w:tc>
      </w:tr>
    </w:tbl>
    <w:p/>
    <w:p>
      <w:pPr>
        <w:spacing w:after="240"/>
        <w:jc w:val="center"/>
      </w:pPr>
      <w:r>
        <w:rPr>
          <w:rFonts w:ascii="Times New Roman" w:hAnsi="Times New Roman"/>
          <w:b w:val="0"/>
          <w:i/>
          <w:sz w:val="20"/>
        </w:rPr>
        <w:t>Table 3.3: Pretrained Model Configurations</w:t>
      </w:r>
    </w:p>
    <w:p>
      <w:pPr>
        <w:spacing w:before="360" w:after="200"/>
      </w:pPr>
      <w:r>
        <w:rPr>
          <w:rFonts w:ascii="Times New Roman" w:hAnsi="Times New Roman"/>
          <w:b/>
          <w:i w:val="0"/>
          <w:sz w:val="24"/>
        </w:rPr>
        <w:t>3.5 Planted-Bias Synthetic Dataset (Waterbirds-Style)</w:t>
      </w:r>
    </w:p>
    <w:p>
      <w:pPr>
        <w:spacing w:after="160" w:line="276" w:lineRule="auto"/>
        <w:jc w:val="both"/>
      </w:pPr>
      <w:r>
        <w:rPr>
          <w:rFonts w:ascii="Times New Roman" w:hAnsi="Times New Roman"/>
          <w:b w:val="0"/>
          <w:i w:val="0"/>
          <w:sz w:val="22"/>
        </w:rPr>
        <w:t>To provide controlled validation of the screening engine's bias detection capabilities, AttentionLens generates a synthetic planted-bias dataset inspired by the Waterbirds dataset (Sagawa et al., 2020). This dataset is constructed by compositing object crops onto backgrounds that are correlated with the object class, creating a known spurious correlation that the screener must detect.</w:t>
      </w:r>
    </w:p>
    <w:p>
      <w:pPr>
        <w:spacing w:before="280" w:after="160"/>
      </w:pPr>
      <w:r>
        <w:rPr>
          <w:rFonts w:ascii="Times New Roman" w:hAnsi="Times New Roman"/>
          <w:b/>
          <w:i w:val="0"/>
          <w:sz w:val="22"/>
        </w:rPr>
        <w:t>3.5.1 Dataset Construction</w:t>
      </w:r>
    </w:p>
    <w:p>
      <w:pPr>
        <w:spacing w:after="160" w:line="276" w:lineRule="auto"/>
        <w:jc w:val="both"/>
      </w:pPr>
      <w:r>
        <w:rPr>
          <w:rFonts w:ascii="Times New Roman" w:hAnsi="Times New Roman"/>
          <w:b w:val="0"/>
          <w:i w:val="0"/>
          <w:sz w:val="22"/>
        </w:rPr>
        <w:t>The synthetic dataset is constructed as follows. First, object crops are generated as colored blobs with distinct colors per class (serving as stand-ins for actual bird crops from CUB-200). Each class is assigned a unique color: class_0 is red, class_1 is blue, class_2 is green, class_3 is yellow, and so on. These crops are rendered as circular blobs of varying sizes (between 1/8 and 1/4 of the image width) at random positions within the central region of the image.</w:t>
      </w:r>
    </w:p>
    <w:p>
      <w:pPr>
        <w:spacing w:after="160" w:line="276" w:lineRule="auto"/>
        <w:jc w:val="both"/>
      </w:pPr>
      <w:r>
        <w:rPr>
          <w:rFonts w:ascii="Times New Roman" w:hAnsi="Times New Roman"/>
          <w:b w:val="0"/>
          <w:i w:val="0"/>
          <w:sz w:val="22"/>
        </w:rPr>
        <w:t>Second, backgrounds are generated for each class. For a 2-class experiment, the backgrounds are 'water' (blue-gray gradient) and 'land' (green gradient). For a 4-class experiment, additional backgrounds 'forest' (dark green gradient) and 'city' (gray gradient) are added. The critical step is the correlation: class_0 objects are composited onto 'water' backgrounds with 95% probability, class_1 objects onto 'land' backgrounds, and so on. This creates a spurious correlation where the model can achieve high accuracy by simply detecting the background rather than the object.</w:t>
      </w:r>
    </w:p>
    <w:p>
      <w:pPr>
        <w:spacing w:after="160" w:line="276" w:lineRule="auto"/>
        <w:jc w:val="both"/>
      </w:pPr>
      <w:r>
        <w:rPr>
          <w:rFonts w:ascii="Times New Roman" w:hAnsi="Times New Roman"/>
          <w:b w:val="0"/>
          <w:i w:val="0"/>
          <w:sz w:val="22"/>
        </w:rPr>
        <w:t>The compositing process uses a soft-edge blending algorithm with a 14-pixel alpha ramp to create realistic transitions between object and background. The object crop is resized to approximately 50% of the frame and centered, with the remaining 50% filled by the background. This ensures that both the object and background are visible and that the model has the opportunity to learn either the object features or the background shortcut.</w:t>
      </w:r>
    </w:p>
    <w:p>
      <w:pPr>
        <w:spacing w:before="160" w:after="80"/>
        <w:jc w:val="center"/>
      </w:pPr>
      <w:r>
        <w:rPr>
          <w:rFonts w:ascii="Times New Roman" w:hAnsi="Times New Roman"/>
          <w:b w:val="0"/>
          <w:i/>
          <w:sz w:val="22"/>
        </w:rPr>
        <w:t>composite(x,y) = α(x,y) · object(x,y) + (1-α(x,y)) · background(x,y)</w:t>
      </w:r>
    </w:p>
    <w:p>
      <w:pPr>
        <w:spacing w:after="160"/>
        <w:jc w:val="right"/>
      </w:pPr>
      <w:r>
        <w:rPr>
          <w:rFonts w:ascii="Times New Roman" w:hAnsi="Times New Roman"/>
          <w:b w:val="0"/>
          <w:i w:val="0"/>
          <w:sz w:val="20"/>
        </w:rPr>
        <w:t>(3.1)</w:t>
      </w:r>
    </w:p>
    <w:p>
      <w:pPr>
        <w:spacing w:after="160" w:line="276" w:lineRule="auto"/>
        <w:jc w:val="both"/>
      </w:pPr>
      <w:r>
        <w:rPr>
          <w:rFonts w:ascii="Times New Roman" w:hAnsi="Times New Roman"/>
          <w:b w:val="0"/>
          <w:i w:val="0"/>
          <w:sz w:val="22"/>
        </w:rPr>
        <w:t>where α(x,y) is the alpha mask with soft edges. The alpha ramp is defined as:</w:t>
      </w:r>
    </w:p>
    <w:p>
      <w:pPr>
        <w:spacing w:before="160" w:after="80"/>
        <w:jc w:val="center"/>
      </w:pPr>
      <w:r>
        <w:rPr>
          <w:rFonts w:ascii="Times New Roman" w:hAnsi="Times New Roman"/>
          <w:b w:val="0"/>
          <w:i/>
          <w:sz w:val="22"/>
        </w:rPr>
        <w:t>α(x,y) = min(d_edge(x,y) / r, 1.0)</w:t>
      </w:r>
    </w:p>
    <w:p>
      <w:pPr>
        <w:spacing w:after="160"/>
        <w:jc w:val="right"/>
      </w:pPr>
      <w:r>
        <w:rPr>
          <w:rFonts w:ascii="Times New Roman" w:hAnsi="Times New Roman"/>
          <w:b w:val="0"/>
          <w:i w:val="0"/>
          <w:sz w:val="20"/>
        </w:rPr>
        <w:t>(3.2)</w:t>
      </w:r>
    </w:p>
    <w:p>
      <w:pPr>
        <w:spacing w:after="160" w:line="276" w:lineRule="auto"/>
        <w:jc w:val="both"/>
      </w:pPr>
      <w:r>
        <w:rPr>
          <w:rFonts w:ascii="Times New Roman" w:hAnsi="Times New Roman"/>
          <w:b w:val="0"/>
          <w:i w:val="0"/>
          <w:sz w:val="22"/>
        </w:rPr>
        <w:t>where d_edge(x,y) is the distance from pixel (x,y) to the nearest edge of the object region, and r is the ramp width (14 pixels). This creates a smooth transition that avoids hard edges which would provide trivial cues.</w:t>
      </w:r>
    </w:p>
    <w:p>
      <w:pPr>
        <w:spacing w:before="280" w:after="160"/>
      </w:pPr>
      <w:r>
        <w:rPr>
          <w:rFonts w:ascii="Times New Roman" w:hAnsi="Times New Roman"/>
          <w:b/>
          <w:i w:val="0"/>
          <w:sz w:val="22"/>
        </w:rPr>
        <w:t>3.5.2 Dataset Configurations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shd w:fill="4472C4"/>
          </w:tcPr>
          <w:p>
            <w:r>
              <w:rPr>
                <w:b/>
                <w:color w:val="FFFFFF"/>
                <w:sz w:val="18"/>
              </w:rPr>
              <w:t>Config</w:t>
            </w:r>
          </w:p>
        </w:tc>
        <w:tc>
          <w:tcPr>
            <w:tcW w:type="dxa" w:w="1805"/>
            <w:shd w:fill="4472C4"/>
          </w:tcPr>
          <w:p>
            <w:r>
              <w:rPr>
                <w:b/>
                <w:color w:val="FFFFFF"/>
                <w:sz w:val="18"/>
              </w:rPr>
              <w:t>Classes</w:t>
            </w:r>
          </w:p>
        </w:tc>
        <w:tc>
          <w:tcPr>
            <w:tcW w:type="dxa" w:w="1805"/>
            <w:shd w:fill="4472C4"/>
          </w:tcPr>
          <w:p>
            <w:r>
              <w:rPr>
                <w:b/>
                <w:color w:val="FFFFFF"/>
                <w:sz w:val="18"/>
              </w:rPr>
              <w:t>Images/Class</w:t>
            </w:r>
          </w:p>
        </w:tc>
        <w:tc>
          <w:tcPr>
            <w:tcW w:type="dxa" w:w="1805"/>
            <w:shd w:fill="4472C4"/>
          </w:tcPr>
          <w:p>
            <w:r>
              <w:rPr>
                <w:b/>
                <w:color w:val="FFFFFF"/>
                <w:sz w:val="18"/>
              </w:rPr>
              <w:t>Total Images</w:t>
            </w:r>
          </w:p>
        </w:tc>
        <w:tc>
          <w:tcPr>
            <w:tcW w:type="dxa" w:w="1805"/>
            <w:shd w:fill="4472C4"/>
          </w:tcPr>
          <w:p>
            <w:r>
              <w:rPr>
                <w:b/>
                <w:color w:val="FFFFFF"/>
                <w:sz w:val="18"/>
              </w:rPr>
              <w:t>Correlation</w:t>
            </w:r>
          </w:p>
        </w:tc>
      </w:tr>
      <w:tr>
        <w:tc>
          <w:tcPr>
            <w:tcW w:type="dxa" w:w="1805"/>
          </w:tcPr>
          <w:p>
            <w:r>
              <w:rPr>
                <w:sz w:val="18"/>
              </w:rPr>
              <w:t>CPU 2-class</w:t>
            </w:r>
          </w:p>
        </w:tc>
        <w:tc>
          <w:tcPr>
            <w:tcW w:type="dxa" w:w="1805"/>
          </w:tcPr>
          <w:p>
            <w:r>
              <w:rPr>
                <w:sz w:val="18"/>
              </w:rPr>
              <w:t>2</w:t>
            </w:r>
          </w:p>
        </w:tc>
        <w:tc>
          <w:tcPr>
            <w:tcW w:type="dxa" w:w="1805"/>
          </w:tcPr>
          <w:p>
            <w:r>
              <w:rPr>
                <w:sz w:val="18"/>
              </w:rPr>
              <w:t>60</w:t>
            </w:r>
          </w:p>
        </w:tc>
        <w:tc>
          <w:tcPr>
            <w:tcW w:type="dxa" w:w="1805"/>
          </w:tcPr>
          <w:p>
            <w:r>
              <w:rPr>
                <w:sz w:val="18"/>
              </w:rPr>
              <w:t>120</w:t>
            </w:r>
          </w:p>
        </w:tc>
        <w:tc>
          <w:tcPr>
            <w:tcW w:type="dxa" w:w="1805"/>
          </w:tcPr>
          <w:p>
            <w:r>
              <w:rPr>
                <w:sz w:val="18"/>
              </w:rPr>
              <w:t>95%</w:t>
            </w:r>
          </w:p>
        </w:tc>
      </w:tr>
      <w:tr>
        <w:tc>
          <w:tcPr>
            <w:tcW w:type="dxa" w:w="1805"/>
          </w:tcPr>
          <w:p>
            <w:r>
              <w:rPr>
                <w:sz w:val="18"/>
              </w:rPr>
              <w:t>CPU 4-class</w:t>
            </w:r>
          </w:p>
        </w:tc>
        <w:tc>
          <w:tcPr>
            <w:tcW w:type="dxa" w:w="1805"/>
          </w:tcPr>
          <w:p>
            <w:r>
              <w:rPr>
                <w:sz w:val="18"/>
              </w:rPr>
              <w:t>4</w:t>
            </w:r>
          </w:p>
        </w:tc>
        <w:tc>
          <w:tcPr>
            <w:tcW w:type="dxa" w:w="1805"/>
          </w:tcPr>
          <w:p>
            <w:r>
              <w:rPr>
                <w:sz w:val="18"/>
              </w:rPr>
              <w:t>60</w:t>
            </w:r>
          </w:p>
        </w:tc>
        <w:tc>
          <w:tcPr>
            <w:tcW w:type="dxa" w:w="1805"/>
          </w:tcPr>
          <w:p>
            <w:r>
              <w:rPr>
                <w:sz w:val="18"/>
              </w:rPr>
              <w:t>240</w:t>
            </w:r>
          </w:p>
        </w:tc>
        <w:tc>
          <w:tcPr>
            <w:tcW w:type="dxa" w:w="1805"/>
          </w:tcPr>
          <w:p>
            <w:r>
              <w:rPr>
                <w:sz w:val="18"/>
              </w:rPr>
              <w:t>95%</w:t>
            </w:r>
          </w:p>
        </w:tc>
      </w:tr>
      <w:tr>
        <w:tc>
          <w:tcPr>
            <w:tcW w:type="dxa" w:w="1805"/>
          </w:tcPr>
          <w:p>
            <w:r>
              <w:rPr>
                <w:sz w:val="18"/>
              </w:rPr>
              <w:t>GPU 4-class</w:t>
            </w:r>
          </w:p>
        </w:tc>
        <w:tc>
          <w:tcPr>
            <w:tcW w:type="dxa" w:w="1805"/>
          </w:tcPr>
          <w:p>
            <w:r>
              <w:rPr>
                <w:sz w:val="18"/>
              </w:rPr>
              <w:t>4</w:t>
            </w:r>
          </w:p>
        </w:tc>
        <w:tc>
          <w:tcPr>
            <w:tcW w:type="dxa" w:w="1805"/>
          </w:tcPr>
          <w:p>
            <w:r>
              <w:rPr>
                <w:sz w:val="18"/>
              </w:rPr>
              <w:t>80</w:t>
            </w:r>
          </w:p>
        </w:tc>
        <w:tc>
          <w:tcPr>
            <w:tcW w:type="dxa" w:w="1805"/>
          </w:tcPr>
          <w:p>
            <w:r>
              <w:rPr>
                <w:sz w:val="18"/>
              </w:rPr>
              <w:t>320</w:t>
            </w:r>
          </w:p>
        </w:tc>
        <w:tc>
          <w:tcPr>
            <w:tcW w:type="dxa" w:w="1805"/>
          </w:tcPr>
          <w:p>
            <w:r>
              <w:rPr>
                <w:sz w:val="18"/>
              </w:rPr>
              <w:t>95%</w:t>
            </w:r>
          </w:p>
        </w:tc>
      </w:tr>
      <w:tr>
        <w:tc>
          <w:tcPr>
            <w:tcW w:type="dxa" w:w="1805"/>
          </w:tcPr>
          <w:p>
            <w:r>
              <w:rPr>
                <w:sz w:val="18"/>
              </w:rPr>
              <w:t>GPU 8-class</w:t>
            </w:r>
          </w:p>
        </w:tc>
        <w:tc>
          <w:tcPr>
            <w:tcW w:type="dxa" w:w="1805"/>
          </w:tcPr>
          <w:p>
            <w:r>
              <w:rPr>
                <w:sz w:val="18"/>
              </w:rPr>
              <w:t>8</w:t>
            </w:r>
          </w:p>
        </w:tc>
        <w:tc>
          <w:tcPr>
            <w:tcW w:type="dxa" w:w="1805"/>
          </w:tcPr>
          <w:p>
            <w:r>
              <w:rPr>
                <w:sz w:val="18"/>
              </w:rPr>
              <w:t>80</w:t>
            </w:r>
          </w:p>
        </w:tc>
        <w:tc>
          <w:tcPr>
            <w:tcW w:type="dxa" w:w="1805"/>
          </w:tcPr>
          <w:p>
            <w:r>
              <w:rPr>
                <w:sz w:val="18"/>
              </w:rPr>
              <w:t>640</w:t>
            </w:r>
          </w:p>
        </w:tc>
        <w:tc>
          <w:tcPr>
            <w:tcW w:type="dxa" w:w="1805"/>
          </w:tcPr>
          <w:p>
            <w:r>
              <w:rPr>
                <w:sz w:val="18"/>
              </w:rPr>
              <w:t>95%</w:t>
            </w:r>
          </w:p>
        </w:tc>
      </w:tr>
    </w:tbl>
    <w:p/>
    <w:p>
      <w:pPr>
        <w:spacing w:after="240"/>
        <w:jc w:val="center"/>
      </w:pPr>
      <w:r>
        <w:rPr>
          <w:rFonts w:ascii="Times New Roman" w:hAnsi="Times New Roman"/>
          <w:b w:val="0"/>
          <w:i/>
          <w:sz w:val="20"/>
        </w:rPr>
        <w:t>Table 3.4: Planted-Bias Dataset Configurations</w:t>
      </w:r>
    </w:p>
    <w:p>
      <w:pPr>
        <w:spacing w:after="160" w:line="276" w:lineRule="auto"/>
        <w:jc w:val="both"/>
      </w:pPr>
      <w:r>
        <w:rPr>
          <w:rFonts w:ascii="Times New Roman" w:hAnsi="Times New Roman"/>
          <w:b w:val="0"/>
          <w:i w:val="0"/>
          <w:sz w:val="22"/>
        </w:rPr>
        <w:t>The planted-bias dataset is generated on-the-fly by the experiments/planted_bias.py script and stored in the experiments/m7/ or experiments/m7_gpu/ directories. The dataset is deterministic (controlled by a random seed) to ensure reproducibility. After training a classifier on this biased dataset, the AttentionLens screener is run to verify that it correctly identifies the planted correlations.</w:t>
      </w:r>
    </w:p>
    <w:p>
      <w:pPr>
        <w:spacing w:before="360" w:after="200"/>
      </w:pPr>
      <w:r>
        <w:rPr>
          <w:rFonts w:ascii="Times New Roman" w:hAnsi="Times New Roman"/>
          <w:b/>
          <w:i w:val="0"/>
          <w:sz w:val="24"/>
        </w:rPr>
        <w:t>3.6 Preprocessing Pipeline</w:t>
      </w:r>
    </w:p>
    <w:p>
      <w:pPr>
        <w:spacing w:after="160" w:line="276" w:lineRule="auto"/>
        <w:jc w:val="both"/>
      </w:pPr>
      <w:r>
        <w:rPr>
          <w:rFonts w:ascii="Times New Roman" w:hAnsi="Times New Roman"/>
          <w:b w:val="0"/>
          <w:i w:val="0"/>
          <w:sz w:val="22"/>
        </w:rPr>
        <w:t>All images processed by AttentionLens undergo a standardized preprocessing pipeline that ensures compatibility with pretrained ImageNet models and produces consistent tensor representations. The preprocessing pipeline is implemented in the attentionlens/preprocess.py module and consists of the following steps.</w:t>
      </w:r>
    </w:p>
    <w:p>
      <w:pPr>
        <w:spacing w:before="280" w:after="160"/>
      </w:pPr>
      <w:r>
        <w:rPr>
          <w:rFonts w:ascii="Times New Roman" w:hAnsi="Times New Roman"/>
          <w:b/>
          <w:i w:val="0"/>
          <w:sz w:val="22"/>
        </w:rPr>
        <w:t>3.6.1 Image Loading and Resizing</w:t>
      </w:r>
    </w:p>
    <w:p>
      <w:pPr>
        <w:spacing w:after="160" w:line="276" w:lineRule="auto"/>
        <w:jc w:val="both"/>
      </w:pPr>
      <w:r>
        <w:rPr>
          <w:rFonts w:ascii="Times New Roman" w:hAnsi="Times New Roman"/>
          <w:b w:val="0"/>
          <w:i w:val="0"/>
          <w:sz w:val="22"/>
        </w:rPr>
        <w:t>Input images are loaded using the PIL (Python Imaging Library) and converted to RGB color space to ensure consistency (grayscale or RGBA images are converted to 3-channel RGB). The images are then resized to 224×224 pixels, which is the standard input size for both ResNet-50 and ViT-B/16 models. Bilinear interpolation is used for resizing to preserve image quality while achieving the required resolution.</w:t>
      </w:r>
    </w:p>
    <w:p>
      <w:pPr>
        <w:spacing w:before="280" w:after="160"/>
      </w:pPr>
      <w:r>
        <w:rPr>
          <w:rFonts w:ascii="Times New Roman" w:hAnsi="Times New Roman"/>
          <w:b/>
          <w:i w:val="0"/>
          <w:sz w:val="22"/>
        </w:rPr>
        <w:t>3.6.2 Normalization</w:t>
      </w:r>
    </w:p>
    <w:p>
      <w:pPr>
        <w:spacing w:after="160" w:line="276" w:lineRule="auto"/>
        <w:jc w:val="both"/>
      </w:pPr>
      <w:r>
        <w:rPr>
          <w:rFonts w:ascii="Times New Roman" w:hAnsi="Times New Roman"/>
          <w:b w:val="0"/>
          <w:i w:val="0"/>
          <w:sz w:val="22"/>
        </w:rPr>
        <w:t>After resizing, images are normalized using the ImageNet mean and standard deviation statistics. This normalization is critical because pretrained models expect input distributions matching their training data. The normalization is applied per-channel using the following formula:</w:t>
      </w:r>
    </w:p>
    <w:p>
      <w:pPr>
        <w:spacing w:before="160" w:after="80"/>
        <w:jc w:val="center"/>
      </w:pPr>
      <w:r>
        <w:rPr>
          <w:rFonts w:ascii="Times New Roman" w:hAnsi="Times New Roman"/>
          <w:b w:val="0"/>
          <w:i/>
          <w:sz w:val="22"/>
        </w:rPr>
        <w:t>x_normalized = (x / 255.0 - μ) / σ</w:t>
      </w:r>
    </w:p>
    <w:p>
      <w:pPr>
        <w:spacing w:after="160"/>
        <w:jc w:val="right"/>
      </w:pPr>
      <w:r>
        <w:rPr>
          <w:rFonts w:ascii="Times New Roman" w:hAnsi="Times New Roman"/>
          <w:b w:val="0"/>
          <w:i w:val="0"/>
          <w:sz w:val="20"/>
        </w:rPr>
        <w:t>(3.3)</w:t>
      </w:r>
    </w:p>
    <w:p>
      <w:pPr>
        <w:spacing w:after="160" w:line="276" w:lineRule="auto"/>
        <w:jc w:val="both"/>
      </w:pPr>
      <w:r>
        <w:rPr>
          <w:rFonts w:ascii="Times New Roman" w:hAnsi="Times New Roman"/>
          <w:b w:val="0"/>
          <w:i w:val="0"/>
          <w:sz w:val="22"/>
        </w:rPr>
        <w:t>where x is the pixel value in [0, 255], μ is the channel mean, and σ is the channel standard deviation. The ImageNet statistics used are:</w:t>
      </w:r>
    </w:p>
    <w:p>
      <w:pPr>
        <w:spacing w:after="160" w:line="276" w:lineRule="auto"/>
        <w:jc w:val="both"/>
      </w:pPr>
      <w:r>
        <w:rPr>
          <w:rFonts w:ascii="Times New Roman" w:hAnsi="Times New Roman"/>
          <w:b w:val="0"/>
          <w:i w:val="0"/>
          <w:sz w:val="22"/>
        </w:rPr>
        <w:t>Mean: μ = [0.485, 0.456, 0.406] for R, G, B channels respectively. Standard Deviation: σ = [0.229, 0.224, 0.225] for R, G, B channels respectively. These values are computed from the ImageNet training set and are standard across the computer vision community.</w:t>
      </w:r>
    </w:p>
    <w:p>
      <w:pPr>
        <w:spacing w:before="280" w:after="160"/>
      </w:pPr>
      <w:r>
        <w:rPr>
          <w:rFonts w:ascii="Times New Roman" w:hAnsi="Times New Roman"/>
          <w:b/>
          <w:i w:val="0"/>
          <w:sz w:val="22"/>
        </w:rPr>
        <w:t>3.6.3 Tensor Conversion</w:t>
      </w:r>
    </w:p>
    <w:p>
      <w:pPr>
        <w:spacing w:after="160" w:line="276" w:lineRule="auto"/>
        <w:jc w:val="both"/>
      </w:pPr>
      <w:r>
        <w:rPr>
          <w:rFonts w:ascii="Times New Roman" w:hAnsi="Times New Roman"/>
          <w:b w:val="0"/>
          <w:i w:val="0"/>
          <w:sz w:val="22"/>
        </w:rPr>
        <w:t>The normalized image is converted from a NumPy array (H×W×3, float32) to a PyTorch tensor with shape [1, 3, 224, 224] (batch size 1, 3 channels, 224 height, 224 width). The channel dimension is moved from the last axis to the second axis using a permutation operation (HWC to CHW format), and a batch dimension is added. The tensor is then moved to the specified device (CPU or CUDA) for inference.</w:t>
      </w:r>
    </w:p>
    <w:p>
      <w:pPr>
        <w:spacing w:before="160" w:after="80"/>
        <w:jc w:val="center"/>
      </w:pPr>
      <w:r>
        <w:rPr>
          <w:rFonts w:ascii="Times New Roman" w:hAnsi="Times New Roman"/>
          <w:b w:val="0"/>
          <w:i/>
          <w:sz w:val="22"/>
        </w:rPr>
        <w:t>tensor = permute(normalized_array, (2, 0, 1)).unsqueeze(0).to(device)</w:t>
      </w:r>
    </w:p>
    <w:p>
      <w:pPr>
        <w:spacing w:after="160"/>
        <w:jc w:val="right"/>
      </w:pPr>
      <w:r>
        <w:rPr>
          <w:rFonts w:ascii="Times New Roman" w:hAnsi="Times New Roman"/>
          <w:b w:val="0"/>
          <w:i w:val="0"/>
          <w:sz w:val="20"/>
        </w:rPr>
        <w:t>(3.4)</w:t>
      </w:r>
    </w:p>
    <w:p>
      <w:pPr>
        <w:spacing w:after="160" w:line="276" w:lineRule="auto"/>
        <w:jc w:val="both"/>
      </w:pPr>
      <w:r>
        <w:rPr>
          <w:rFonts w:ascii="Times New Roman" w:hAnsi="Times New Roman"/>
          <w:b w:val="0"/>
          <w:i w:val="0"/>
          <w:sz w:val="22"/>
        </w:rPr>
        <w:t>The complete preprocessing pipeline is encapsulated in the load_image_tensor() function, which takes a file path and optional device parameter, and returns a ready-to-use tensor. The inverse operation, tensor_to_image(), reverses the normalization and converts the tensor back to a uint8 NumPy array for visualization purposes.</w:t>
      </w:r>
    </w:p>
    <w:p>
      <w:pPr>
        <w:spacing w:before="360" w:after="200"/>
      </w:pPr>
      <w:r>
        <w:rPr>
          <w:rFonts w:ascii="Times New Roman" w:hAnsi="Times New Roman"/>
          <w:b/>
          <w:i w:val="0"/>
          <w:sz w:val="24"/>
        </w:rPr>
        <w:t>3.7 Dataset Splitting Strategy</w:t>
      </w:r>
    </w:p>
    <w:p>
      <w:pPr>
        <w:spacing w:after="160" w:line="276" w:lineRule="auto"/>
        <w:jc w:val="both"/>
      </w:pPr>
      <w:r>
        <w:rPr>
          <w:rFonts w:ascii="Times New Roman" w:hAnsi="Times New Roman"/>
          <w:b w:val="0"/>
          <w:i w:val="0"/>
          <w:sz w:val="22"/>
        </w:rPr>
        <w:t>For the AttentionLens framework, dataset splitting follows different strategies depending on the experiment. For the CUB-200-2011 dataset, since the focus is on explainability rather than training, the entire dataset (or a representative subset) is used for analysis. The framework does not require train/validation/test splits because it analyzes pretrained models rather than training new ones.</w:t>
      </w:r>
    </w:p>
    <w:p>
      <w:pPr>
        <w:spacing w:after="160" w:line="276" w:lineRule="auto"/>
        <w:jc w:val="both"/>
      </w:pPr>
      <w:r>
        <w:rPr>
          <w:rFonts w:ascii="Times New Roman" w:hAnsi="Times New Roman"/>
          <w:b w:val="0"/>
          <w:i w:val="0"/>
          <w:sz w:val="22"/>
        </w:rPr>
        <w:t>For the planted-bias experiment (M7), the synthetic dataset is split into training and evaluation sets. The training set (80% of images) is used to fine-tune the classifier, while the evaluation set (20% of images) is used to assess the screener's detection accuracy. However, since the planted correlation is known, the evaluation set is primarily used to verify that the screener produces correct verdicts rather than to measure generalization performance.</w:t>
      </w:r>
    </w:p>
    <w:p>
      <w:pPr>
        <w:spacing w:after="160" w:line="276" w:lineRule="auto"/>
        <w:jc w:val="both"/>
      </w:pPr>
      <w:r>
        <w:rPr>
          <w:rFonts w:ascii="Times New Roman" w:hAnsi="Times New Roman"/>
          <w:b w:val="0"/>
          <w:i w:val="0"/>
          <w:sz w:val="22"/>
        </w:rPr>
        <w:t>For the ObjectNet experiment (M8), the entire ObjectNet validation set (or a random subset for computational efficiency) is used. Since ObjectNet is a pre-existing benchmark with established evaluation protocols, no additional splitting is performed. The framework analyzes all images in the subset and produces aggregate statistics and per-image verdicts.</w:t>
      </w:r>
    </w:p>
    <w:p>
      <w:pPr>
        <w:spacing w:before="360" w:after="200"/>
      </w:pPr>
      <w:r>
        <w:rPr>
          <w:rFonts w:ascii="Times New Roman" w:hAnsi="Times New Roman"/>
          <w:b/>
          <w:i w:val="0"/>
          <w:sz w:val="24"/>
        </w:rPr>
        <w:t>3.8 Ground Truth Annotations</w:t>
      </w:r>
    </w:p>
    <w:p>
      <w:pPr>
        <w:spacing w:after="160" w:line="276" w:lineRule="auto"/>
        <w:jc w:val="both"/>
      </w:pPr>
      <w:r>
        <w:rPr>
          <w:rFonts w:ascii="Times New Roman" w:hAnsi="Times New Roman"/>
          <w:b w:val="0"/>
          <w:i w:val="0"/>
          <w:sz w:val="22"/>
        </w:rPr>
        <w:t>The quality of attention metrics depends critically on the availability and accuracy of ground-truth annotations. This section describes the annotation formats used and how they are integrated into the AttentionLens pipeline.</w:t>
      </w:r>
    </w:p>
    <w:p>
      <w:pPr>
        <w:spacing w:before="280" w:after="160"/>
      </w:pPr>
      <w:r>
        <w:rPr>
          <w:rFonts w:ascii="Times New Roman" w:hAnsi="Times New Roman"/>
          <w:b/>
          <w:i w:val="0"/>
          <w:sz w:val="22"/>
        </w:rPr>
        <w:t>3.8.1 Bounding Box Annotations</w:t>
      </w:r>
    </w:p>
    <w:p>
      <w:pPr>
        <w:spacing w:after="160" w:line="276" w:lineRule="auto"/>
        <w:jc w:val="both"/>
      </w:pPr>
      <w:r>
        <w:rPr>
          <w:rFonts w:ascii="Times New Roman" w:hAnsi="Times New Roman"/>
          <w:b w:val="0"/>
          <w:i w:val="0"/>
          <w:sz w:val="22"/>
        </w:rPr>
        <w:t>Bounding boxes are provided in (x, y, width, height) format, where (x, y) is the top-left corner of the box in pixel coordinates, and width and height are the dimensions. For CUB-200-2011, these annotations are stored in the bounding_boxes.txt file, with one line per image specifying the image ID and the four bounding box coordinates.</w:t>
      </w:r>
    </w:p>
    <w:p>
      <w:pPr>
        <w:spacing w:after="160" w:line="276" w:lineRule="auto"/>
        <w:jc w:val="both"/>
      </w:pPr>
      <w:r>
        <w:rPr>
          <w:rFonts w:ascii="Times New Roman" w:hAnsi="Times New Roman"/>
          <w:b w:val="0"/>
          <w:i w:val="0"/>
          <w:sz w:val="22"/>
        </w:rPr>
        <w:t>The object_relevance_share() and background_sensitivity() metrics in the attentionlens/metrics.py module use these bounding boxes to compute the fraction of attention falling inside versus outside the object region. The bounding box is first clipped to the image boundaries to handle cases where the annotated box extends beyond the image (which can occur due to annotation errors or occlusion).</w:t>
      </w:r>
    </w:p>
    <w:p>
      <w:pPr>
        <w:spacing w:before="280" w:after="160"/>
      </w:pPr>
      <w:r>
        <w:rPr>
          <w:rFonts w:ascii="Times New Roman" w:hAnsi="Times New Roman"/>
          <w:b/>
          <w:i w:val="0"/>
          <w:sz w:val="22"/>
        </w:rPr>
        <w:t>3.8.2 Part Keypoint Annotations</w:t>
      </w:r>
    </w:p>
    <w:p>
      <w:pPr>
        <w:spacing w:after="160" w:line="276" w:lineRule="auto"/>
        <w:jc w:val="both"/>
      </w:pPr>
      <w:r>
        <w:rPr>
          <w:rFonts w:ascii="Times New Roman" w:hAnsi="Times New Roman"/>
          <w:b w:val="0"/>
          <w:i w:val="0"/>
          <w:sz w:val="22"/>
        </w:rPr>
        <w:t>Part keypoints are provided as (x, y, visible) triplets for each of the 15 anatomical landmarks. The visible flag indicates whether the part is visible in the image (1) or occluded/out-of-frame (0). For the part_alignment metric, only visible keypoints are used, and the metric computes the fraction of attention falling within a specified radius (default 6 pixels) of each keypoint.</w:t>
      </w:r>
    </w:p>
    <w:p>
      <w:pPr>
        <w:spacing w:after="160" w:line="276" w:lineRule="auto"/>
        <w:jc w:val="both"/>
      </w:pPr>
      <w:r>
        <w:rPr>
          <w:rFonts w:ascii="Times New Roman" w:hAnsi="Times New Roman"/>
          <w:b w:val="0"/>
          <w:i w:val="0"/>
          <w:sz w:val="22"/>
        </w:rPr>
        <w:t>The part alignment metric is particularly important for fine-grained classification tasks where discriminative features are localized to specific body parts. For bird species classification, the beak, head, and wing patterns are often the most informative regions, so a well-calibrated model should show high attention on these parts. The part_alignment metric quantifies this expectation and can be used to identify models that focus on non-discriminative regions.</w:t>
      </w:r>
    </w:p>
    <w:p>
      <w:pPr>
        <w:spacing w:before="360" w:after="200"/>
      </w:pPr>
      <w:r>
        <w:rPr>
          <w:rFonts w:ascii="Times New Roman" w:hAnsi="Times New Roman"/>
          <w:b/>
          <w:i w:val="0"/>
          <w:sz w:val="24"/>
        </w:rPr>
        <w:t>3.9 Data Augmentation</w:t>
      </w:r>
    </w:p>
    <w:p>
      <w:pPr>
        <w:spacing w:after="160" w:line="276" w:lineRule="auto"/>
        <w:jc w:val="both"/>
      </w:pPr>
      <w:r>
        <w:rPr>
          <w:rFonts w:ascii="Times New Roman" w:hAnsi="Times New Roman"/>
          <w:b w:val="0"/>
          <w:i w:val="0"/>
          <w:sz w:val="22"/>
        </w:rPr>
        <w:t>For the AttentionLens framework, data augmentation is used only in the planted-bias experiment where a classifier is trained on the synthetic biased dataset. Standard augmentation techniques are applied during training to improve generalization and prevent overfitting on the small synthetic dataset.</w:t>
      </w:r>
    </w:p>
    <w:p>
      <w:pPr>
        <w:spacing w:after="160" w:line="276" w:lineRule="auto"/>
        <w:jc w:val="both"/>
      </w:pPr>
      <w:r>
        <w:rPr>
          <w:rFonts w:ascii="Times New Roman" w:hAnsi="Times New Roman"/>
          <w:b w:val="0"/>
          <w:i w:val="0"/>
          <w:sz w:val="22"/>
        </w:rPr>
        <w:t>The following augmentations are applied with 50% probability per image: horizontal flip (random left-right mirroring), color jitter (random brightness, contrast, saturation, and hue adjustments within ±20% of original values), random rotation (±15 degrees), and random affine transformation (small translations and scaling within ±10%). These augmentations are implemented using torchvision.transforms and are applied only during training; the evaluation set uses only the standard preprocessing pipeline (resize + normalize) without augmentation.</w:t>
      </w:r>
    </w:p>
    <w:p>
      <w:pPr>
        <w:spacing w:after="160" w:line="276" w:lineRule="auto"/>
        <w:jc w:val="both"/>
      </w:pPr>
      <w:r>
        <w:rPr>
          <w:rFonts w:ascii="Times New Roman" w:hAnsi="Times New Roman"/>
          <w:b w:val="0"/>
          <w:i w:val="0"/>
          <w:sz w:val="22"/>
        </w:rPr>
        <w:t>For the analysis of pretrained models on CUB-200-2011 and ObjectNet, no data augmentation is applied. The framework analyzes the model's behavior on the original images to understand how it responds to real-world inputs. This is consistent with the goal of explainability: we want to understand the model's actual decision-making process, not its behavior on augmented variants.</w:t>
      </w:r>
    </w:p>
    <w:p>
      <w:pPr>
        <w:spacing w:before="360" w:after="200"/>
      </w:pPr>
      <w:r>
        <w:rPr>
          <w:rFonts w:ascii="Times New Roman" w:hAnsi="Times New Roman"/>
          <w:b/>
          <w:i w:val="0"/>
          <w:sz w:val="24"/>
        </w:rPr>
        <w:t>3.10 Dataset Access and Availability</w:t>
      </w:r>
    </w:p>
    <w:p>
      <w:pPr>
        <w:spacing w:after="160" w:line="276" w:lineRule="auto"/>
        <w:jc w:val="both"/>
      </w:pPr>
      <w:r>
        <w:rPr>
          <w:rFonts w:ascii="Times New Roman" w:hAnsi="Times New Roman"/>
          <w:b w:val="0"/>
          <w:i w:val="0"/>
          <w:sz w:val="22"/>
        </w:rPr>
        <w:t>All datasets used in this project are publicly available and can be accessed as follows. CUB-200-2011 is available from the Caltech website (http://www.vision.caltech.edu/visipedia/CUB-200-2011.html) and requires registration for download. ObjectNet is available from the ObjectNet website (https://objectnet.dev/) and also requires license acceptance. ImageNet-1K is available from the ImageNet website (https://image-net.org/) with similar access restrictions.</w:t>
      </w:r>
    </w:p>
    <w:p>
      <w:pPr>
        <w:spacing w:after="160" w:line="276" w:lineRule="auto"/>
        <w:jc w:val="both"/>
      </w:pPr>
      <w:r>
        <w:rPr>
          <w:rFonts w:ascii="Times New Roman" w:hAnsi="Times New Roman"/>
          <w:b w:val="0"/>
          <w:i w:val="0"/>
          <w:sz w:val="22"/>
        </w:rPr>
        <w:t>The planted-bias synthetic dataset is generated on-the-fly by the experiments/planted_bias.py script and does not require external download. The script is fully self-contained and generates the biased dataset in the experiments/m7/ or experiments/m7_gpu/ directories. This makes the validation experiment easily reproducible without requiring large dataset downloads.</w:t>
      </w:r>
    </w:p>
    <w:p>
      <w:pPr>
        <w:spacing w:before="240" w:after="240"/>
        <w:jc w:val="center"/>
      </w:pPr>
      <w:r>
        <w:rPr>
          <w:rFonts w:ascii="Times New Roman" w:hAnsi="Times New Roman"/>
          <w:b w:val="0"/>
          <w:i/>
          <w:color w:val="787878"/>
          <w:sz w:val="20"/>
        </w:rPr>
        <w:br/>
        <w:t>────────────────────────────────────────────────────────────</w:t>
        <w:br/>
        <w:br/>
        <w:t>[ PLACEHOLDER: DATASET VISUALIZATION - Sample images from CUB-200-2011 showing bounding boxes and part keypoints ]</w:t>
        <w:br/>
        <w:br/>
        <w:t>────────────────────────────────────────────────────────────</w:t>
        <w:br/>
      </w:r>
    </w:p>
    <w:p>
      <w:pPr>
        <w:spacing w:before="240" w:after="240"/>
        <w:jc w:val="center"/>
      </w:pPr>
      <w:r>
        <w:rPr>
          <w:rFonts w:ascii="Times New Roman" w:hAnsi="Times New Roman"/>
          <w:b w:val="0"/>
          <w:i/>
          <w:color w:val="787878"/>
          <w:sz w:val="20"/>
        </w:rPr>
        <w:br/>
        <w:t>────────────────────────────────────────────────────────────</w:t>
        <w:br/>
        <w:br/>
        <w:t>[ PLACEHOLDER: DATASET VISUALIZATION - Sample images from ObjectNet showing objects in unusual contexts ]</w:t>
        <w:br/>
        <w:br/>
        <w:t>────────────────────────────────────────────────────────────</w:t>
        <w:br/>
      </w:r>
    </w:p>
    <w:p>
      <w:pPr>
        <w:spacing w:before="240" w:after="240"/>
        <w:jc w:val="center"/>
      </w:pPr>
      <w:r>
        <w:rPr>
          <w:rFonts w:ascii="Times New Roman" w:hAnsi="Times New Roman"/>
          <w:b w:val="0"/>
          <w:i/>
          <w:color w:val="787878"/>
          <w:sz w:val="20"/>
        </w:rPr>
        <w:br/>
        <w:t>────────────────────────────────────────────────────────────</w:t>
        <w:br/>
        <w:br/>
        <w:t>[ PLACEHOLDER: DATASET VISUALIZATION - Sample images from planted-bias synthetic dataset showing object-background correlation ]</w:t>
        <w:br/>
        <w:br/>
        <w:t>────────────────────────────────────────────────────────────</w:t>
        <w:br/>
      </w:r>
    </w:p>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