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Times New Roman" w:hAnsi="Times New Roman"/>
          <w:b/>
          <w:i w:val="0"/>
          <w:sz w:val="32"/>
        </w:rPr>
        <w:t>4. Proposed Methodology</w:t>
      </w:r>
    </w:p>
    <w:p>
      <w:pPr>
        <w:spacing w:after="160" w:line="276" w:lineRule="auto"/>
        <w:jc w:val="both"/>
      </w:pPr>
      <w:r>
        <w:rPr>
          <w:rFonts w:ascii="Times New Roman" w:hAnsi="Times New Roman"/>
          <w:b w:val="0"/>
          <w:i w:val="0"/>
          <w:sz w:val="22"/>
        </w:rPr>
        <w:t>This section presents the complete methodology underlying the AttentionLens framework, including system architecture, unified dual-view abstraction, attention extractors for both CNN and ViT models, quantitative attention metrics, the automated screening engine, the causal intervention loop, and the interactive user interface. The methodology is designed to address the five limitations identified in the problem statement and achieve the six research objectives outlined in Section 1.</w:t>
      </w:r>
    </w:p>
    <w:p>
      <w:pPr>
        <w:spacing w:before="240" w:after="240"/>
        <w:jc w:val="center"/>
      </w:pPr>
      <w:r>
        <w:rPr>
          <w:rFonts w:ascii="Times New Roman" w:hAnsi="Times New Roman"/>
          <w:b w:val="0"/>
          <w:i/>
          <w:color w:val="787878"/>
          <w:sz w:val="20"/>
        </w:rPr>
        <w:br/>
        <w:t>────────────────────────────────────────────────────────────</w:t>
        <w:br/>
        <w:br/>
        <w:t>[ PLACEHOLDER: SYSTEM ARCHITECTURE DIAGRAM - Complete AttentionLens Framework showing all components and data flow ]</w:t>
        <w:br/>
        <w:br/>
        <w:t>────────────────────────────────────────────────────────────</w:t>
        <w:br/>
      </w:r>
    </w:p>
    <w:p>
      <w:pPr>
        <w:spacing w:before="360" w:after="200"/>
      </w:pPr>
      <w:r>
        <w:rPr>
          <w:rFonts w:ascii="Times New Roman" w:hAnsi="Times New Roman"/>
          <w:b/>
          <w:i w:val="0"/>
          <w:sz w:val="24"/>
        </w:rPr>
        <w:t>4.1 System Architecture</w:t>
      </w:r>
    </w:p>
    <w:p>
      <w:pPr>
        <w:spacing w:after="160" w:line="276" w:lineRule="auto"/>
        <w:jc w:val="both"/>
      </w:pPr>
      <w:r>
        <w:rPr>
          <w:rFonts w:ascii="Times New Roman" w:hAnsi="Times New Roman"/>
          <w:b w:val="0"/>
          <w:i w:val="0"/>
          <w:sz w:val="22"/>
        </w:rPr>
        <w:t>The AttentionLens framework follows a modular architecture consisting of five primary components: (1) the Preprocessing Module, which handles image loading and normalization; (2) the Attention Extractors, which produce dual-view attention maps for CNN and ViT models; (3) the Metrics Module, which computes quantitative attention quality measures; (4) the Screening Engine, which aggregates metrics and generates evidence-backed verdicts; and (5) the Interactive Interface, which provides a Gradio-based web UI for exploration and debugging.</w:t>
      </w:r>
    </w:p>
    <w:p>
      <w:pPr>
        <w:spacing w:after="160" w:line="276" w:lineRule="auto"/>
        <w:jc w:val="both"/>
      </w:pPr>
      <w:r>
        <w:rPr>
          <w:rFonts w:ascii="Times New Roman" w:hAnsi="Times New Roman"/>
          <w:b w:val="0"/>
          <w:i w:val="0"/>
          <w:sz w:val="22"/>
        </w:rPr>
        <w:t>The architecture is designed around a unified data schema (LayerMap) that treats CNN and ViT attention patterns symmetrically, enabling downstream components to operate identically regardless of the underlying model architecture. This unified abstraction is the key innovation that enables fair cross-architecture comparison and metric computation.</w:t>
      </w:r>
    </w:p>
    <w:p>
      <w:pPr>
        <w:spacing w:after="160" w:line="276" w:lineRule="auto"/>
        <w:jc w:val="both"/>
      </w:pPr>
      <w:r>
        <w:rPr>
          <w:rFonts w:ascii="Times New Roman" w:hAnsi="Times New Roman"/>
          <w:b w:val="0"/>
          <w:i w:val="0"/>
          <w:sz w:val="22"/>
        </w:rPr>
        <w:t>The system follows a pipeline architecture where input images flow through preprocessing, then through the appropriate extractor (ResNet or ViT), producing LayerMap objects that are consumed by the metrics module. The computed metrics are then aggregated by the screening engine, which produces verdicts and evidence reports. The interactive interface provides real-time access to all components, enabling researchers to explore attention patterns and perform causal interventions.</w:t>
      </w:r>
    </w:p>
    <w:p>
      <w:pPr>
        <w:spacing w:before="360" w:after="200"/>
      </w:pPr>
      <w:r>
        <w:rPr>
          <w:rFonts w:ascii="Times New Roman" w:hAnsi="Times New Roman"/>
          <w:b/>
          <w:i w:val="0"/>
          <w:sz w:val="24"/>
        </w:rPr>
        <w:t>4.2 Unified Dual-View Abstraction</w:t>
      </w:r>
    </w:p>
    <w:p>
      <w:pPr>
        <w:spacing w:after="160" w:line="276" w:lineRule="auto"/>
        <w:jc w:val="both"/>
      </w:pPr>
      <w:r>
        <w:rPr>
          <w:rFonts w:ascii="Times New Roman" w:hAnsi="Times New Roman"/>
          <w:b w:val="0"/>
          <w:i w:val="0"/>
          <w:sz w:val="22"/>
        </w:rPr>
        <w:t>The core innovation of AttentionLens is the unified dual-view abstraction, which captures both native attention patterns and class-conditioned relevance evidence in a common schema. This abstraction addresses Limitation 1 (architecture fragmentation) by providing a single data structure that works identically for CNNs and ViTs.</w:t>
      </w:r>
    </w:p>
    <w:p>
      <w:pPr>
        <w:spacing w:before="280" w:after="160"/>
      </w:pPr>
      <w:r>
        <w:rPr>
          <w:rFonts w:ascii="Times New Roman" w:hAnsi="Times New Roman"/>
          <w:b/>
          <w:i w:val="0"/>
          <w:sz w:val="22"/>
        </w:rPr>
        <w:t>4.2.1 LayerMap Schema</w:t>
      </w:r>
    </w:p>
    <w:p>
      <w:pPr>
        <w:spacing w:after="160" w:line="276" w:lineRule="auto"/>
        <w:jc w:val="both"/>
      </w:pPr>
      <w:r>
        <w:rPr>
          <w:rFonts w:ascii="Times New Roman" w:hAnsi="Times New Roman"/>
          <w:b w:val="0"/>
          <w:i w:val="0"/>
          <w:sz w:val="22"/>
        </w:rPr>
        <w:t>The LayerMap data structure is the fundamental unit of attention representation in AttentionLens. Each LayerMap object represents one attention map for one layer, one view (native or class-conditioned), and one model class. The schema is defined as follows:</w:t>
      </w:r>
    </w:p>
    <w:p>
      <w:pPr>
        <w:spacing w:after="160" w:line="276" w:lineRule="auto"/>
        <w:jc w:val="both"/>
      </w:pPr>
      <w:r>
        <w:rPr>
          <w:rFonts w:ascii="Times New Roman" w:hAnsi="Times New Roman"/>
          <w:b w:val="0"/>
          <w:i w:val="0"/>
          <w:sz w:val="22"/>
        </w:rPr>
        <w:t>class LayerMap: layer_name (string identifier for the layer, e.g., 'layer4' for ResNet or 'block11' for ViT), arch (architecture type: 'cnn' or 'vit'), view (view type: 'native' or 'class_conditioned'), model_class (the predicted or target class), map (H×W numpy array normalized to [0,1] at input resolution), head_or_channel (optional per-head or per-channel breakdown identifier), and metadata (dictionary containing computed metrics such as entropy, locality, and part-overlap).</w:t>
      </w:r>
    </w:p>
    <w:p>
      <w:pPr>
        <w:spacing w:after="160" w:line="276" w:lineRule="auto"/>
        <w:jc w:val="both"/>
      </w:pPr>
      <w:r>
        <w:rPr>
          <w:rFonts w:ascii="Times New Roman" w:hAnsi="Times New Roman"/>
          <w:b w:val="0"/>
          <w:i w:val="0"/>
          <w:sz w:val="22"/>
        </w:rPr>
        <w:t>The map field is the most important: it contains the actual attention heatmap as a 2D numpy array at input resolution (224×224 pixels), normalized to the range [0,1] where 0 represents no attention and 1 represents maximum attention. This normalization ensures that maps from different layers and architectures are directly comparable.</w:t>
      </w:r>
    </w:p>
    <w:p>
      <w:pPr>
        <w:spacing w:after="160" w:line="276" w:lineRule="auto"/>
        <w:jc w:val="both"/>
      </w:pPr>
      <w:r>
        <w:rPr>
          <w:rFonts w:ascii="Times New Roman" w:hAnsi="Times New Roman"/>
          <w:b w:val="0"/>
          <w:i w:val="0"/>
          <w:sz w:val="22"/>
        </w:rPr>
        <w:t>The view field distinguishes between two types of attention maps. The native view captures the mechanism's own information flow: for ViTs, this is the attention rollout showing how information propagates from the CLS token to all patches; for CNNs, this is the mean-over-channel activation map showing what the layer amplifies. The class-conditioned view captures decision-relevant evidence: for CNNs, this is the Grad-CAM map weighted by the gradient of the target class; for ViTs, this is the gradient-weighted attention (AxG) showing which attention patterns contribute to the target class prediction.</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shd w:fill="4472C4"/>
          </w:tcPr>
          <w:p>
            <w:r>
              <w:rPr>
                <w:b/>
                <w:color w:val="FFFFFF"/>
                <w:sz w:val="18"/>
              </w:rPr>
              <w:t>Field</w:t>
            </w:r>
          </w:p>
        </w:tc>
        <w:tc>
          <w:tcPr>
            <w:tcW w:type="dxa" w:w="2256"/>
            <w:shd w:fill="4472C4"/>
          </w:tcPr>
          <w:p>
            <w:r>
              <w:rPr>
                <w:b/>
                <w:color w:val="FFFFFF"/>
                <w:sz w:val="18"/>
              </w:rPr>
              <w:t>Type</w:t>
            </w:r>
          </w:p>
        </w:tc>
        <w:tc>
          <w:tcPr>
            <w:tcW w:type="dxa" w:w="2256"/>
            <w:shd w:fill="4472C4"/>
          </w:tcPr>
          <w:p>
            <w:r>
              <w:rPr>
                <w:b/>
                <w:color w:val="FFFFFF"/>
                <w:sz w:val="18"/>
              </w:rPr>
              <w:t>Description</w:t>
            </w:r>
          </w:p>
        </w:tc>
        <w:tc>
          <w:tcPr>
            <w:tcW w:type="dxa" w:w="2256"/>
            <w:shd w:fill="4472C4"/>
          </w:tcPr>
          <w:p>
            <w:r>
              <w:rPr>
                <w:b/>
                <w:color w:val="FFFFFF"/>
                <w:sz w:val="18"/>
              </w:rPr>
              <w:t>Example</w:t>
            </w:r>
          </w:p>
        </w:tc>
      </w:tr>
      <w:tr>
        <w:tc>
          <w:tcPr>
            <w:tcW w:type="dxa" w:w="2256"/>
          </w:tcPr>
          <w:p>
            <w:r>
              <w:rPr>
                <w:sz w:val="18"/>
              </w:rPr>
              <w:t>layer_name</w:t>
            </w:r>
          </w:p>
        </w:tc>
        <w:tc>
          <w:tcPr>
            <w:tcW w:type="dxa" w:w="2256"/>
          </w:tcPr>
          <w:p>
            <w:r>
              <w:rPr>
                <w:sz w:val="18"/>
              </w:rPr>
              <w:t>str</w:t>
            </w:r>
          </w:p>
        </w:tc>
        <w:tc>
          <w:tcPr>
            <w:tcW w:type="dxa" w:w="2256"/>
          </w:tcPr>
          <w:p>
            <w:r>
              <w:rPr>
                <w:sz w:val="18"/>
              </w:rPr>
              <w:t>Layer identifier</w:t>
            </w:r>
          </w:p>
        </w:tc>
        <w:tc>
          <w:tcPr>
            <w:tcW w:type="dxa" w:w="2256"/>
          </w:tcPr>
          <w:p>
            <w:r>
              <w:rPr>
                <w:sz w:val="18"/>
              </w:rPr>
              <w:t>layer4 / block11</w:t>
            </w:r>
          </w:p>
        </w:tc>
      </w:tr>
      <w:tr>
        <w:tc>
          <w:tcPr>
            <w:tcW w:type="dxa" w:w="2256"/>
          </w:tcPr>
          <w:p>
            <w:r>
              <w:rPr>
                <w:sz w:val="18"/>
              </w:rPr>
              <w:t>arch</w:t>
            </w:r>
          </w:p>
        </w:tc>
        <w:tc>
          <w:tcPr>
            <w:tcW w:type="dxa" w:w="2256"/>
          </w:tcPr>
          <w:p>
            <w:r>
              <w:rPr>
                <w:sz w:val="18"/>
              </w:rPr>
              <w:t>str</w:t>
            </w:r>
          </w:p>
        </w:tc>
        <w:tc>
          <w:tcPr>
            <w:tcW w:type="dxa" w:w="2256"/>
          </w:tcPr>
          <w:p>
            <w:r>
              <w:rPr>
                <w:sz w:val="18"/>
              </w:rPr>
              <w:t>Architecture type</w:t>
            </w:r>
          </w:p>
        </w:tc>
        <w:tc>
          <w:tcPr>
            <w:tcW w:type="dxa" w:w="2256"/>
          </w:tcPr>
          <w:p>
            <w:r>
              <w:rPr>
                <w:sz w:val="18"/>
              </w:rPr>
              <w:t>cnn / vit</w:t>
            </w:r>
          </w:p>
        </w:tc>
      </w:tr>
      <w:tr>
        <w:tc>
          <w:tcPr>
            <w:tcW w:type="dxa" w:w="2256"/>
          </w:tcPr>
          <w:p>
            <w:r>
              <w:rPr>
                <w:sz w:val="18"/>
              </w:rPr>
              <w:t>view</w:t>
            </w:r>
          </w:p>
        </w:tc>
        <w:tc>
          <w:tcPr>
            <w:tcW w:type="dxa" w:w="2256"/>
          </w:tcPr>
          <w:p>
            <w:r>
              <w:rPr>
                <w:sz w:val="18"/>
              </w:rPr>
              <w:t>str</w:t>
            </w:r>
          </w:p>
        </w:tc>
        <w:tc>
          <w:tcPr>
            <w:tcW w:type="dxa" w:w="2256"/>
          </w:tcPr>
          <w:p>
            <w:r>
              <w:rPr>
                <w:sz w:val="18"/>
              </w:rPr>
              <w:t>View type</w:t>
            </w:r>
          </w:p>
        </w:tc>
        <w:tc>
          <w:tcPr>
            <w:tcW w:type="dxa" w:w="2256"/>
          </w:tcPr>
          <w:p>
            <w:r>
              <w:rPr>
                <w:sz w:val="18"/>
              </w:rPr>
              <w:t>native / class_conditioned</w:t>
            </w:r>
          </w:p>
        </w:tc>
      </w:tr>
      <w:tr>
        <w:tc>
          <w:tcPr>
            <w:tcW w:type="dxa" w:w="2256"/>
          </w:tcPr>
          <w:p>
            <w:r>
              <w:rPr>
                <w:sz w:val="18"/>
              </w:rPr>
              <w:t>model_class</w:t>
            </w:r>
          </w:p>
        </w:tc>
        <w:tc>
          <w:tcPr>
            <w:tcW w:type="dxa" w:w="2256"/>
          </w:tcPr>
          <w:p>
            <w:r>
              <w:rPr>
                <w:sz w:val="18"/>
              </w:rPr>
              <w:t>str</w:t>
            </w:r>
          </w:p>
        </w:tc>
        <w:tc>
          <w:tcPr>
            <w:tcW w:type="dxa" w:w="2256"/>
          </w:tcPr>
          <w:p>
            <w:r>
              <w:rPr>
                <w:sz w:val="18"/>
              </w:rPr>
              <w:t>Target class</w:t>
            </w:r>
          </w:p>
        </w:tc>
        <w:tc>
          <w:tcPr>
            <w:tcW w:type="dxa" w:w="2256"/>
          </w:tcPr>
          <w:p>
            <w:r>
              <w:rPr>
                <w:sz w:val="18"/>
              </w:rPr>
              <w:t>Samoyed / class_258</w:t>
            </w:r>
          </w:p>
        </w:tc>
      </w:tr>
      <w:tr>
        <w:tc>
          <w:tcPr>
            <w:tcW w:type="dxa" w:w="2256"/>
          </w:tcPr>
          <w:p>
            <w:r>
              <w:rPr>
                <w:sz w:val="18"/>
              </w:rPr>
              <w:t>map</w:t>
            </w:r>
          </w:p>
        </w:tc>
        <w:tc>
          <w:tcPr>
            <w:tcW w:type="dxa" w:w="2256"/>
          </w:tcPr>
          <w:p>
            <w:r>
              <w:rPr>
                <w:sz w:val="18"/>
              </w:rPr>
              <w:t>ndarray</w:t>
            </w:r>
          </w:p>
        </w:tc>
        <w:tc>
          <w:tcPr>
            <w:tcW w:type="dxa" w:w="2256"/>
          </w:tcPr>
          <w:p>
            <w:r>
              <w:rPr>
                <w:sz w:val="18"/>
              </w:rPr>
              <w:t>H×W attention map [0,1]</w:t>
            </w:r>
          </w:p>
        </w:tc>
        <w:tc>
          <w:tcPr>
            <w:tcW w:type="dxa" w:w="2256"/>
          </w:tcPr>
          <w:p>
            <w:r>
              <w:rPr>
                <w:sz w:val="18"/>
              </w:rPr>
              <w:t>224×224 float32</w:t>
            </w:r>
          </w:p>
        </w:tc>
      </w:tr>
      <w:tr>
        <w:tc>
          <w:tcPr>
            <w:tcW w:type="dxa" w:w="2256"/>
          </w:tcPr>
          <w:p>
            <w:r>
              <w:rPr>
                <w:sz w:val="18"/>
              </w:rPr>
              <w:t>head_or_channel</w:t>
            </w:r>
          </w:p>
        </w:tc>
        <w:tc>
          <w:tcPr>
            <w:tcW w:type="dxa" w:w="2256"/>
          </w:tcPr>
          <w:p>
            <w:r>
              <w:rPr>
                <w:sz w:val="18"/>
              </w:rPr>
              <w:t>int</w:t>
            </w:r>
          </w:p>
        </w:tc>
        <w:tc>
          <w:tcPr>
            <w:tcW w:type="dxa" w:w="2256"/>
          </w:tcPr>
          <w:p>
            <w:r>
              <w:rPr>
                <w:sz w:val="18"/>
              </w:rPr>
              <w:t>Per-head/channel ID</w:t>
            </w:r>
          </w:p>
        </w:tc>
        <w:tc>
          <w:tcPr>
            <w:tcW w:type="dxa" w:w="2256"/>
          </w:tcPr>
          <w:p>
            <w:r>
              <w:rPr>
                <w:sz w:val="18"/>
              </w:rPr>
              <w:t>3 (attention head 3)</w:t>
            </w:r>
          </w:p>
        </w:tc>
      </w:tr>
      <w:tr>
        <w:tc>
          <w:tcPr>
            <w:tcW w:type="dxa" w:w="2256"/>
          </w:tcPr>
          <w:p>
            <w:r>
              <w:rPr>
                <w:sz w:val="18"/>
              </w:rPr>
              <w:t>metadata</w:t>
            </w:r>
          </w:p>
        </w:tc>
        <w:tc>
          <w:tcPr>
            <w:tcW w:type="dxa" w:w="2256"/>
          </w:tcPr>
          <w:p>
            <w:r>
              <w:rPr>
                <w:sz w:val="18"/>
              </w:rPr>
              <w:t>dict</w:t>
            </w:r>
          </w:p>
        </w:tc>
        <w:tc>
          <w:tcPr>
            <w:tcW w:type="dxa" w:w="2256"/>
          </w:tcPr>
          <w:p>
            <w:r>
              <w:rPr>
                <w:sz w:val="18"/>
              </w:rPr>
              <w:t>Computed metrics</w:t>
            </w:r>
          </w:p>
        </w:tc>
        <w:tc>
          <w:tcPr>
            <w:tcW w:type="dxa" w:w="2256"/>
          </w:tcPr>
          <w:p>
            <w:r>
              <w:rPr>
                <w:sz w:val="18"/>
              </w:rPr>
              <w:t>{entropy: 2.1, obj_share: 0.72}</w:t>
            </w:r>
          </w:p>
        </w:tc>
      </w:tr>
    </w:tbl>
    <w:p/>
    <w:p>
      <w:pPr>
        <w:spacing w:after="240"/>
        <w:jc w:val="center"/>
      </w:pPr>
      <w:r>
        <w:rPr>
          <w:rFonts w:ascii="Times New Roman" w:hAnsi="Times New Roman"/>
          <w:b w:val="0"/>
          <w:i/>
          <w:sz w:val="20"/>
        </w:rPr>
        <w:t>Table 4.1: LayerMap Schema Fields</w:t>
      </w:r>
    </w:p>
    <w:p>
      <w:pPr>
        <w:spacing w:before="280" w:after="160"/>
      </w:pPr>
      <w:r>
        <w:rPr>
          <w:rFonts w:ascii="Times New Roman" w:hAnsi="Times New Roman"/>
          <w:b/>
          <w:i w:val="0"/>
          <w:sz w:val="22"/>
        </w:rPr>
        <w:t>4.2.2 ModelInspection Schema</w:t>
      </w:r>
    </w:p>
    <w:p>
      <w:pPr>
        <w:spacing w:after="160" w:line="276" w:lineRule="auto"/>
        <w:jc w:val="both"/>
      </w:pPr>
      <w:r>
        <w:rPr>
          <w:rFonts w:ascii="Times New Roman" w:hAnsi="Times New Roman"/>
          <w:b w:val="0"/>
          <w:i w:val="0"/>
          <w:sz w:val="22"/>
        </w:rPr>
        <w:t>The ModelInspection data structure aggregates all LayerMap objects produced for a single (model, image) pair. It contains the model identifier, image identifier, true label (if known), predicted label, a list of LayerMap objects (one per layer per view), and a list of InterventionResult objects from causal probing. This structure provides a complete record of the model's attention patterns and intervention results for a given input.</w:t>
      </w:r>
    </w:p>
    <w:p>
      <w:pPr>
        <w:spacing w:after="160" w:line="276" w:lineRule="auto"/>
        <w:jc w:val="both"/>
      </w:pPr>
      <w:r>
        <w:rPr>
          <w:rFonts w:ascii="Times New Roman" w:hAnsi="Times New Roman"/>
          <w:b w:val="0"/>
          <w:i w:val="0"/>
          <w:sz w:val="22"/>
        </w:rPr>
        <w:t>The ModelInspection object is the primary output of the extractors and the primary input to the metrics module. It enables batch processing of multiple images and aggregation of results across the dataset for screening and analysis.</w:t>
      </w:r>
    </w:p>
    <w:p>
      <w:pPr>
        <w:spacing w:before="360" w:after="200"/>
      </w:pPr>
      <w:r>
        <w:rPr>
          <w:rFonts w:ascii="Times New Roman" w:hAnsi="Times New Roman"/>
          <w:b/>
          <w:i w:val="0"/>
          <w:sz w:val="24"/>
        </w:rPr>
        <w:t>4.3 Attention Extractors</w:t>
      </w:r>
    </w:p>
    <w:p>
      <w:pPr>
        <w:spacing w:after="160" w:line="276" w:lineRule="auto"/>
        <w:jc w:val="both"/>
      </w:pPr>
      <w:r>
        <w:rPr>
          <w:rFonts w:ascii="Times New Roman" w:hAnsi="Times New Roman"/>
          <w:b w:val="0"/>
          <w:i w:val="0"/>
          <w:sz w:val="22"/>
        </w:rPr>
        <w:t>AttentionLens provides two extractors: the ResNetExtractor for CNN-based models and the VitExtractor for Vision Transformer models. Both extractors implement the same interface and produce LayerMap objects in the unified schema, enabling fair comparison across architectures.</w:t>
      </w:r>
    </w:p>
    <w:p>
      <w:pPr>
        <w:spacing w:before="280" w:after="160"/>
      </w:pPr>
      <w:r>
        <w:rPr>
          <w:rFonts w:ascii="Times New Roman" w:hAnsi="Times New Roman"/>
          <w:b/>
          <w:i w:val="0"/>
          <w:sz w:val="22"/>
        </w:rPr>
        <w:t>4.3.1 ResNet Extractor (CNN)</w:t>
      </w:r>
    </w:p>
    <w:p>
      <w:pPr>
        <w:spacing w:after="160" w:line="276" w:lineRule="auto"/>
        <w:jc w:val="both"/>
      </w:pPr>
      <w:r>
        <w:rPr>
          <w:rFonts w:ascii="Times New Roman" w:hAnsi="Times New Roman"/>
          <w:b w:val="0"/>
          <w:i w:val="0"/>
          <w:sz w:val="22"/>
        </w:rPr>
        <w:t>The ResNetExtractor produces dual-view attention maps for ResNet-50 and similar CNN architectures. For the native view, it computes mean-over-channel activation maps at each of the four residual blocks (layer1, layer2, layer3, layer4). For the class-conditioned view, it computes Grad-CAM maps at the final convolutional layer of each block (layer1.2.conv3, layer2.3.conv3, layer3.5.conv3, layer4.2.conv3).</w:t>
      </w:r>
    </w:p>
    <w:p>
      <w:pPr>
        <w:spacing w:after="160" w:line="276" w:lineRule="auto"/>
        <w:jc w:val="both"/>
      </w:pPr>
      <w:r>
        <w:rPr>
          <w:rFonts w:ascii="Times New Roman" w:hAnsi="Times New Roman"/>
          <w:b w:val="0"/>
          <w:i w:val="0"/>
          <w:sz w:val="22"/>
        </w:rPr>
        <w:t>The native activation maps are computed by registering forward hooks on each target layer, capturing the activation tensors during the forward pass, and then computing the mean across the channel dimension. The resulting H×W map is upsampled to input resolution (224×224) using bilinear interpolation and normalized to [0,1].</w:t>
      </w:r>
    </w:p>
    <w:p>
      <w:pPr>
        <w:spacing w:before="160" w:after="80"/>
        <w:jc w:val="center"/>
      </w:pPr>
      <w:r>
        <w:rPr>
          <w:rFonts w:ascii="Times New Roman" w:hAnsi="Times New Roman"/>
          <w:b w:val="0"/>
          <w:i/>
          <w:sz w:val="22"/>
        </w:rPr>
        <w:t>native_map = mean(activations, dim=channel)</w:t>
      </w:r>
    </w:p>
    <w:p>
      <w:pPr>
        <w:spacing w:after="160"/>
        <w:jc w:val="right"/>
      </w:pPr>
      <w:r>
        <w:rPr>
          <w:rFonts w:ascii="Times New Roman" w:hAnsi="Times New Roman"/>
          <w:b w:val="0"/>
          <w:i w:val="0"/>
          <w:sz w:val="20"/>
        </w:rPr>
        <w:t>(4.1)</w:t>
      </w:r>
    </w:p>
    <w:p>
      <w:pPr>
        <w:spacing w:after="160" w:line="276" w:lineRule="auto"/>
        <w:jc w:val="both"/>
      </w:pPr>
      <w:r>
        <w:rPr>
          <w:rFonts w:ascii="Times New Roman" w:hAnsi="Times New Roman"/>
          <w:b w:val="0"/>
          <w:i w:val="0"/>
          <w:sz w:val="22"/>
        </w:rPr>
        <w:t>The Grad-CAM maps are computed using Captum's LayerGradCam implementation. For each target layer, the gradient of the target class logit with respect to the layer activations is computed, then globally averaged across spatial dimensions to produce channel importance weights. These weights are multiplied by the activations and summed across channels, followed by ReLU to retain only positive contributions. The resulting map is upsampled and normalized.</w:t>
      </w:r>
    </w:p>
    <w:p>
      <w:pPr>
        <w:spacing w:before="160" w:after="80"/>
        <w:jc w:val="center"/>
      </w:pPr>
      <w:r>
        <w:rPr>
          <w:rFonts w:ascii="Times New Roman" w:hAnsi="Times New Roman"/>
          <w:b w:val="0"/>
          <w:i/>
          <w:sz w:val="22"/>
        </w:rPr>
        <w:t>α_k = (1/Z) Σ_i Σ_j ∂y/∂A^k_ij</w:t>
      </w:r>
    </w:p>
    <w:p>
      <w:pPr>
        <w:spacing w:after="160"/>
        <w:jc w:val="right"/>
      </w:pPr>
      <w:r>
        <w:rPr>
          <w:rFonts w:ascii="Times New Roman" w:hAnsi="Times New Roman"/>
          <w:b w:val="0"/>
          <w:i w:val="0"/>
          <w:sz w:val="20"/>
        </w:rPr>
        <w:t>(4.2)</w:t>
      </w:r>
    </w:p>
    <w:p>
      <w:pPr>
        <w:spacing w:before="160" w:after="80"/>
        <w:jc w:val="center"/>
      </w:pPr>
      <w:r>
        <w:rPr>
          <w:rFonts w:ascii="Times New Roman" w:hAnsi="Times New Roman"/>
          <w:b w:val="0"/>
          <w:i/>
          <w:sz w:val="22"/>
        </w:rPr>
        <w:t>GradCAM = ReLU(Σ_k α_k · A^k)</w:t>
      </w:r>
    </w:p>
    <w:p>
      <w:pPr>
        <w:spacing w:after="160"/>
        <w:jc w:val="right"/>
      </w:pPr>
      <w:r>
        <w:rPr>
          <w:rFonts w:ascii="Times New Roman" w:hAnsi="Times New Roman"/>
          <w:b w:val="0"/>
          <w:i w:val="0"/>
          <w:sz w:val="20"/>
        </w:rPr>
        <w:t>(4.3)</w:t>
      </w:r>
    </w:p>
    <w:p>
      <w:pPr>
        <w:spacing w:after="160" w:line="276" w:lineRule="auto"/>
        <w:jc w:val="both"/>
      </w:pPr>
      <w:r>
        <w:rPr>
          <w:rFonts w:ascii="Times New Roman" w:hAnsi="Times New Roman"/>
          <w:b w:val="0"/>
          <w:i w:val="0"/>
          <w:sz w:val="22"/>
        </w:rPr>
        <w:t>where α_k is the importance weight for channel k, y is the target class logit, A^k is the activation map for channel k, and Z is the number of spatial locations. The ResNetExtractor produces 8 LayerMap objects per image (4 native + 4 class-conditioned), providing a layer-by-layer view of attention patterns from early (layer1) to late (layer4) layers.</w:t>
      </w:r>
    </w:p>
    <w:p>
      <w:pPr>
        <w:spacing w:before="280" w:after="160"/>
      </w:pPr>
      <w:r>
        <w:rPr>
          <w:rFonts w:ascii="Times New Roman" w:hAnsi="Times New Roman"/>
          <w:b/>
          <w:i w:val="0"/>
          <w:sz w:val="22"/>
        </w:rPr>
        <w:t>4.3.2 ViT Extractor (Transformer)</w:t>
      </w:r>
    </w:p>
    <w:p>
      <w:pPr>
        <w:spacing w:after="160" w:line="276" w:lineRule="auto"/>
        <w:jc w:val="both"/>
      </w:pPr>
      <w:r>
        <w:rPr>
          <w:rFonts w:ascii="Times New Roman" w:hAnsi="Times New Roman"/>
          <w:b w:val="0"/>
          <w:i w:val="0"/>
          <w:sz w:val="22"/>
        </w:rPr>
        <w:t>The VitExtractor produces dual-view attention maps for Vision Transformer models such as ViT-B/16. For the native view, it computes attention rollout maps showing how information flows from the CLS token to all input patches. For the class-conditioned view, it computes gradient-weighted attention (AxG) maps showing which attention patterns contribute to the target class prediction.</w:t>
      </w:r>
    </w:p>
    <w:p>
      <w:pPr>
        <w:spacing w:after="160" w:line="276" w:lineRule="auto"/>
        <w:jc w:val="both"/>
      </w:pPr>
      <w:r>
        <w:rPr>
          <w:rFonts w:ascii="Times New Roman" w:hAnsi="Times New Roman"/>
          <w:b w:val="0"/>
          <w:i w:val="0"/>
          <w:sz w:val="22"/>
        </w:rPr>
        <w:t>Attention rollout is computed by iteratively multiplying attention matrices across all 12 transformer blocks. At each block, the attention matrix A (of shape [B, H, N, N] where B is batch size, H is number of heads, and N is number of tokens) is averaged across heads to produce a [B, N, N] matrix. A residual connection (identity matrix) is added with weight α (typically 0.5) to prevent attention collapse, then the matrix is row-normalized and multiplied with the accumulated rollout from previous blocks.</w:t>
      </w:r>
    </w:p>
    <w:p>
      <w:pPr>
        <w:spacing w:before="160" w:after="80"/>
        <w:jc w:val="center"/>
      </w:pPr>
      <w:r>
        <w:rPr>
          <w:rFonts w:ascii="Times New Roman" w:hAnsi="Times New Roman"/>
          <w:b w:val="0"/>
          <w:i/>
          <w:sz w:val="22"/>
        </w:rPr>
        <w:t>R^(l) = (αI + (1-α)A^(l)) · R^(l-1)</w:t>
      </w:r>
    </w:p>
    <w:p>
      <w:pPr>
        <w:spacing w:after="160"/>
        <w:jc w:val="right"/>
      </w:pPr>
      <w:r>
        <w:rPr>
          <w:rFonts w:ascii="Times New Roman" w:hAnsi="Times New Roman"/>
          <w:b w:val="0"/>
          <w:i w:val="0"/>
          <w:sz w:val="20"/>
        </w:rPr>
        <w:t>(4.4)</w:t>
      </w:r>
    </w:p>
    <w:p>
      <w:pPr>
        <w:spacing w:after="160" w:line="276" w:lineRule="auto"/>
        <w:jc w:val="both"/>
      </w:pPr>
      <w:r>
        <w:rPr>
          <w:rFonts w:ascii="Times New Roman" w:hAnsi="Times New Roman"/>
          <w:b w:val="0"/>
          <w:i w:val="0"/>
          <w:sz w:val="22"/>
        </w:rPr>
        <w:t>where R^(l) is the rollout matrix at block l, I is the identity matrix, A^(l) is the attention matrix at block l (averaged across heads), and α is the residual weight. The final rollout map is extracted from the CLS token row (row 0) and reshaped to the spatial grid (14×14 for ViT-B/16 with 224×224 input and 16×16 patch size), then upsampled to 224×224.</w:t>
      </w:r>
    </w:p>
    <w:p>
      <w:pPr>
        <w:spacing w:after="160" w:line="276" w:lineRule="auto"/>
        <w:jc w:val="both"/>
      </w:pPr>
      <w:r>
        <w:rPr>
          <w:rFonts w:ascii="Times New Roman" w:hAnsi="Times New Roman"/>
          <w:b w:val="0"/>
          <w:i w:val="0"/>
          <w:sz w:val="22"/>
        </w:rPr>
        <w:t>The gradient-weighted attention (AxG) maps are computed by taking the gradient of the target class logit with respect to each block's attention matrix, multiplying element-wise with the raw attention, applying ReLU, and extracting the CLS token row. This produces one class-conditioned map per block, showing which attention patterns at that layer contribute to the target class.</w:t>
      </w:r>
    </w:p>
    <w:p>
      <w:pPr>
        <w:spacing w:before="160" w:after="80"/>
        <w:jc w:val="center"/>
      </w:pPr>
      <w:r>
        <w:rPr>
          <w:rFonts w:ascii="Times New Roman" w:hAnsi="Times New Roman"/>
          <w:b w:val="0"/>
          <w:i/>
          <w:sz w:val="22"/>
        </w:rPr>
        <w:t>AxG^(l) = ReLU(A^(l) ⊙ ∂y/∂A^(l))</w:t>
      </w:r>
    </w:p>
    <w:p>
      <w:pPr>
        <w:spacing w:after="160"/>
        <w:jc w:val="right"/>
      </w:pPr>
      <w:r>
        <w:rPr>
          <w:rFonts w:ascii="Times New Roman" w:hAnsi="Times New Roman"/>
          <w:b w:val="0"/>
          <w:i w:val="0"/>
          <w:sz w:val="20"/>
        </w:rPr>
        <w:t>(4.5)</w:t>
      </w:r>
    </w:p>
    <w:p>
      <w:pPr>
        <w:spacing w:after="160" w:line="276" w:lineRule="auto"/>
        <w:jc w:val="both"/>
      </w:pPr>
      <w:r>
        <w:rPr>
          <w:rFonts w:ascii="Times New Roman" w:hAnsi="Times New Roman"/>
          <w:b w:val="0"/>
          <w:i w:val="0"/>
          <w:sz w:val="22"/>
        </w:rPr>
        <w:t>where A^(l) is the attention matrix at block l, y is the target class logit, and ⊙ denotes element-wise multiplication. The VitExtractor produces 25 LayerMap objects per image (12 native partial rollouts + 1 full rollout + 12 class-conditioned AxG maps), providing a detailed layer-by-layer view of attention flow and class-specific evidence.</w:t>
      </w:r>
    </w:p>
    <w:tbl>
      <w:tblPr>
        <w:tblStyle w:val="LightGrid-Accent1"/>
        <w:tblW w:type="auto" w:w="0"/>
        <w:jc w:val="center"/>
        <w:tblLook w:firstColumn="1" w:firstRow="1" w:lastColumn="0" w:lastRow="0" w:noHBand="0" w:noVBand="1" w:val="04A0"/>
      </w:tblPr>
      <w:tblGrid>
        <w:gridCol w:w="1805"/>
        <w:gridCol w:w="1805"/>
        <w:gridCol w:w="1805"/>
        <w:gridCol w:w="1805"/>
        <w:gridCol w:w="1805"/>
      </w:tblGrid>
      <w:tr>
        <w:tc>
          <w:tcPr>
            <w:tcW w:type="dxa" w:w="1805"/>
            <w:shd w:fill="4472C4"/>
          </w:tcPr>
          <w:p>
            <w:r>
              <w:rPr>
                <w:b/>
                <w:color w:val="FFFFFF"/>
                <w:sz w:val="18"/>
              </w:rPr>
              <w:t>Extractor</w:t>
            </w:r>
          </w:p>
        </w:tc>
        <w:tc>
          <w:tcPr>
            <w:tcW w:type="dxa" w:w="1805"/>
            <w:shd w:fill="4472C4"/>
          </w:tcPr>
          <w:p>
            <w:r>
              <w:rPr>
                <w:b/>
                <w:color w:val="FFFFFF"/>
                <w:sz w:val="18"/>
              </w:rPr>
              <w:t>Model</w:t>
            </w:r>
          </w:p>
        </w:tc>
        <w:tc>
          <w:tcPr>
            <w:tcW w:type="dxa" w:w="1805"/>
            <w:shd w:fill="4472C4"/>
          </w:tcPr>
          <w:p>
            <w:r>
              <w:rPr>
                <w:b/>
                <w:color w:val="FFFFFF"/>
                <w:sz w:val="18"/>
              </w:rPr>
              <w:t>Native Maps</w:t>
            </w:r>
          </w:p>
        </w:tc>
        <w:tc>
          <w:tcPr>
            <w:tcW w:type="dxa" w:w="1805"/>
            <w:shd w:fill="4472C4"/>
          </w:tcPr>
          <w:p>
            <w:r>
              <w:rPr>
                <w:b/>
                <w:color w:val="FFFFFF"/>
                <w:sz w:val="18"/>
              </w:rPr>
              <w:t>Class-Cond Maps</w:t>
            </w:r>
          </w:p>
        </w:tc>
        <w:tc>
          <w:tcPr>
            <w:tcW w:type="dxa" w:w="1805"/>
            <w:shd w:fill="4472C4"/>
          </w:tcPr>
          <w:p>
            <w:r>
              <w:rPr>
                <w:b/>
                <w:color w:val="FFFFFF"/>
                <w:sz w:val="18"/>
              </w:rPr>
              <w:t>Total Maps</w:t>
            </w:r>
          </w:p>
        </w:tc>
      </w:tr>
      <w:tr>
        <w:tc>
          <w:tcPr>
            <w:tcW w:type="dxa" w:w="1805"/>
          </w:tcPr>
          <w:p>
            <w:r>
              <w:rPr>
                <w:sz w:val="18"/>
              </w:rPr>
              <w:t>ResNetExtractor</w:t>
            </w:r>
          </w:p>
        </w:tc>
        <w:tc>
          <w:tcPr>
            <w:tcW w:type="dxa" w:w="1805"/>
          </w:tcPr>
          <w:p>
            <w:r>
              <w:rPr>
                <w:sz w:val="18"/>
              </w:rPr>
              <w:t>ResNet-50</w:t>
            </w:r>
          </w:p>
        </w:tc>
        <w:tc>
          <w:tcPr>
            <w:tcW w:type="dxa" w:w="1805"/>
          </w:tcPr>
          <w:p>
            <w:r>
              <w:rPr>
                <w:sz w:val="18"/>
              </w:rPr>
              <w:t>4 (layer1-4)</w:t>
            </w:r>
          </w:p>
        </w:tc>
        <w:tc>
          <w:tcPr>
            <w:tcW w:type="dxa" w:w="1805"/>
          </w:tcPr>
          <w:p>
            <w:r>
              <w:rPr>
                <w:sz w:val="18"/>
              </w:rPr>
              <w:t>4 (Grad-CAM)</w:t>
            </w:r>
          </w:p>
        </w:tc>
        <w:tc>
          <w:tcPr>
            <w:tcW w:type="dxa" w:w="1805"/>
          </w:tcPr>
          <w:p>
            <w:r>
              <w:rPr>
                <w:sz w:val="18"/>
              </w:rPr>
              <w:t>8</w:t>
            </w:r>
          </w:p>
        </w:tc>
      </w:tr>
      <w:tr>
        <w:tc>
          <w:tcPr>
            <w:tcW w:type="dxa" w:w="1805"/>
          </w:tcPr>
          <w:p>
            <w:r>
              <w:rPr>
                <w:sz w:val="18"/>
              </w:rPr>
              <w:t>VitExtractor</w:t>
            </w:r>
          </w:p>
        </w:tc>
        <w:tc>
          <w:tcPr>
            <w:tcW w:type="dxa" w:w="1805"/>
          </w:tcPr>
          <w:p>
            <w:r>
              <w:rPr>
                <w:sz w:val="18"/>
              </w:rPr>
              <w:t>ViT-B/16</w:t>
            </w:r>
          </w:p>
        </w:tc>
        <w:tc>
          <w:tcPr>
            <w:tcW w:type="dxa" w:w="1805"/>
          </w:tcPr>
          <w:p>
            <w:r>
              <w:rPr>
                <w:sz w:val="18"/>
              </w:rPr>
              <w:t>13 (rollouts)</w:t>
            </w:r>
          </w:p>
        </w:tc>
        <w:tc>
          <w:tcPr>
            <w:tcW w:type="dxa" w:w="1805"/>
          </w:tcPr>
          <w:p>
            <w:r>
              <w:rPr>
                <w:sz w:val="18"/>
              </w:rPr>
              <w:t>12 (AxG)</w:t>
            </w:r>
          </w:p>
        </w:tc>
        <w:tc>
          <w:tcPr>
            <w:tcW w:type="dxa" w:w="1805"/>
          </w:tcPr>
          <w:p>
            <w:r>
              <w:rPr>
                <w:sz w:val="18"/>
              </w:rPr>
              <w:t>25</w:t>
            </w:r>
          </w:p>
        </w:tc>
      </w:tr>
    </w:tbl>
    <w:p/>
    <w:p>
      <w:pPr>
        <w:spacing w:after="240"/>
        <w:jc w:val="center"/>
      </w:pPr>
      <w:r>
        <w:rPr>
          <w:rFonts w:ascii="Times New Roman" w:hAnsi="Times New Roman"/>
          <w:b w:val="0"/>
          <w:i/>
          <w:sz w:val="20"/>
        </w:rPr>
        <w:t>Table 4.2: Extractor Comparison</w:t>
      </w:r>
    </w:p>
    <w:p>
      <w:pPr>
        <w:spacing w:before="360" w:after="200"/>
      </w:pPr>
      <w:r>
        <w:rPr>
          <w:rFonts w:ascii="Times New Roman" w:hAnsi="Times New Roman"/>
          <w:b/>
          <w:i w:val="0"/>
          <w:sz w:val="24"/>
        </w:rPr>
        <w:t>4.4 Attention Quality Metrics</w:t>
      </w:r>
    </w:p>
    <w:p>
      <w:pPr>
        <w:spacing w:after="160" w:line="276" w:lineRule="auto"/>
        <w:jc w:val="both"/>
      </w:pPr>
      <w:r>
        <w:rPr>
          <w:rFonts w:ascii="Times New Roman" w:hAnsi="Times New Roman"/>
          <w:b w:val="0"/>
          <w:i w:val="0"/>
          <w:sz w:val="22"/>
        </w:rPr>
        <w:t>The Metrics Module computes five quantitative measures of attention quality for each LayerMap, using ground-truth annotations (bounding boxes and part keypoints) from the CUB-200-2011 dataset. These metrics transform qualitative heatmaps into measurable, comparable numbers, addressing Limitation 2 (qualitative-only explanations).</w:t>
      </w:r>
    </w:p>
    <w:p>
      <w:pPr>
        <w:spacing w:before="280" w:after="160"/>
      </w:pPr>
      <w:r>
        <w:rPr>
          <w:rFonts w:ascii="Times New Roman" w:hAnsi="Times New Roman"/>
          <w:b/>
          <w:i w:val="0"/>
          <w:sz w:val="22"/>
        </w:rPr>
        <w:t>4.4.1 Focus Entropy</w:t>
      </w:r>
    </w:p>
    <w:p>
      <w:pPr>
        <w:spacing w:after="160" w:line="276" w:lineRule="auto"/>
        <w:jc w:val="both"/>
      </w:pPr>
      <w:r>
        <w:rPr>
          <w:rFonts w:ascii="Times New Roman" w:hAnsi="Times New Roman"/>
          <w:b w:val="0"/>
          <w:i w:val="0"/>
          <w:sz w:val="22"/>
        </w:rPr>
        <w:t>Focus entropy measures whether attention is localized (concentrated on a small region) or distributed (spread across the image). It is computed as the Shannon entropy of the normalized attention map, treated as a probability distribution.</w:t>
      </w:r>
    </w:p>
    <w:p>
      <w:pPr>
        <w:spacing w:before="160" w:after="80"/>
        <w:jc w:val="center"/>
      </w:pPr>
      <w:r>
        <w:rPr>
          <w:rFonts w:ascii="Times New Roman" w:hAnsi="Times New Roman"/>
          <w:b w:val="0"/>
          <w:i/>
          <w:sz w:val="22"/>
        </w:rPr>
        <w:t>H = -Σ p_i · log2(p_i)</w:t>
      </w:r>
    </w:p>
    <w:p>
      <w:pPr>
        <w:spacing w:after="160"/>
        <w:jc w:val="right"/>
      </w:pPr>
      <w:r>
        <w:rPr>
          <w:rFonts w:ascii="Times New Roman" w:hAnsi="Times New Roman"/>
          <w:b w:val="0"/>
          <w:i w:val="0"/>
          <w:sz w:val="20"/>
        </w:rPr>
        <w:t>(4.6)</w:t>
      </w:r>
    </w:p>
    <w:p>
      <w:pPr>
        <w:spacing w:after="160" w:line="276" w:lineRule="auto"/>
        <w:jc w:val="both"/>
      </w:pPr>
      <w:r>
        <w:rPr>
          <w:rFonts w:ascii="Times New Roman" w:hAnsi="Times New Roman"/>
          <w:b w:val="0"/>
          <w:i w:val="0"/>
          <w:sz w:val="22"/>
        </w:rPr>
        <w:t>where p_i is the normalized attention value at pixel i (p_i = map_i / Σ map_j). Low entropy (close to 0) indicates highly localized attention (all mass concentrated on one pixel), while high entropy (close to log2(N) where N is the number of pixels) indicates uniformly distributed attention. For a 224×224 image, the maximum entropy is log2(50176) ≈ 15.6 bits.</w:t>
      </w:r>
    </w:p>
    <w:p>
      <w:pPr>
        <w:spacing w:after="160" w:line="276" w:lineRule="auto"/>
        <w:jc w:val="both"/>
      </w:pPr>
      <w:r>
        <w:rPr>
          <w:rFonts w:ascii="Times New Roman" w:hAnsi="Times New Roman"/>
          <w:b w:val="0"/>
          <w:i w:val="0"/>
          <w:sz w:val="22"/>
        </w:rPr>
        <w:t>Focus entropy is particularly useful for comparing CNN and ViT attention patterns. CNN Grad-CAM maps tend to have low entropy (localized on the object), while ViT attention rollout maps tend to have high entropy (distributed across many patches). This metric quantifies the intuitive observation that ViTs have more distributed attention than CNNs.</w:t>
      </w:r>
    </w:p>
    <w:p>
      <w:pPr>
        <w:spacing w:before="280" w:after="160"/>
      </w:pPr>
      <w:r>
        <w:rPr>
          <w:rFonts w:ascii="Times New Roman" w:hAnsi="Times New Roman"/>
          <w:b/>
          <w:i w:val="0"/>
          <w:sz w:val="22"/>
        </w:rPr>
        <w:t>4.4.2 Object Relevance Share</w:t>
      </w:r>
    </w:p>
    <w:p>
      <w:pPr>
        <w:spacing w:after="160" w:line="276" w:lineRule="auto"/>
        <w:jc w:val="both"/>
      </w:pPr>
      <w:r>
        <w:rPr>
          <w:rFonts w:ascii="Times New Roman" w:hAnsi="Times New Roman"/>
          <w:b w:val="0"/>
          <w:i w:val="0"/>
          <w:sz w:val="22"/>
        </w:rPr>
        <w:t>Object relevance share measures the fraction of total attention falling inside the ground-truth object bounding box. It is computed as the sum of attention values inside the bbox divided by the total sum of attention values.</w:t>
      </w:r>
    </w:p>
    <w:p>
      <w:pPr>
        <w:spacing w:before="160" w:after="80"/>
        <w:jc w:val="center"/>
      </w:pPr>
      <w:r>
        <w:rPr>
          <w:rFonts w:ascii="Times New Roman" w:hAnsi="Times New Roman"/>
          <w:b w:val="0"/>
          <w:i/>
          <w:sz w:val="22"/>
        </w:rPr>
        <w:t>obj_share = Σ_{i∈bbox} map_i / Σ_{all i} map_i</w:t>
      </w:r>
    </w:p>
    <w:p>
      <w:pPr>
        <w:spacing w:after="160"/>
        <w:jc w:val="right"/>
      </w:pPr>
      <w:r>
        <w:rPr>
          <w:rFonts w:ascii="Times New Roman" w:hAnsi="Times New Roman"/>
          <w:b w:val="0"/>
          <w:i w:val="0"/>
          <w:sz w:val="20"/>
        </w:rPr>
        <w:t>(4.7)</w:t>
      </w:r>
    </w:p>
    <w:p>
      <w:pPr>
        <w:spacing w:after="160" w:line="276" w:lineRule="auto"/>
        <w:jc w:val="both"/>
      </w:pPr>
      <w:r>
        <w:rPr>
          <w:rFonts w:ascii="Times New Roman" w:hAnsi="Times New Roman"/>
          <w:b w:val="0"/>
          <w:i w:val="0"/>
          <w:sz w:val="22"/>
        </w:rPr>
        <w:t>where map_i is the attention value at pixel i, and the numerator sums only over pixels inside the bounding box. This metric ranges from 0 to 1, where 1 indicates all attention is focused on the object and 0 indicates no attention on the object (all attention on background).</w:t>
      </w:r>
    </w:p>
    <w:p>
      <w:pPr>
        <w:spacing w:after="160" w:line="276" w:lineRule="auto"/>
        <w:jc w:val="both"/>
      </w:pPr>
      <w:r>
        <w:rPr>
          <w:rFonts w:ascii="Times New Roman" w:hAnsi="Times New Roman"/>
          <w:b w:val="0"/>
          <w:i w:val="0"/>
          <w:sz w:val="22"/>
        </w:rPr>
        <w:t>Object relevance share is the primary metric for detecting spurious correlations. If a model is classifying based on background rather than the object, the obj_share will be low (close to 0). The screening engine uses this metric to flag classes where the mean obj_share is below a threshold, indicating suspected background reliance.</w:t>
      </w:r>
    </w:p>
    <w:p>
      <w:pPr>
        <w:spacing w:before="280" w:after="160"/>
      </w:pPr>
      <w:r>
        <w:rPr>
          <w:rFonts w:ascii="Times New Roman" w:hAnsi="Times New Roman"/>
          <w:b/>
          <w:i w:val="0"/>
          <w:sz w:val="22"/>
        </w:rPr>
        <w:t>4.4.3 Background Sensitivity</w:t>
      </w:r>
    </w:p>
    <w:p>
      <w:pPr>
        <w:spacing w:after="160" w:line="276" w:lineRule="auto"/>
        <w:jc w:val="both"/>
      </w:pPr>
      <w:r>
        <w:rPr>
          <w:rFonts w:ascii="Times New Roman" w:hAnsi="Times New Roman"/>
          <w:b w:val="0"/>
          <w:i w:val="0"/>
          <w:sz w:val="22"/>
        </w:rPr>
        <w:t>Background sensitivity is the complement of object relevance share, measuring the fraction of attention falling outside the object bounding box.</w:t>
      </w:r>
    </w:p>
    <w:p>
      <w:pPr>
        <w:spacing w:before="160" w:after="80"/>
        <w:jc w:val="center"/>
      </w:pPr>
      <w:r>
        <w:rPr>
          <w:rFonts w:ascii="Times New Roman" w:hAnsi="Times New Roman"/>
          <w:b w:val="0"/>
          <w:i/>
          <w:sz w:val="22"/>
        </w:rPr>
        <w:t>bg_sensitivity = 1 - obj_share</w:t>
      </w:r>
    </w:p>
    <w:p>
      <w:pPr>
        <w:spacing w:after="160"/>
        <w:jc w:val="right"/>
      </w:pPr>
      <w:r>
        <w:rPr>
          <w:rFonts w:ascii="Times New Roman" w:hAnsi="Times New Roman"/>
          <w:b w:val="0"/>
          <w:i w:val="0"/>
          <w:sz w:val="20"/>
        </w:rPr>
        <w:t>(4.8)</w:t>
      </w:r>
    </w:p>
    <w:p>
      <w:pPr>
        <w:spacing w:after="160" w:line="276" w:lineRule="auto"/>
        <w:jc w:val="both"/>
      </w:pPr>
      <w:r>
        <w:rPr>
          <w:rFonts w:ascii="Times New Roman" w:hAnsi="Times New Roman"/>
          <w:b w:val="0"/>
          <w:i w:val="0"/>
          <w:sz w:val="22"/>
        </w:rPr>
        <w:t>This metric provides a direct measure of potential background reliance. High background sensitivity (close to 1) indicates that most attention is focused on the background, which is a red flag for spurious correlations.</w:t>
      </w:r>
    </w:p>
    <w:p>
      <w:pPr>
        <w:spacing w:before="280" w:after="160"/>
      </w:pPr>
      <w:r>
        <w:rPr>
          <w:rFonts w:ascii="Times New Roman" w:hAnsi="Times New Roman"/>
          <w:b/>
          <w:i w:val="0"/>
          <w:sz w:val="22"/>
        </w:rPr>
        <w:t>4.4.4 Part Alignment</w:t>
      </w:r>
    </w:p>
    <w:p>
      <w:pPr>
        <w:spacing w:after="160" w:line="276" w:lineRule="auto"/>
        <w:jc w:val="both"/>
      </w:pPr>
      <w:r>
        <w:rPr>
          <w:rFonts w:ascii="Times New Roman" w:hAnsi="Times New Roman"/>
          <w:b w:val="0"/>
          <w:i w:val="0"/>
          <w:sz w:val="22"/>
        </w:rPr>
        <w:t>Part alignment measures the fraction of attention falling within a specified radius of ground-truth part keypoints (e.g., beak, head, wing for birds). It is computed by creating a binary mask of pixels within the radius of any keypoint, then summing attention values inside the mask.</w:t>
      </w:r>
    </w:p>
    <w:p>
      <w:pPr>
        <w:spacing w:before="160" w:after="80"/>
        <w:jc w:val="center"/>
      </w:pPr>
      <w:r>
        <w:rPr>
          <w:rFonts w:ascii="Times New Roman" w:hAnsi="Times New Roman"/>
          <w:b w:val="0"/>
          <w:i/>
          <w:sz w:val="22"/>
        </w:rPr>
        <w:t>part_align = Σ_{i∈mask} map_i / Σ_{all i} map_i</w:t>
      </w:r>
    </w:p>
    <w:p>
      <w:pPr>
        <w:spacing w:after="160"/>
        <w:jc w:val="right"/>
      </w:pPr>
      <w:r>
        <w:rPr>
          <w:rFonts w:ascii="Times New Roman" w:hAnsi="Times New Roman"/>
          <w:b w:val="0"/>
          <w:i w:val="0"/>
          <w:sz w:val="20"/>
        </w:rPr>
        <w:t>(4.9)</w:t>
      </w:r>
    </w:p>
    <w:p>
      <w:pPr>
        <w:spacing w:after="160" w:line="276" w:lineRule="auto"/>
        <w:jc w:val="both"/>
      </w:pPr>
      <w:r>
        <w:rPr>
          <w:rFonts w:ascii="Times New Roman" w:hAnsi="Times New Roman"/>
          <w:b w:val="0"/>
          <w:i w:val="0"/>
          <w:sz w:val="22"/>
        </w:rPr>
        <w:t>where the mask includes all pixels within radius r (default 6 pixels) of any visible part keypoint. This metric measures whether the model focuses on discriminative body parts. For bird classification, high part alignment indicates the model is attending to anatomically meaningful regions (beak, head, wings) rather than non-discriminative regions (background, body).</w:t>
      </w:r>
    </w:p>
    <w:p>
      <w:pPr>
        <w:spacing w:before="280" w:after="160"/>
      </w:pPr>
      <w:r>
        <w:rPr>
          <w:rFonts w:ascii="Times New Roman" w:hAnsi="Times New Roman"/>
          <w:b/>
          <w:i w:val="0"/>
          <w:sz w:val="22"/>
        </w:rPr>
        <w:t>4.4.5 Object Sensitivity</w:t>
      </w:r>
    </w:p>
    <w:p>
      <w:pPr>
        <w:spacing w:after="160" w:line="276" w:lineRule="auto"/>
        <w:jc w:val="both"/>
      </w:pPr>
      <w:r>
        <w:rPr>
          <w:rFonts w:ascii="Times New Roman" w:hAnsi="Times New Roman"/>
          <w:b w:val="0"/>
          <w:i w:val="0"/>
          <w:sz w:val="22"/>
        </w:rPr>
        <w:t>Object sensitivity is an alias for object relevance share, emphasizing the causal interpretation: if we were to mask the object region, how much would the prediction change? High object sensitivity indicates the model relies heavily on the object for its prediction.</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shd w:fill="4472C4"/>
          </w:tcPr>
          <w:p>
            <w:r>
              <w:rPr>
                <w:b/>
                <w:color w:val="FFFFFF"/>
                <w:sz w:val="18"/>
              </w:rPr>
              <w:t>Metric</w:t>
            </w:r>
          </w:p>
        </w:tc>
        <w:tc>
          <w:tcPr>
            <w:tcW w:type="dxa" w:w="2256"/>
            <w:shd w:fill="4472C4"/>
          </w:tcPr>
          <w:p>
            <w:r>
              <w:rPr>
                <w:b/>
                <w:color w:val="FFFFFF"/>
                <w:sz w:val="18"/>
              </w:rPr>
              <w:t>Range</w:t>
            </w:r>
          </w:p>
        </w:tc>
        <w:tc>
          <w:tcPr>
            <w:tcW w:type="dxa" w:w="2256"/>
            <w:shd w:fill="4472C4"/>
          </w:tcPr>
          <w:p>
            <w:r>
              <w:rPr>
                <w:b/>
                <w:color w:val="FFFFFF"/>
                <w:sz w:val="18"/>
              </w:rPr>
              <w:t>High Value Means</w:t>
            </w:r>
          </w:p>
        </w:tc>
        <w:tc>
          <w:tcPr>
            <w:tcW w:type="dxa" w:w="2256"/>
            <w:shd w:fill="4472C4"/>
          </w:tcPr>
          <w:p>
            <w:r>
              <w:rPr>
                <w:b/>
                <w:color w:val="FFFFFF"/>
                <w:sz w:val="18"/>
              </w:rPr>
              <w:t>Low Value Means</w:t>
            </w:r>
          </w:p>
        </w:tc>
      </w:tr>
      <w:tr>
        <w:tc>
          <w:tcPr>
            <w:tcW w:type="dxa" w:w="2256"/>
          </w:tcPr>
          <w:p>
            <w:r>
              <w:rPr>
                <w:sz w:val="18"/>
              </w:rPr>
              <w:t>Focus Entropy</w:t>
            </w:r>
          </w:p>
        </w:tc>
        <w:tc>
          <w:tcPr>
            <w:tcW w:type="dxa" w:w="2256"/>
          </w:tcPr>
          <w:p>
            <w:r>
              <w:rPr>
                <w:sz w:val="18"/>
              </w:rPr>
              <w:t>0 - 15.6</w:t>
            </w:r>
          </w:p>
        </w:tc>
        <w:tc>
          <w:tcPr>
            <w:tcW w:type="dxa" w:w="2256"/>
          </w:tcPr>
          <w:p>
            <w:r>
              <w:rPr>
                <w:sz w:val="18"/>
              </w:rPr>
              <w:t>Distributed attention</w:t>
            </w:r>
          </w:p>
        </w:tc>
        <w:tc>
          <w:tcPr>
            <w:tcW w:type="dxa" w:w="2256"/>
          </w:tcPr>
          <w:p>
            <w:r>
              <w:rPr>
                <w:sz w:val="18"/>
              </w:rPr>
              <w:t>Localized attention</w:t>
            </w:r>
          </w:p>
        </w:tc>
      </w:tr>
      <w:tr>
        <w:tc>
          <w:tcPr>
            <w:tcW w:type="dxa" w:w="2256"/>
          </w:tcPr>
          <w:p>
            <w:r>
              <w:rPr>
                <w:sz w:val="18"/>
              </w:rPr>
              <w:t>Object Relevance</w:t>
            </w:r>
          </w:p>
        </w:tc>
        <w:tc>
          <w:tcPr>
            <w:tcW w:type="dxa" w:w="2256"/>
          </w:tcPr>
          <w:p>
            <w:r>
              <w:rPr>
                <w:sz w:val="18"/>
              </w:rPr>
              <w:t>0 - 1</w:t>
            </w:r>
          </w:p>
        </w:tc>
        <w:tc>
          <w:tcPr>
            <w:tcW w:type="dxa" w:w="2256"/>
          </w:tcPr>
          <w:p>
            <w:r>
              <w:rPr>
                <w:sz w:val="18"/>
              </w:rPr>
              <w:t>Object-focused</w:t>
            </w:r>
          </w:p>
        </w:tc>
        <w:tc>
          <w:tcPr>
            <w:tcW w:type="dxa" w:w="2256"/>
          </w:tcPr>
          <w:p>
            <w:r>
              <w:rPr>
                <w:sz w:val="18"/>
              </w:rPr>
              <w:t>Background-focused</w:t>
            </w:r>
          </w:p>
        </w:tc>
      </w:tr>
      <w:tr>
        <w:tc>
          <w:tcPr>
            <w:tcW w:type="dxa" w:w="2256"/>
          </w:tcPr>
          <w:p>
            <w:r>
              <w:rPr>
                <w:sz w:val="18"/>
              </w:rPr>
              <w:t>Background Sensitivity</w:t>
            </w:r>
          </w:p>
        </w:tc>
        <w:tc>
          <w:tcPr>
            <w:tcW w:type="dxa" w:w="2256"/>
          </w:tcPr>
          <w:p>
            <w:r>
              <w:rPr>
                <w:sz w:val="18"/>
              </w:rPr>
              <w:t>0 - 1</w:t>
            </w:r>
          </w:p>
        </w:tc>
        <w:tc>
          <w:tcPr>
            <w:tcW w:type="dxa" w:w="2256"/>
          </w:tcPr>
          <w:p>
            <w:r>
              <w:rPr>
                <w:sz w:val="18"/>
              </w:rPr>
              <w:t>Background-focused</w:t>
            </w:r>
          </w:p>
        </w:tc>
        <w:tc>
          <w:tcPr>
            <w:tcW w:type="dxa" w:w="2256"/>
          </w:tcPr>
          <w:p>
            <w:r>
              <w:rPr>
                <w:sz w:val="18"/>
              </w:rPr>
              <w:t>Object-focused</w:t>
            </w:r>
          </w:p>
        </w:tc>
      </w:tr>
      <w:tr>
        <w:tc>
          <w:tcPr>
            <w:tcW w:type="dxa" w:w="2256"/>
          </w:tcPr>
          <w:p>
            <w:r>
              <w:rPr>
                <w:sz w:val="18"/>
              </w:rPr>
              <w:t>Part Alignment</w:t>
            </w:r>
          </w:p>
        </w:tc>
        <w:tc>
          <w:tcPr>
            <w:tcW w:type="dxa" w:w="2256"/>
          </w:tcPr>
          <w:p>
            <w:r>
              <w:rPr>
                <w:sz w:val="18"/>
              </w:rPr>
              <w:t>0 - 1</w:t>
            </w:r>
          </w:p>
        </w:tc>
        <w:tc>
          <w:tcPr>
            <w:tcW w:type="dxa" w:w="2256"/>
          </w:tcPr>
          <w:p>
            <w:r>
              <w:rPr>
                <w:sz w:val="18"/>
              </w:rPr>
              <w:t>Parts-focused</w:t>
            </w:r>
          </w:p>
        </w:tc>
        <w:tc>
          <w:tcPr>
            <w:tcW w:type="dxa" w:w="2256"/>
          </w:tcPr>
          <w:p>
            <w:r>
              <w:rPr>
                <w:sz w:val="18"/>
              </w:rPr>
              <w:t>Non-parts-focused</w:t>
            </w:r>
          </w:p>
        </w:tc>
      </w:tr>
      <w:tr>
        <w:tc>
          <w:tcPr>
            <w:tcW w:type="dxa" w:w="2256"/>
          </w:tcPr>
          <w:p>
            <w:r>
              <w:rPr>
                <w:sz w:val="18"/>
              </w:rPr>
              <w:t>Object Sensitivity</w:t>
            </w:r>
          </w:p>
        </w:tc>
        <w:tc>
          <w:tcPr>
            <w:tcW w:type="dxa" w:w="2256"/>
          </w:tcPr>
          <w:p>
            <w:r>
              <w:rPr>
                <w:sz w:val="18"/>
              </w:rPr>
              <w:t>0 - 1</w:t>
            </w:r>
          </w:p>
        </w:tc>
        <w:tc>
          <w:tcPr>
            <w:tcW w:type="dxa" w:w="2256"/>
          </w:tcPr>
          <w:p>
            <w:r>
              <w:rPr>
                <w:sz w:val="18"/>
              </w:rPr>
              <w:t>Object-reliant</w:t>
            </w:r>
          </w:p>
        </w:tc>
        <w:tc>
          <w:tcPr>
            <w:tcW w:type="dxa" w:w="2256"/>
          </w:tcPr>
          <w:p>
            <w:r>
              <w:rPr>
                <w:sz w:val="18"/>
              </w:rPr>
              <w:t>Object-independent</w:t>
            </w:r>
          </w:p>
        </w:tc>
      </w:tr>
    </w:tbl>
    <w:p/>
    <w:p>
      <w:pPr>
        <w:spacing w:after="240"/>
        <w:jc w:val="center"/>
      </w:pPr>
      <w:r>
        <w:rPr>
          <w:rFonts w:ascii="Times New Roman" w:hAnsi="Times New Roman"/>
          <w:b w:val="0"/>
          <w:i/>
          <w:sz w:val="20"/>
        </w:rPr>
        <w:t>Table 4.3: Attention Quality Metrics Summary</w:t>
      </w:r>
    </w:p>
    <w:p>
      <w:pPr>
        <w:spacing w:before="360" w:after="200"/>
      </w:pPr>
      <w:r>
        <w:rPr>
          <w:rFonts w:ascii="Times New Roman" w:hAnsi="Times New Roman"/>
          <w:b/>
          <w:i w:val="0"/>
          <w:sz w:val="24"/>
        </w:rPr>
        <w:t>4.5 Automated Screening Engine</w:t>
      </w:r>
    </w:p>
    <w:p>
      <w:pPr>
        <w:spacing w:after="160" w:line="276" w:lineRule="auto"/>
        <w:jc w:val="both"/>
      </w:pPr>
      <w:r>
        <w:rPr>
          <w:rFonts w:ascii="Times New Roman" w:hAnsi="Times New Roman"/>
          <w:b w:val="0"/>
          <w:i w:val="0"/>
          <w:sz w:val="22"/>
        </w:rPr>
        <w:t>The Screening Engine aggregates per-image metrics into class-level statistics and produces evidence-backed verdicts, addressing Limitation 3 (no automated bias detection). It transforms individual LayerMap metrics into actionable insights about model behavior.</w:t>
      </w:r>
    </w:p>
    <w:p>
      <w:pPr>
        <w:spacing w:before="280" w:after="160"/>
      </w:pPr>
      <w:r>
        <w:rPr>
          <w:rFonts w:ascii="Times New Roman" w:hAnsi="Times New Roman"/>
          <w:b/>
          <w:i w:val="0"/>
          <w:sz w:val="22"/>
        </w:rPr>
        <w:t>4.5.1 Verdict Types</w:t>
      </w:r>
    </w:p>
    <w:p>
      <w:pPr>
        <w:spacing w:after="160" w:line="276" w:lineRule="auto"/>
        <w:jc w:val="both"/>
      </w:pPr>
      <w:r>
        <w:rPr>
          <w:rFonts w:ascii="Times New Roman" w:hAnsi="Times New Roman"/>
          <w:b w:val="0"/>
          <w:i w:val="0"/>
          <w:sz w:val="22"/>
        </w:rPr>
        <w:t>The screening engine produces three types of verdicts: (1) class_bias flags indicating suspected spurious correlations for specific classes, (2) layer_role profiles characterizing what each layer attends to (edges, textures, parts), and (3) failure_diagnosis reports explaining why specific images were misclassified.</w:t>
      </w:r>
    </w:p>
    <w:p>
      <w:pPr>
        <w:spacing w:after="160" w:line="276" w:lineRule="auto"/>
        <w:jc w:val="both"/>
      </w:pPr>
      <w:r>
        <w:rPr>
          <w:rFonts w:ascii="Times New Roman" w:hAnsi="Times New Roman"/>
          <w:b w:val="0"/>
          <w:i w:val="0"/>
          <w:sz w:val="22"/>
        </w:rPr>
        <w:t>Class bias flags are produced when the mean background sensitivity for a class exceeds the mean object relevance share by a configurable threshold (default 0.05). The flag includes the class name, the mean object and background shares, the number of images analyzed, and links to the top 3 evidence images (the images with the highest background sensitivity for that class).</w:t>
      </w:r>
    </w:p>
    <w:p>
      <w:pPr>
        <w:spacing w:before="160" w:after="80"/>
        <w:jc w:val="center"/>
      </w:pPr>
      <w:r>
        <w:rPr>
          <w:rFonts w:ascii="Times New Roman" w:hAnsi="Times New Roman"/>
          <w:b w:val="0"/>
          <w:i/>
          <w:sz w:val="22"/>
        </w:rPr>
        <w:t>flag if: mean(bg_sensitivity) &gt; mean(obj_share) + threshold</w:t>
      </w:r>
    </w:p>
    <w:p>
      <w:pPr>
        <w:spacing w:after="160"/>
        <w:jc w:val="right"/>
      </w:pPr>
      <w:r>
        <w:rPr>
          <w:rFonts w:ascii="Times New Roman" w:hAnsi="Times New Roman"/>
          <w:b w:val="0"/>
          <w:i w:val="0"/>
          <w:sz w:val="20"/>
        </w:rPr>
        <w:t>(4.10)</w:t>
      </w:r>
    </w:p>
    <w:p>
      <w:pPr>
        <w:spacing w:after="160" w:line="276" w:lineRule="auto"/>
        <w:jc w:val="both"/>
      </w:pPr>
      <w:r>
        <w:rPr>
          <w:rFonts w:ascii="Times New Roman" w:hAnsi="Times New Roman"/>
          <w:b w:val="0"/>
          <w:i w:val="0"/>
          <w:sz w:val="22"/>
        </w:rPr>
        <w:t>Layer role profiles are produced by analyzing the focus entropy and part alignment metrics across all images for each layer. Layers with low entropy are characterized as 'localized' (focusing on specific regions), while layers with high entropy are characterized as 'distributed' (attending broadly). Layers with high part alignment are characterized as 'part-focused' (attending to discriminative body parts).</w:t>
      </w:r>
    </w:p>
    <w:p>
      <w:pPr>
        <w:spacing w:after="160" w:line="276" w:lineRule="auto"/>
        <w:jc w:val="both"/>
      </w:pPr>
      <w:r>
        <w:rPr>
          <w:rFonts w:ascii="Times New Roman" w:hAnsi="Times New Roman"/>
          <w:b w:val="0"/>
          <w:i w:val="0"/>
          <w:sz w:val="22"/>
        </w:rPr>
        <w:t>Failure diagnosis reports are produced for misclassified images where the background sensitivity exceeds the object relevance share. The report includes the image ID, the true and predicted labels, the object and background shares, and the attention maps showing where the model focused. This enables researchers to quickly identify cases where the model 'guessed from context' rather than recognizing the object.</w:t>
      </w:r>
    </w:p>
    <w:p>
      <w:pPr>
        <w:spacing w:before="280" w:after="160"/>
      </w:pPr>
      <w:r>
        <w:rPr>
          <w:rFonts w:ascii="Times New Roman" w:hAnsi="Times New Roman"/>
          <w:b/>
          <w:i w:val="0"/>
          <w:sz w:val="22"/>
        </w:rPr>
        <w:t>4.5.2 Screening Algorithm</w:t>
      </w:r>
    </w:p>
    <w:tbl>
      <w:tblPr>
        <w:tblStyle w:val="LightGrid-Accent1"/>
        <w:tblW w:type="auto" w:w="0"/>
        <w:jc w:val="center"/>
        <w:tblLook w:firstColumn="1" w:firstRow="1" w:lastColumn="0" w:lastRow="0" w:noHBand="0" w:noVBand="1" w:val="04A0"/>
      </w:tblPr>
      <w:tblGrid>
        <w:gridCol w:w="9026"/>
      </w:tblGrid>
      <w:tr>
        <w:tc>
          <w:tcPr>
            <w:tcW w:type="dxa" w:w="9026"/>
          </w:tcPr>
          <w:p>
            <w:r>
              <w:rPr>
                <w:rFonts w:ascii="Consolas" w:hAnsi="Consolas"/>
                <w:b w:val="0"/>
                <w:i w:val="0"/>
                <w:sz w:val="18"/>
              </w:rPr>
              <w:t>Algorithm 1: Automated Screening Engine</w:t>
              <w:br/>
              <w:t>────────────────────────────────────────</w:t>
              <w:br/>
              <w:t>Input: List of LayerMap objects with computed metrics</w:t>
              <w:br/>
              <w:t>Output: ScreeningReport with verdicts and class statistics</w:t>
              <w:br/>
              <w:br/>
              <w:t>1. For each image in dataset:</w:t>
              <w:br/>
              <w:t>2.   Extract class-conditioned LayerMap for predicted class</w:t>
              <w:br/>
              <w:t>3.   Compute obj_share and bg_sensitivity using bbox</w:t>
              <w:br/>
              <w:t>4.   Store ImageEntry(image_id, class_name, correct, obj_share, bg_sensitivity)</w:t>
              <w:br/>
              <w:t>5. End For</w:t>
              <w:br/>
              <w:br/>
              <w:t>6. Group ImageEntries by class_name</w:t>
              <w:br/>
              <w:t>7. For each class:</w:t>
              <w:br/>
              <w:t>8.   Compute mean_obj_share = mean(obj_share for all images in class)</w:t>
              <w:br/>
              <w:t>9.   Compute mean_bg_share = mean(bg_sensitivity for all images in class)</w:t>
              <w:br/>
              <w:t>10.  If mean_bg_share &gt; mean_obj_share + threshold:</w:t>
              <w:br/>
              <w:t>11.    Emit class_bias verdict with level='flag'</w:t>
              <w:br/>
              <w:t>12.  Else:</w:t>
              <w:br/>
              <w:t>13.    Emit class_bias verdict with level='info'</w:t>
              <w:br/>
              <w:t>14. End For</w:t>
              <w:br/>
              <w:br/>
              <w:t>15. For each misclassified image:</w:t>
              <w:br/>
              <w:t>16.   If bg_sensitivity &gt; obj_share:</w:t>
              <w:br/>
              <w:t>17.     Emit failure_diagnosis verdict</w:t>
              <w:br/>
              <w:t>18. End For</w:t>
              <w:br/>
              <w:br/>
              <w:t>19. Return ScreeningReport(verdicts, class_stats)</w:t>
            </w:r>
          </w:p>
        </w:tc>
      </w:tr>
    </w:tbl>
    <w:p/>
    <w:p>
      <w:pPr>
        <w:spacing w:after="240"/>
        <w:jc w:val="center"/>
      </w:pPr>
      <w:r>
        <w:rPr>
          <w:rFonts w:ascii="Times New Roman" w:hAnsi="Times New Roman"/>
          <w:b w:val="0"/>
          <w:i/>
          <w:sz w:val="20"/>
        </w:rPr>
        <w:t>Algorithm 1: Automated Screening Engine</w:t>
      </w:r>
    </w:p>
    <w:p>
      <w:pPr>
        <w:spacing w:before="360" w:after="200"/>
      </w:pPr>
      <w:r>
        <w:rPr>
          <w:rFonts w:ascii="Times New Roman" w:hAnsi="Times New Roman"/>
          <w:b/>
          <w:i w:val="0"/>
          <w:sz w:val="24"/>
        </w:rPr>
        <w:t>4.6 Causal Intervention Loop</w:t>
      </w:r>
    </w:p>
    <w:p>
      <w:pPr>
        <w:spacing w:after="160" w:line="276" w:lineRule="auto"/>
        <w:jc w:val="both"/>
      </w:pPr>
      <w:r>
        <w:rPr>
          <w:rFonts w:ascii="Times New Roman" w:hAnsi="Times New Roman"/>
          <w:b w:val="0"/>
          <w:i w:val="0"/>
          <w:sz w:val="22"/>
        </w:rPr>
        <w:t>The Intervention Module enables causal debugging by masking regions of the input image and measuring how the prediction changes, addressing Limitation 4 (absence of causal reasoning). This moves beyond correlation (heatmaps showing where the model attends) to causation (testing whether masking that region actually changes the prediction).</w:t>
      </w:r>
    </w:p>
    <w:p>
      <w:pPr>
        <w:spacing w:before="280" w:after="160"/>
      </w:pPr>
      <w:r>
        <w:rPr>
          <w:rFonts w:ascii="Times New Roman" w:hAnsi="Times New Roman"/>
          <w:b/>
          <w:i w:val="0"/>
          <w:sz w:val="22"/>
        </w:rPr>
        <w:t>4.6.1 Occlusion Strategies</w:t>
      </w:r>
    </w:p>
    <w:p>
      <w:pPr>
        <w:spacing w:after="160" w:line="276" w:lineRule="auto"/>
        <w:jc w:val="both"/>
      </w:pPr>
      <w:r>
        <w:rPr>
          <w:rFonts w:ascii="Times New Roman" w:hAnsi="Times New Roman"/>
          <w:b w:val="0"/>
          <w:i w:val="0"/>
          <w:sz w:val="22"/>
        </w:rPr>
        <w:t>The intervention module supports three occlusion strategies for masking regions: (1) zero fill, which sets the masked region to 0 (the ImageNet mean after normalization, representing 'no information'); (2) noise injection, which fills the region with Gaussian noise (mean 0, std 0.5), representing 'random information'; and (3) box-average blur, which replaces the region with its mean pixel value, representing 'coarse information without detail'.</w:t>
      </w:r>
    </w:p>
    <w:p>
      <w:pPr>
        <w:spacing w:after="160" w:line="276" w:lineRule="auto"/>
        <w:jc w:val="both"/>
      </w:pPr>
      <w:r>
        <w:rPr>
          <w:rFonts w:ascii="Times New Roman" w:hAnsi="Times New Roman"/>
          <w:b w:val="0"/>
          <w:i w:val="0"/>
          <w:sz w:val="22"/>
        </w:rPr>
        <w:t>The zero-fill strategy is the default and most interpretable: it removes all information from the masked region, allowing us to test whether the model relies on that region for its prediction. If masking a region causes the target-class logit to drop significantly, this provides causal evidence that the model uses that region.</w:t>
      </w:r>
    </w:p>
    <w:p>
      <w:pPr>
        <w:spacing w:before="280" w:after="160"/>
      </w:pPr>
      <w:r>
        <w:rPr>
          <w:rFonts w:ascii="Times New Roman" w:hAnsi="Times New Roman"/>
          <w:b/>
          <w:i w:val="0"/>
          <w:sz w:val="22"/>
        </w:rPr>
        <w:t>4.6.2 Intervention Procedure</w:t>
      </w:r>
    </w:p>
    <w:p>
      <w:pPr>
        <w:spacing w:after="160" w:line="276" w:lineRule="auto"/>
        <w:jc w:val="both"/>
      </w:pPr>
      <w:r>
        <w:rPr>
          <w:rFonts w:ascii="Times New Roman" w:hAnsi="Times New Roman"/>
          <w:b w:val="0"/>
          <w:i w:val="0"/>
          <w:sz w:val="22"/>
        </w:rPr>
        <w:t>The intervention procedure takes as input the model, the original image tensor, a list of regions to mask (specified as (x, y, width, height) tuples), the target class, and the occlusion strategy. For each region, it creates a masked copy of the input tensor, runs the model on the masked input, and computes the logit delta (change in target-class logit).</w:t>
      </w:r>
    </w:p>
    <w:p>
      <w:pPr>
        <w:spacing w:before="160" w:after="80"/>
        <w:jc w:val="center"/>
      </w:pPr>
      <w:r>
        <w:rPr>
          <w:rFonts w:ascii="Times New Roman" w:hAnsi="Times New Roman"/>
          <w:b w:val="0"/>
          <w:i/>
          <w:sz w:val="22"/>
        </w:rPr>
        <w:t>logit_delta = logit_before - logit_after</w:t>
      </w:r>
    </w:p>
    <w:p>
      <w:pPr>
        <w:spacing w:after="160"/>
        <w:jc w:val="right"/>
      </w:pPr>
      <w:r>
        <w:rPr>
          <w:rFonts w:ascii="Times New Roman" w:hAnsi="Times New Roman"/>
          <w:b w:val="0"/>
          <w:i w:val="0"/>
          <w:sz w:val="20"/>
        </w:rPr>
        <w:t>(4.11)</w:t>
      </w:r>
    </w:p>
    <w:p>
      <w:pPr>
        <w:spacing w:after="160" w:line="276" w:lineRule="auto"/>
        <w:jc w:val="both"/>
      </w:pPr>
      <w:r>
        <w:rPr>
          <w:rFonts w:ascii="Times New Roman" w:hAnsi="Times New Roman"/>
          <w:b w:val="0"/>
          <w:i w:val="0"/>
          <w:sz w:val="22"/>
        </w:rPr>
        <w:t>A positive logit_delta indicates that masking the region caused the target-class logit to drop, providing evidence that the model relied on that region. A negative logit_delta indicates that masking the region caused the logit to increase, suggesting the region was 'hurting' the prediction (perhaps containing confusing or contradictory information).</w:t>
      </w:r>
    </w:p>
    <w:p>
      <w:pPr>
        <w:spacing w:after="160" w:line="276" w:lineRule="auto"/>
        <w:jc w:val="both"/>
      </w:pPr>
      <w:r>
        <w:rPr>
          <w:rFonts w:ascii="Times New Roman" w:hAnsi="Times New Roman"/>
          <w:b w:val="0"/>
          <w:i w:val="0"/>
          <w:sz w:val="22"/>
        </w:rPr>
        <w:t>The intervention module also supports regular grid-based intervention, which divides the image into an N×N grid (default 4×4) and occludes each cell independently. This produces a spatial sensitivity map showing which regions of the image are most important for the prediction. The sensitivity map can be visualized as a heatmap and compared with the Grad-CAM or attention rollout maps to validate whether the attribution methods correctly identify important regions.</w:t>
      </w:r>
    </w:p>
    <w:p>
      <w:pPr>
        <w:spacing w:before="360" w:after="200"/>
      </w:pPr>
      <w:r>
        <w:rPr>
          <w:rFonts w:ascii="Times New Roman" w:hAnsi="Times New Roman"/>
          <w:b/>
          <w:i w:val="0"/>
          <w:sz w:val="24"/>
        </w:rPr>
        <w:t>4.7 Interactive Interface (Gradio UI)</w:t>
      </w:r>
    </w:p>
    <w:p>
      <w:pPr>
        <w:spacing w:after="160" w:line="276" w:lineRule="auto"/>
        <w:jc w:val="both"/>
      </w:pPr>
      <w:r>
        <w:rPr>
          <w:rFonts w:ascii="Times New Roman" w:hAnsi="Times New Roman"/>
          <w:b w:val="0"/>
          <w:i w:val="0"/>
          <w:sz w:val="22"/>
        </w:rPr>
        <w:t>The Interactive Interface provides a Gradio-based web application that enables researchers to explore attention patterns and perform causal interventions without writing code, addressing Limitation 5 (no integrated debugging workflow). The interface is implemented in the attentionlens/ui/app.py module and provides a user-friendly way to interact with all framework components.</w:t>
      </w:r>
    </w:p>
    <w:p>
      <w:pPr>
        <w:spacing w:before="280" w:after="160"/>
      </w:pPr>
      <w:r>
        <w:rPr>
          <w:rFonts w:ascii="Times New Roman" w:hAnsi="Times New Roman"/>
          <w:b/>
          <w:i w:val="0"/>
          <w:sz w:val="22"/>
        </w:rPr>
        <w:t>4.7.1 Interface Components</w:t>
      </w:r>
    </w:p>
    <w:p>
      <w:pPr>
        <w:spacing w:after="160" w:line="276" w:lineRule="auto"/>
        <w:jc w:val="both"/>
      </w:pPr>
      <w:r>
        <w:rPr>
          <w:rFonts w:ascii="Times New Roman" w:hAnsi="Times New Roman"/>
          <w:b w:val="0"/>
          <w:i w:val="0"/>
          <w:sz w:val="22"/>
        </w:rPr>
        <w:t>The interface consists of four main components: (1) an image upload area supporting file upload and clipboard paste, (2) a model selector allowing users to choose between ResNet-50 and ViT-B/16, (3) an 'Analyze' button that runs the full dual-view extraction and displays the gallery of attention maps, and (4) a 'Probe' section with coordinate sliders and mask size controls for causal intervention.</w:t>
      </w:r>
    </w:p>
    <w:p>
      <w:pPr>
        <w:spacing w:after="160" w:line="276" w:lineRule="auto"/>
        <w:jc w:val="both"/>
      </w:pPr>
      <w:r>
        <w:rPr>
          <w:rFonts w:ascii="Times New Roman" w:hAnsi="Times New Roman"/>
          <w:b w:val="0"/>
          <w:i w:val="0"/>
          <w:sz w:val="22"/>
        </w:rPr>
        <w:t>When the user clicks 'Analyze', the interface runs the appropriate extractor (ResNet or ViT) on the uploaded image, produces all LayerMap objects, and displays them in a gallery with captions showing the layer name and view type. Each map is overlayed on the original image using a jet colormap with 65% transparency, allowing users to see both the attention pattern and the underlying image content.</w:t>
      </w:r>
    </w:p>
    <w:p>
      <w:pPr>
        <w:spacing w:after="160" w:line="276" w:lineRule="auto"/>
        <w:jc w:val="both"/>
      </w:pPr>
      <w:r>
        <w:rPr>
          <w:rFonts w:ascii="Times New Roman" w:hAnsi="Times New Roman"/>
          <w:b w:val="0"/>
          <w:i w:val="0"/>
          <w:sz w:val="22"/>
        </w:rPr>
        <w:t>The 'Probe' section allows users to specify a region to mask by adjusting the center coordinates (X, Y) and mask size (width/height) using sliders. When the user clicks 'Run Probe', the interface runs the intervention module with the specified region and displays the results: the masked region coordinates, the prediction before and after masking, and the logit delta. This enables interactive hypothesis testing: users can hypothesize that a certain region is important, mask it, and immediately see whether the prediction changes.</w:t>
      </w:r>
    </w:p>
    <w:p>
      <w:pPr>
        <w:spacing w:before="280" w:after="160"/>
      </w:pPr>
      <w:r>
        <w:rPr>
          <w:rFonts w:ascii="Times New Roman" w:hAnsi="Times New Roman"/>
          <w:b/>
          <w:i w:val="0"/>
          <w:sz w:val="22"/>
        </w:rPr>
        <w:t>4.7.2 Error Handling</w:t>
      </w:r>
    </w:p>
    <w:p>
      <w:pPr>
        <w:spacing w:after="160" w:line="276" w:lineRule="auto"/>
        <w:jc w:val="both"/>
      </w:pPr>
      <w:r>
        <w:rPr>
          <w:rFonts w:ascii="Times New Roman" w:hAnsi="Times New Roman"/>
          <w:b w:val="0"/>
          <w:i w:val="0"/>
          <w:sz w:val="22"/>
        </w:rPr>
        <w:t>The interface implements robust error handling to surface raw exceptions rather than silent failures. If an error occurs during analysis or probing, the interface displays the full exception message and traceback (limited to 3 frames) in the UI, enabling users to diagnose issues without checking server logs. This is particularly important for debugging architecture-specific issues (e.g., timm ViT compatibility, Captum version mismatches).</w:t>
      </w:r>
    </w:p>
    <w:p>
      <w:pPr>
        <w:spacing w:before="240" w:after="240"/>
        <w:jc w:val="center"/>
      </w:pPr>
      <w:r>
        <w:rPr>
          <w:rFonts w:ascii="Times New Roman" w:hAnsi="Times New Roman"/>
          <w:b w:val="0"/>
          <w:i/>
          <w:color w:val="787878"/>
          <w:sz w:val="20"/>
        </w:rPr>
        <w:br/>
        <w:t>────────────────────────────────────────────────────────────</w:t>
        <w:br/>
        <w:br/>
        <w:t>[ PLACEHOLDER: GRADIO UI SCREENSHOT - AttentionLens Interactive Interface showing dual-view attention maps and causal probe controls ]</w:t>
        <w:br/>
        <w:br/>
        <w:t>────────────────────────────────────────────────────────────</w:t>
        <w:br/>
      </w:r>
    </w:p>
    <w:p>
      <w:r>
        <w:br w:type="page"/>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