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Times New Roman" w:hAnsi="Times New Roman"/>
          <w:b/>
          <w:i w:val="0"/>
          <w:sz w:val="32"/>
        </w:rPr>
        <w:t>5. Experimentation and Result Analysis</w:t>
      </w:r>
    </w:p>
    <w:p>
      <w:pPr>
        <w:spacing w:after="160" w:line="276" w:lineRule="auto"/>
        <w:jc w:val="both"/>
      </w:pPr>
      <w:r>
        <w:rPr>
          <w:rFonts w:ascii="Times New Roman" w:hAnsi="Times New Roman"/>
          <w:b w:val="0"/>
          <w:i w:val="0"/>
          <w:sz w:val="22"/>
        </w:rPr>
        <w:t>This section describes the experimental setup, implementation details, and presents the results obtained from running the AttentionLens framework on the datasets described in Section 3. The experiments are organized around the eight milestones (M1 through M8) defined in the project roadmap, each targeting a specific component of the framework. Results include dual-view visualization outputs, quantitative metrics on CUB-200, the planted-bias experiment (M7), and the ObjectNet natural-bias check (M8).</w:t>
      </w:r>
    </w:p>
    <w:p>
      <w:pPr>
        <w:spacing w:before="360" w:after="200"/>
      </w:pPr>
      <w:r>
        <w:rPr>
          <w:rFonts w:ascii="Times New Roman" w:hAnsi="Times New Roman"/>
          <w:b/>
          <w:i w:val="0"/>
          <w:sz w:val="24"/>
        </w:rPr>
        <w:t>5.1 Experimental Setup</w:t>
      </w:r>
    </w:p>
    <w:p>
      <w:pPr>
        <w:spacing w:before="280" w:after="160"/>
      </w:pPr>
      <w:r>
        <w:rPr>
          <w:rFonts w:ascii="Times New Roman" w:hAnsi="Times New Roman"/>
          <w:b/>
          <w:i w:val="0"/>
          <w:sz w:val="22"/>
        </w:rPr>
        <w:t>5.1.1 Hardware Configuration</w:t>
      </w:r>
    </w:p>
    <w:p>
      <w:pPr>
        <w:spacing w:after="160" w:line="276" w:lineRule="auto"/>
        <w:jc w:val="both"/>
      </w:pPr>
      <w:r>
        <w:rPr>
          <w:rFonts w:ascii="Times New Roman" w:hAnsi="Times New Roman"/>
          <w:b w:val="0"/>
          <w:i w:val="0"/>
          <w:sz w:val="22"/>
        </w:rPr>
        <w:t>Development and testing were performed on two hardware configurations to ensure device-agnostic operation. The primary development machine (Windows, CPU-only) was used for schema design, unit testing, and small-scale demonstrations. For large-scale screening runs and the planted-bias experiment, a GPU machine (RTX 5070, torch 2.11.0+cu128) was used via a Docker container with the attentionlens-gpu image.</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shd w:fill="4472C4"/>
          </w:tcPr>
          <w:p>
            <w:r>
              <w:rPr>
                <w:b/>
                <w:color w:val="FFFFFF"/>
                <w:sz w:val="18"/>
              </w:rPr>
              <w:t>Component</w:t>
            </w:r>
          </w:p>
        </w:tc>
        <w:tc>
          <w:tcPr>
            <w:tcW w:type="dxa" w:w="3009"/>
            <w:shd w:fill="4472C4"/>
          </w:tcPr>
          <w:p>
            <w:r>
              <w:rPr>
                <w:b/>
                <w:color w:val="FFFFFF"/>
                <w:sz w:val="18"/>
              </w:rPr>
              <w:t>Development (CPU)</w:t>
            </w:r>
          </w:p>
        </w:tc>
        <w:tc>
          <w:tcPr>
            <w:tcW w:type="dxa" w:w="3009"/>
            <w:shd w:fill="4472C4"/>
          </w:tcPr>
          <w:p>
            <w:r>
              <w:rPr>
                <w:b/>
                <w:color w:val="FFFFFF"/>
                <w:sz w:val="18"/>
              </w:rPr>
              <w:t>GPU Machine</w:t>
            </w:r>
          </w:p>
        </w:tc>
      </w:tr>
      <w:tr>
        <w:tc>
          <w:tcPr>
            <w:tcW w:type="dxa" w:w="3009"/>
          </w:tcPr>
          <w:p>
            <w:r>
              <w:rPr>
                <w:sz w:val="18"/>
              </w:rPr>
              <w:t>Processor</w:t>
            </w:r>
          </w:p>
        </w:tc>
        <w:tc>
          <w:tcPr>
            <w:tcW w:type="dxa" w:w="3009"/>
          </w:tcPr>
          <w:p>
            <w:r>
              <w:rPr>
                <w:sz w:val="18"/>
              </w:rPr>
              <w:t>Intel Core i7 / AMD Ryzen 7</w:t>
            </w:r>
          </w:p>
        </w:tc>
        <w:tc>
          <w:tcPr>
            <w:tcW w:type="dxa" w:w="3009"/>
          </w:tcPr>
          <w:p>
            <w:r>
              <w:rPr>
                <w:sz w:val="18"/>
              </w:rPr>
              <w:t>AMD Ryzen 9</w:t>
            </w:r>
          </w:p>
        </w:tc>
      </w:tr>
      <w:tr>
        <w:tc>
          <w:tcPr>
            <w:tcW w:type="dxa" w:w="3009"/>
          </w:tcPr>
          <w:p>
            <w:r>
              <w:rPr>
                <w:sz w:val="18"/>
              </w:rPr>
              <w:t>GPU</w:t>
            </w:r>
          </w:p>
        </w:tc>
        <w:tc>
          <w:tcPr>
            <w:tcW w:type="dxa" w:w="3009"/>
          </w:tcPr>
          <w:p>
            <w:r>
              <w:rPr>
                <w:sz w:val="18"/>
              </w:rPr>
              <w:t>None (CPU-only)</w:t>
            </w:r>
          </w:p>
        </w:tc>
        <w:tc>
          <w:tcPr>
            <w:tcW w:type="dxa" w:w="3009"/>
          </w:tcPr>
          <w:p>
            <w:r>
              <w:rPr>
                <w:sz w:val="18"/>
              </w:rPr>
              <w:t>NVIDIA RTX 5070 (12 GB VRAM)</w:t>
            </w:r>
          </w:p>
        </w:tc>
      </w:tr>
      <w:tr>
        <w:tc>
          <w:tcPr>
            <w:tcW w:type="dxa" w:w="3009"/>
          </w:tcPr>
          <w:p>
            <w:r>
              <w:rPr>
                <w:sz w:val="18"/>
              </w:rPr>
              <w:t>RAM</w:t>
            </w:r>
          </w:p>
        </w:tc>
        <w:tc>
          <w:tcPr>
            <w:tcW w:type="dxa" w:w="3009"/>
          </w:tcPr>
          <w:p>
            <w:r>
              <w:rPr>
                <w:sz w:val="18"/>
              </w:rPr>
              <w:t>16 GB</w:t>
            </w:r>
          </w:p>
        </w:tc>
        <w:tc>
          <w:tcPr>
            <w:tcW w:type="dxa" w:w="3009"/>
          </w:tcPr>
          <w:p>
            <w:r>
              <w:rPr>
                <w:sz w:val="18"/>
              </w:rPr>
              <w:t>64 GB</w:t>
            </w:r>
          </w:p>
        </w:tc>
      </w:tr>
      <w:tr>
        <w:tc>
          <w:tcPr>
            <w:tcW w:type="dxa" w:w="3009"/>
          </w:tcPr>
          <w:p>
            <w:r>
              <w:rPr>
                <w:sz w:val="18"/>
              </w:rPr>
              <w:t>OS</w:t>
            </w:r>
          </w:p>
        </w:tc>
        <w:tc>
          <w:tcPr>
            <w:tcW w:type="dxa" w:w="3009"/>
          </w:tcPr>
          <w:p>
            <w:r>
              <w:rPr>
                <w:sz w:val="18"/>
              </w:rPr>
              <w:t>Windows 11</w:t>
            </w:r>
          </w:p>
        </w:tc>
        <w:tc>
          <w:tcPr>
            <w:tcW w:type="dxa" w:w="3009"/>
          </w:tcPr>
          <w:p>
            <w:r>
              <w:rPr>
                <w:sz w:val="18"/>
              </w:rPr>
              <w:t>Ubuntu 22.04 (Docker)</w:t>
            </w:r>
          </w:p>
        </w:tc>
      </w:tr>
      <w:tr>
        <w:tc>
          <w:tcPr>
            <w:tcW w:type="dxa" w:w="3009"/>
          </w:tcPr>
          <w:p>
            <w:r>
              <w:rPr>
                <w:sz w:val="18"/>
              </w:rPr>
              <w:t>PyTorch</w:t>
            </w:r>
          </w:p>
        </w:tc>
        <w:tc>
          <w:tcPr>
            <w:tcW w:type="dxa" w:w="3009"/>
          </w:tcPr>
          <w:p>
            <w:r>
              <w:rPr>
                <w:sz w:val="18"/>
              </w:rPr>
              <w:t>2.14 (CPU)</w:t>
            </w:r>
          </w:p>
        </w:tc>
        <w:tc>
          <w:tcPr>
            <w:tcW w:type="dxa" w:w="3009"/>
          </w:tcPr>
          <w:p>
            <w:r>
              <w:rPr>
                <w:sz w:val="18"/>
              </w:rPr>
              <w:t>2.11.0+cu128 (CUDA)</w:t>
            </w:r>
          </w:p>
        </w:tc>
      </w:tr>
    </w:tbl>
    <w:p/>
    <w:p>
      <w:pPr>
        <w:spacing w:after="240"/>
        <w:jc w:val="center"/>
      </w:pPr>
      <w:r>
        <w:rPr>
          <w:rFonts w:ascii="Times New Roman" w:hAnsi="Times New Roman"/>
          <w:b w:val="0"/>
          <w:i/>
          <w:sz w:val="20"/>
        </w:rPr>
        <w:t>Table 5.1: Hardware Configuration</w:t>
      </w:r>
    </w:p>
    <w:p>
      <w:pPr>
        <w:spacing w:before="280" w:after="160"/>
      </w:pPr>
      <w:r>
        <w:rPr>
          <w:rFonts w:ascii="Times New Roman" w:hAnsi="Times New Roman"/>
          <w:b/>
          <w:i w:val="0"/>
          <w:sz w:val="22"/>
        </w:rPr>
        <w:t>5.1.2 Software Stack</w:t>
      </w:r>
    </w:p>
    <w:p>
      <w:pPr>
        <w:spacing w:after="160" w:line="276" w:lineRule="auto"/>
        <w:jc w:val="both"/>
      </w:pPr>
      <w:r>
        <w:rPr>
          <w:rFonts w:ascii="Times New Roman" w:hAnsi="Times New Roman"/>
          <w:b w:val="0"/>
          <w:i w:val="0"/>
          <w:sz w:val="22"/>
        </w:rPr>
        <w:t>The framework is implemented in Python 3.12 and depends on the following core libraries: PyTorch (&gt;=2.5) for model inference and autograd, torchvision (&gt;=0.20) for pretrained ResNet-50 and image preprocessing, Captum (&gt;=0.7) for Grad-CAM computation, timm (&gt;=1.0) for pretrained ViT-B/16, Gradio (&gt;=5) for the interactive interface, Pillow for image loading, NumPy for array operations, and Matplotlib for visualization. The project is packaged using setuptools with a pyproject.toml configuration and includes 21 unit and integration tests (all passing) using pytest.</w:t>
      </w:r>
    </w:p>
    <w:p>
      <w:pPr>
        <w:spacing w:before="280" w:after="160"/>
      </w:pPr>
      <w:r>
        <w:rPr>
          <w:rFonts w:ascii="Times New Roman" w:hAnsi="Times New Roman"/>
          <w:b/>
          <w:i w:val="0"/>
          <w:sz w:val="22"/>
        </w:rPr>
        <w:t>5.1.3 Model Configurations</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shd w:fill="4472C4"/>
          </w:tcPr>
          <w:p>
            <w:r>
              <w:rPr>
                <w:b/>
                <w:color w:val="FFFFFF"/>
                <w:sz w:val="18"/>
              </w:rPr>
              <w:t>Parameter</w:t>
            </w:r>
          </w:p>
        </w:tc>
        <w:tc>
          <w:tcPr>
            <w:tcW w:type="dxa" w:w="3009"/>
            <w:shd w:fill="4472C4"/>
          </w:tcPr>
          <w:p>
            <w:r>
              <w:rPr>
                <w:b/>
                <w:color w:val="FFFFFF"/>
                <w:sz w:val="18"/>
              </w:rPr>
              <w:t>ResNet-50</w:t>
            </w:r>
          </w:p>
        </w:tc>
        <w:tc>
          <w:tcPr>
            <w:tcW w:type="dxa" w:w="3009"/>
            <w:shd w:fill="4472C4"/>
          </w:tcPr>
          <w:p>
            <w:r>
              <w:rPr>
                <w:b/>
                <w:color w:val="FFFFFF"/>
                <w:sz w:val="18"/>
              </w:rPr>
              <w:t>ViT-B/16</w:t>
            </w:r>
          </w:p>
        </w:tc>
      </w:tr>
      <w:tr>
        <w:tc>
          <w:tcPr>
            <w:tcW w:type="dxa" w:w="3009"/>
          </w:tcPr>
          <w:p>
            <w:r>
              <w:rPr>
                <w:sz w:val="18"/>
              </w:rPr>
              <w:t>Source</w:t>
            </w:r>
          </w:p>
        </w:tc>
        <w:tc>
          <w:tcPr>
            <w:tcW w:type="dxa" w:w="3009"/>
          </w:tcPr>
          <w:p>
            <w:r>
              <w:rPr>
                <w:sz w:val="18"/>
              </w:rPr>
              <w:t>torchvision (IMAGENET1K_V2)</w:t>
            </w:r>
          </w:p>
        </w:tc>
        <w:tc>
          <w:tcPr>
            <w:tcW w:type="dxa" w:w="3009"/>
          </w:tcPr>
          <w:p>
            <w:r>
              <w:rPr>
                <w:sz w:val="18"/>
              </w:rPr>
              <w:t>timm (pretrained)</w:t>
            </w:r>
          </w:p>
        </w:tc>
      </w:tr>
      <w:tr>
        <w:tc>
          <w:tcPr>
            <w:tcW w:type="dxa" w:w="3009"/>
          </w:tcPr>
          <w:p>
            <w:r>
              <w:rPr>
                <w:sz w:val="18"/>
              </w:rPr>
              <w:t>Parameters</w:t>
            </w:r>
          </w:p>
        </w:tc>
        <w:tc>
          <w:tcPr>
            <w:tcW w:type="dxa" w:w="3009"/>
          </w:tcPr>
          <w:p>
            <w:r>
              <w:rPr>
                <w:sz w:val="18"/>
              </w:rPr>
              <w:t>25.6M</w:t>
            </w:r>
          </w:p>
        </w:tc>
        <w:tc>
          <w:tcPr>
            <w:tcW w:type="dxa" w:w="3009"/>
          </w:tcPr>
          <w:p>
            <w:r>
              <w:rPr>
                <w:sz w:val="18"/>
              </w:rPr>
              <w:t>86.6M</w:t>
            </w:r>
          </w:p>
        </w:tc>
      </w:tr>
      <w:tr>
        <w:tc>
          <w:tcPr>
            <w:tcW w:type="dxa" w:w="3009"/>
          </w:tcPr>
          <w:p>
            <w:r>
              <w:rPr>
                <w:sz w:val="18"/>
              </w:rPr>
              <w:t>Input Size</w:t>
            </w:r>
          </w:p>
        </w:tc>
        <w:tc>
          <w:tcPr>
            <w:tcW w:type="dxa" w:w="3009"/>
          </w:tcPr>
          <w:p>
            <w:r>
              <w:rPr>
                <w:sz w:val="18"/>
              </w:rPr>
              <w:t>224 x 224</w:t>
            </w:r>
          </w:p>
        </w:tc>
        <w:tc>
          <w:tcPr>
            <w:tcW w:type="dxa" w:w="3009"/>
          </w:tcPr>
          <w:p>
            <w:r>
              <w:rPr>
                <w:sz w:val="18"/>
              </w:rPr>
              <w:t>224 x 224</w:t>
            </w:r>
          </w:p>
        </w:tc>
      </w:tr>
      <w:tr>
        <w:tc>
          <w:tcPr>
            <w:tcW w:type="dxa" w:w="3009"/>
          </w:tcPr>
          <w:p>
            <w:r>
              <w:rPr>
                <w:sz w:val="18"/>
              </w:rPr>
              <w:t>Top-1 Accuracy (IN-1K)</w:t>
            </w:r>
          </w:p>
        </w:tc>
        <w:tc>
          <w:tcPr>
            <w:tcW w:type="dxa" w:w="3009"/>
          </w:tcPr>
          <w:p>
            <w:r>
              <w:rPr>
                <w:sz w:val="18"/>
              </w:rPr>
              <w:t>80.8%</w:t>
            </w:r>
          </w:p>
        </w:tc>
        <w:tc>
          <w:tcPr>
            <w:tcW w:type="dxa" w:w="3009"/>
          </w:tcPr>
          <w:p>
            <w:r>
              <w:rPr>
                <w:sz w:val="18"/>
              </w:rPr>
              <w:t>81.0%</w:t>
            </w:r>
          </w:p>
        </w:tc>
      </w:tr>
      <w:tr>
        <w:tc>
          <w:tcPr>
            <w:tcW w:type="dxa" w:w="3009"/>
          </w:tcPr>
          <w:p>
            <w:r>
              <w:rPr>
                <w:sz w:val="18"/>
              </w:rPr>
              <w:t>Layers Extracted</w:t>
            </w:r>
          </w:p>
        </w:tc>
        <w:tc>
          <w:tcPr>
            <w:tcW w:type="dxa" w:w="3009"/>
          </w:tcPr>
          <w:p>
            <w:r>
              <w:rPr>
                <w:sz w:val="18"/>
              </w:rPr>
              <w:t>4 blocks (layer1-4)</w:t>
            </w:r>
          </w:p>
        </w:tc>
        <w:tc>
          <w:tcPr>
            <w:tcW w:type="dxa" w:w="3009"/>
          </w:tcPr>
          <w:p>
            <w:r>
              <w:rPr>
                <w:sz w:val="18"/>
              </w:rPr>
              <w:t>12 blocks (blocks.0-11)</w:t>
            </w:r>
          </w:p>
        </w:tc>
      </w:tr>
      <w:tr>
        <w:tc>
          <w:tcPr>
            <w:tcW w:type="dxa" w:w="3009"/>
          </w:tcPr>
          <w:p>
            <w:r>
              <w:rPr>
                <w:sz w:val="18"/>
              </w:rPr>
              <w:t>Native Method</w:t>
            </w:r>
          </w:p>
        </w:tc>
        <w:tc>
          <w:tcPr>
            <w:tcW w:type="dxa" w:w="3009"/>
          </w:tcPr>
          <w:p>
            <w:r>
              <w:rPr>
                <w:sz w:val="18"/>
              </w:rPr>
              <w:t>Mean-channel activation</w:t>
            </w:r>
          </w:p>
        </w:tc>
        <w:tc>
          <w:tcPr>
            <w:tcW w:type="dxa" w:w="3009"/>
          </w:tcPr>
          <w:p>
            <w:r>
              <w:rPr>
                <w:sz w:val="18"/>
              </w:rPr>
              <w:t>Attention rollout</w:t>
            </w:r>
          </w:p>
        </w:tc>
      </w:tr>
      <w:tr>
        <w:tc>
          <w:tcPr>
            <w:tcW w:type="dxa" w:w="3009"/>
          </w:tcPr>
          <w:p>
            <w:r>
              <w:rPr>
                <w:sz w:val="18"/>
              </w:rPr>
              <w:t>Class-Cond Method</w:t>
            </w:r>
          </w:p>
        </w:tc>
        <w:tc>
          <w:tcPr>
            <w:tcW w:type="dxa" w:w="3009"/>
          </w:tcPr>
          <w:p>
            <w:r>
              <w:rPr>
                <w:sz w:val="18"/>
              </w:rPr>
              <w:t>Grad-CAM (Captum)</w:t>
            </w:r>
          </w:p>
        </w:tc>
        <w:tc>
          <w:tcPr>
            <w:tcW w:type="dxa" w:w="3009"/>
          </w:tcPr>
          <w:p>
            <w:r>
              <w:rPr>
                <w:sz w:val="18"/>
              </w:rPr>
              <w:t>Gradient-weighted attention (AxG)</w:t>
            </w:r>
          </w:p>
        </w:tc>
      </w:tr>
      <w:tr>
        <w:tc>
          <w:tcPr>
            <w:tcW w:type="dxa" w:w="3009"/>
          </w:tcPr>
          <w:p>
            <w:r>
              <w:rPr>
                <w:sz w:val="18"/>
              </w:rPr>
              <w:t>Total Maps per Image</w:t>
            </w:r>
          </w:p>
        </w:tc>
        <w:tc>
          <w:tcPr>
            <w:tcW w:type="dxa" w:w="3009"/>
          </w:tcPr>
          <w:p>
            <w:r>
              <w:rPr>
                <w:sz w:val="18"/>
              </w:rPr>
              <w:t>8</w:t>
            </w:r>
          </w:p>
        </w:tc>
        <w:tc>
          <w:tcPr>
            <w:tcW w:type="dxa" w:w="3009"/>
          </w:tcPr>
          <w:p>
            <w:r>
              <w:rPr>
                <w:sz w:val="18"/>
              </w:rPr>
              <w:t>25</w:t>
            </w:r>
          </w:p>
        </w:tc>
      </w:tr>
    </w:tbl>
    <w:p/>
    <w:p>
      <w:pPr>
        <w:spacing w:after="240"/>
        <w:jc w:val="center"/>
      </w:pPr>
      <w:r>
        <w:rPr>
          <w:rFonts w:ascii="Times New Roman" w:hAnsi="Times New Roman"/>
          <w:b w:val="0"/>
          <w:i/>
          <w:sz w:val="20"/>
        </w:rPr>
        <w:t>Table 5.2: Model Configurations</w:t>
      </w:r>
    </w:p>
    <w:p>
      <w:pPr>
        <w:spacing w:before="280" w:after="160"/>
      </w:pPr>
      <w:r>
        <w:rPr>
          <w:rFonts w:ascii="Times New Roman" w:hAnsi="Times New Roman"/>
          <w:b/>
          <w:i w:val="0"/>
          <w:sz w:val="22"/>
        </w:rPr>
        <w:t>5.1.4 Training Hyperparameters (Planted-Bias Experiment)</w:t>
      </w:r>
    </w:p>
    <w:tbl>
      <w:tblPr>
        <w:tblStyle w:val="LightGrid-Accent1"/>
        <w:tblW w:type="auto" w:w="0"/>
        <w:jc w:val="center"/>
        <w:tblLook w:firstColumn="1" w:firstRow="1" w:lastColumn="0" w:lastRow="0" w:noHBand="0" w:noVBand="1" w:val="04A0"/>
      </w:tblPr>
      <w:tblGrid>
        <w:gridCol w:w="4513"/>
        <w:gridCol w:w="4513"/>
      </w:tblGrid>
      <w:tr>
        <w:tc>
          <w:tcPr>
            <w:tcW w:type="dxa" w:w="4513"/>
            <w:shd w:fill="4472C4"/>
          </w:tcPr>
          <w:p>
            <w:r>
              <w:rPr>
                <w:b/>
                <w:color w:val="FFFFFF"/>
                <w:sz w:val="18"/>
              </w:rPr>
              <w:t>Hyperparameter</w:t>
            </w:r>
          </w:p>
        </w:tc>
        <w:tc>
          <w:tcPr>
            <w:tcW w:type="dxa" w:w="4513"/>
            <w:shd w:fill="4472C4"/>
          </w:tcPr>
          <w:p>
            <w:r>
              <w:rPr>
                <w:b/>
                <w:color w:val="FFFFFF"/>
                <w:sz w:val="18"/>
              </w:rPr>
              <w:t>Value</w:t>
            </w:r>
          </w:p>
        </w:tc>
      </w:tr>
      <w:tr>
        <w:tc>
          <w:tcPr>
            <w:tcW w:type="dxa" w:w="4513"/>
          </w:tcPr>
          <w:p>
            <w:r>
              <w:rPr>
                <w:sz w:val="18"/>
              </w:rPr>
              <w:t>Optimizer</w:t>
            </w:r>
          </w:p>
        </w:tc>
        <w:tc>
          <w:tcPr>
            <w:tcW w:type="dxa" w:w="4513"/>
          </w:tcPr>
          <w:p>
            <w:r>
              <w:rPr>
                <w:sz w:val="18"/>
              </w:rPr>
              <w:t>Adam</w:t>
            </w:r>
          </w:p>
        </w:tc>
      </w:tr>
      <w:tr>
        <w:tc>
          <w:tcPr>
            <w:tcW w:type="dxa" w:w="4513"/>
          </w:tcPr>
          <w:p>
            <w:r>
              <w:rPr>
                <w:sz w:val="18"/>
              </w:rPr>
              <w:t>Learning Rate</w:t>
            </w:r>
          </w:p>
        </w:tc>
        <w:tc>
          <w:tcPr>
            <w:tcW w:type="dxa" w:w="4513"/>
          </w:tcPr>
          <w:p>
            <w:r>
              <w:rPr>
                <w:sz w:val="18"/>
              </w:rPr>
              <w:t>1e-3</w:t>
            </w:r>
          </w:p>
        </w:tc>
      </w:tr>
      <w:tr>
        <w:tc>
          <w:tcPr>
            <w:tcW w:type="dxa" w:w="4513"/>
          </w:tcPr>
          <w:p>
            <w:r>
              <w:rPr>
                <w:sz w:val="18"/>
              </w:rPr>
              <w:t>Loss Function</w:t>
            </w:r>
          </w:p>
        </w:tc>
        <w:tc>
          <w:tcPr>
            <w:tcW w:type="dxa" w:w="4513"/>
          </w:tcPr>
          <w:p>
            <w:r>
              <w:rPr>
                <w:sz w:val="18"/>
              </w:rPr>
              <w:t>Cross-Entropy Loss</w:t>
            </w:r>
          </w:p>
        </w:tc>
      </w:tr>
      <w:tr>
        <w:tc>
          <w:tcPr>
            <w:tcW w:type="dxa" w:w="4513"/>
          </w:tcPr>
          <w:p>
            <w:r>
              <w:rPr>
                <w:sz w:val="18"/>
              </w:rPr>
              <w:t>Batch Size</w:t>
            </w:r>
          </w:p>
        </w:tc>
        <w:tc>
          <w:tcPr>
            <w:tcW w:type="dxa" w:w="4513"/>
          </w:tcPr>
          <w:p>
            <w:r>
              <w:rPr>
                <w:sz w:val="18"/>
              </w:rPr>
              <w:t>16 (CPU) / 32 (GPU)</w:t>
            </w:r>
          </w:p>
        </w:tc>
      </w:tr>
      <w:tr>
        <w:tc>
          <w:tcPr>
            <w:tcW w:type="dxa" w:w="4513"/>
          </w:tcPr>
          <w:p>
            <w:r>
              <w:rPr>
                <w:sz w:val="18"/>
              </w:rPr>
              <w:t>Epochs</w:t>
            </w:r>
          </w:p>
        </w:tc>
        <w:tc>
          <w:tcPr>
            <w:tcW w:type="dxa" w:w="4513"/>
          </w:tcPr>
          <w:p>
            <w:r>
              <w:rPr>
                <w:sz w:val="18"/>
              </w:rPr>
              <w:t>2 (CPU smoke) / 12 (GPU full)</w:t>
            </w:r>
          </w:p>
        </w:tc>
      </w:tr>
      <w:tr>
        <w:tc>
          <w:tcPr>
            <w:tcW w:type="dxa" w:w="4513"/>
          </w:tcPr>
          <w:p>
            <w:r>
              <w:rPr>
                <w:sz w:val="18"/>
              </w:rPr>
              <w:t>Number of Classes</w:t>
            </w:r>
          </w:p>
        </w:tc>
        <w:tc>
          <w:tcPr>
            <w:tcW w:type="dxa" w:w="4513"/>
          </w:tcPr>
          <w:p>
            <w:r>
              <w:rPr>
                <w:sz w:val="18"/>
              </w:rPr>
              <w:t>2 (CPU) / 4 (GPU)</w:t>
            </w:r>
          </w:p>
        </w:tc>
      </w:tr>
      <w:tr>
        <w:tc>
          <w:tcPr>
            <w:tcW w:type="dxa" w:w="4513"/>
          </w:tcPr>
          <w:p>
            <w:r>
              <w:rPr>
                <w:sz w:val="18"/>
              </w:rPr>
              <w:t>Images per Class</w:t>
            </w:r>
          </w:p>
        </w:tc>
        <w:tc>
          <w:tcPr>
            <w:tcW w:type="dxa" w:w="4513"/>
          </w:tcPr>
          <w:p>
            <w:r>
              <w:rPr>
                <w:sz w:val="18"/>
              </w:rPr>
              <w:t>60 (CPU) / 80 (GPU)</w:t>
            </w:r>
          </w:p>
        </w:tc>
      </w:tr>
      <w:tr>
        <w:tc>
          <w:tcPr>
            <w:tcW w:type="dxa" w:w="4513"/>
          </w:tcPr>
          <w:p>
            <w:r>
              <w:rPr>
                <w:sz w:val="18"/>
              </w:rPr>
              <w:t>Total Training Images</w:t>
            </w:r>
          </w:p>
        </w:tc>
        <w:tc>
          <w:tcPr>
            <w:tcW w:type="dxa" w:w="4513"/>
          </w:tcPr>
          <w:p>
            <w:r>
              <w:rPr>
                <w:sz w:val="18"/>
              </w:rPr>
              <w:t>120 (CPU) / 320 (GPU)</w:t>
            </w:r>
          </w:p>
        </w:tc>
      </w:tr>
      <w:tr>
        <w:tc>
          <w:tcPr>
            <w:tcW w:type="dxa" w:w="4513"/>
          </w:tcPr>
          <w:p>
            <w:r>
              <w:rPr>
                <w:sz w:val="18"/>
              </w:rPr>
              <w:t>Background Correlation</w:t>
            </w:r>
          </w:p>
        </w:tc>
        <w:tc>
          <w:tcPr>
            <w:tcW w:type="dxa" w:w="4513"/>
          </w:tcPr>
          <w:p>
            <w:r>
              <w:rPr>
                <w:sz w:val="18"/>
              </w:rPr>
              <w:t>95%</w:t>
            </w:r>
          </w:p>
        </w:tc>
      </w:tr>
      <w:tr>
        <w:tc>
          <w:tcPr>
            <w:tcW w:type="dxa" w:w="4513"/>
          </w:tcPr>
          <w:p>
            <w:r>
              <w:rPr>
                <w:sz w:val="18"/>
              </w:rPr>
              <w:t>Random Seed</w:t>
            </w:r>
          </w:p>
        </w:tc>
        <w:tc>
          <w:tcPr>
            <w:tcW w:type="dxa" w:w="4513"/>
          </w:tcPr>
          <w:p>
            <w:r>
              <w:rPr>
                <w:sz w:val="18"/>
              </w:rPr>
              <w:t>11</w:t>
            </w:r>
          </w:p>
        </w:tc>
      </w:tr>
    </w:tbl>
    <w:p/>
    <w:p>
      <w:pPr>
        <w:spacing w:after="240"/>
        <w:jc w:val="center"/>
      </w:pPr>
      <w:r>
        <w:rPr>
          <w:rFonts w:ascii="Times New Roman" w:hAnsi="Times New Roman"/>
          <w:b w:val="0"/>
          <w:i/>
          <w:sz w:val="20"/>
        </w:rPr>
        <w:t>Table 5.3: Training Hyperparameters</w:t>
      </w:r>
    </w:p>
    <w:p>
      <w:pPr>
        <w:spacing w:before="360" w:after="200"/>
      </w:pPr>
      <w:r>
        <w:rPr>
          <w:rFonts w:ascii="Times New Roman" w:hAnsi="Times New Roman"/>
          <w:b/>
          <w:i w:val="0"/>
          <w:sz w:val="24"/>
        </w:rPr>
        <w:t>5.2 Dual-View Visualization Results</w:t>
      </w:r>
    </w:p>
    <w:p>
      <w:pPr>
        <w:spacing w:after="160" w:line="276" w:lineRule="auto"/>
        <w:jc w:val="both"/>
      </w:pPr>
      <w:r>
        <w:rPr>
          <w:rFonts w:ascii="Times New Roman" w:hAnsi="Times New Roman"/>
          <w:b w:val="0"/>
          <w:i w:val="0"/>
          <w:sz w:val="22"/>
        </w:rPr>
        <w:t>The dual-view extraction was validated on a sample ImageNet image (Samoyed dog, experiments/sample.jpg) using both ResNet-50 and ViT-B/16. The ResNet extractor produced 8 LayerMap objects (4 native + 4 class-conditioned), while the ViT extractor produced 25 LayerMap objects (13 native + 12 class-conditioned). Both extractors correctly predicted the class as 'Samoyed' (class_258 in ImageNet).</w:t>
      </w:r>
    </w:p>
    <w:p>
      <w:pPr>
        <w:spacing w:after="160" w:line="276" w:lineRule="auto"/>
        <w:jc w:val="both"/>
      </w:pPr>
      <w:r>
        <w:rPr>
          <w:rFonts w:ascii="Times New Roman" w:hAnsi="Times New Roman"/>
          <w:b w:val="0"/>
          <w:i w:val="0"/>
          <w:sz w:val="22"/>
        </w:rPr>
        <w:t>Visual inspection of the dual-view maps reveals several important patterns. For ResNet-50, the native activation maps show broadly distributed attention across the image with increasing localization from layer1 to layer4. The class-conditioned Grad-CAM maps show increasingly focused attention on the dog's face and body, with layer4 showing the sharpest focus on the discriminative region. For ViT-B/16, the native attention rollout maps show a progressive sharpening of attention from the early blocks (broad, distributed) to the later blocks (focused on the dog). The class-conditioned AxG maps show similar patterns but with stronger emphasis on the dog's face and head.</w:t>
      </w:r>
    </w:p>
    <w:p>
      <w:pPr>
        <w:spacing w:before="240" w:after="240"/>
        <w:jc w:val="center"/>
      </w:pPr>
      <w:r>
        <w:rPr>
          <w:rFonts w:ascii="Times New Roman" w:hAnsi="Times New Roman"/>
          <w:b w:val="0"/>
          <w:i/>
          <w:color w:val="787878"/>
          <w:sz w:val="20"/>
        </w:rPr>
        <w:br/>
        <w:t>────────────────────────────────────────────────────────────</w:t>
        <w:br/>
        <w:br/>
        <w:t>[ PLACEHOLDER: DUAL-VIEW VISUALIZATION - ResNet-50 dual-view attention maps (8 maps: 4 native + 4 Grad-CAM) for Samoyed image ]</w:t>
        <w:br/>
        <w:br/>
        <w:t>────────────────────────────────────────────────────────────</w:t>
        <w:br/>
      </w:r>
    </w:p>
    <w:p>
      <w:pPr>
        <w:spacing w:before="240" w:after="240"/>
        <w:jc w:val="center"/>
      </w:pPr>
      <w:r>
        <w:rPr>
          <w:rFonts w:ascii="Times New Roman" w:hAnsi="Times New Roman"/>
          <w:b w:val="0"/>
          <w:i/>
          <w:color w:val="787878"/>
          <w:sz w:val="20"/>
        </w:rPr>
        <w:br/>
        <w:t>────────────────────────────────────────────────────────────</w:t>
        <w:br/>
        <w:br/>
        <w:t>[ PLACEHOLDER: DUAL-VIEW VISUALIZATION - ViT-B/16 dual-view attention maps (25 maps: 13 rollout + 12 AxG) for Samoyed image ]</w:t>
        <w:br/>
        <w:br/>
        <w:t>────────────────────────────────────────────────────────────</w:t>
        <w:br/>
      </w:r>
    </w:p>
    <w:p>
      <w:pPr>
        <w:spacing w:before="240" w:after="240"/>
        <w:jc w:val="center"/>
      </w:pPr>
      <w:r>
        <w:rPr>
          <w:rFonts w:ascii="Times New Roman" w:hAnsi="Times New Roman"/>
          <w:b w:val="0"/>
          <w:i/>
          <w:color w:val="787878"/>
          <w:sz w:val="20"/>
        </w:rPr>
        <w:br/>
        <w:t>────────────────────────────────────────────────────────────</w:t>
        <w:br/>
        <w:br/>
        <w:t>[ PLACEHOLDER: COMPARISON MONTAGE - Side-by-side comparison of ResNet-50 and ViT-B/16 attention patterns on the same image ]</w:t>
        <w:br/>
        <w:br/>
        <w:t>────────────────────────────────────────────────────────────</w:t>
        <w:br/>
      </w:r>
    </w:p>
    <w:p>
      <w:pPr>
        <w:spacing w:after="160" w:line="276" w:lineRule="auto"/>
        <w:jc w:val="both"/>
      </w:pPr>
      <w:r>
        <w:rPr>
          <w:rFonts w:ascii="Times New Roman" w:hAnsi="Times New Roman"/>
          <w:b w:val="0"/>
          <w:i w:val="0"/>
          <w:sz w:val="22"/>
        </w:rPr>
        <w:t>The value distributions (histograms of map pixel values) show that native maps tend to have higher mean values and higher entropy compared to class-conditioned maps. This is expected: native maps are class-agnostic and broad by nature, while class-conditioned maps are sharpened by the gradient weighting to focus on regions that contribute to the specific class prediction. The spatial concentration curves (sorted cumulative energy) confirm that class-conditioned maps concentrate more energy in fewer pixels than native maps.</w:t>
      </w:r>
    </w:p>
    <w:p>
      <w:pPr>
        <w:spacing w:before="240" w:after="240"/>
        <w:jc w:val="center"/>
      </w:pPr>
      <w:r>
        <w:rPr>
          <w:rFonts w:ascii="Times New Roman" w:hAnsi="Times New Roman"/>
          <w:b w:val="0"/>
          <w:i/>
          <w:color w:val="787878"/>
          <w:sz w:val="20"/>
        </w:rPr>
        <w:br/>
        <w:t>────────────────────────────────────────────────────────────</w:t>
        <w:br/>
        <w:br/>
        <w:t>[ PLACEHOLDER: ANALYSIS PLOT - Map value distribution histograms (native vs class-conditioned) per layer ]</w:t>
        <w:br/>
        <w:br/>
        <w:t>────────────────────────────────────────────────────────────</w:t>
        <w:br/>
      </w:r>
    </w:p>
    <w:p>
      <w:pPr>
        <w:spacing w:before="240" w:after="240"/>
        <w:jc w:val="center"/>
      </w:pPr>
      <w:r>
        <w:rPr>
          <w:rFonts w:ascii="Times New Roman" w:hAnsi="Times New Roman"/>
          <w:b w:val="0"/>
          <w:i/>
          <w:color w:val="787878"/>
          <w:sz w:val="20"/>
        </w:rPr>
        <w:br/>
        <w:t>────────────────────────────────────────────────────────────</w:t>
        <w:br/>
        <w:br/>
        <w:t>[ PLACEHOLDER: ANALYSIS PLOT - Spatial concentration curves (sorted cumulative energy) for both views ]</w:t>
        <w:br/>
        <w:br/>
        <w:t>────────────────────────────────────────────────────────────</w:t>
        <w:br/>
      </w:r>
    </w:p>
    <w:p>
      <w:pPr>
        <w:spacing w:before="360" w:after="200"/>
      </w:pPr>
      <w:r>
        <w:rPr>
          <w:rFonts w:ascii="Times New Roman" w:hAnsi="Times New Roman"/>
          <w:b/>
          <w:i w:val="0"/>
          <w:sz w:val="24"/>
        </w:rPr>
        <w:t>5.3 Quantitative Metrics Analysis</w:t>
      </w:r>
    </w:p>
    <w:p>
      <w:pPr>
        <w:spacing w:after="160" w:line="276" w:lineRule="auto"/>
        <w:jc w:val="both"/>
      </w:pPr>
      <w:r>
        <w:rPr>
          <w:rFonts w:ascii="Times New Roman" w:hAnsi="Times New Roman"/>
          <w:b w:val="0"/>
          <w:i w:val="0"/>
          <w:sz w:val="22"/>
        </w:rPr>
        <w:t>Table 5.4 presents the per-layer metrics computed for the ResNet-50 dual-view maps on the Samoyed sample image. The metrics demonstrate clear differentiation between native and class-conditioned views and between early and late layers.</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shd w:fill="4472C4"/>
          </w:tcPr>
          <w:p>
            <w:r>
              <w:rPr>
                <w:b/>
                <w:color w:val="FFFFFF"/>
                <w:sz w:val="18"/>
              </w:rPr>
              <w:t>Layer</w:t>
            </w:r>
          </w:p>
        </w:tc>
        <w:tc>
          <w:tcPr>
            <w:tcW w:type="dxa" w:w="1805"/>
            <w:shd w:fill="4472C4"/>
          </w:tcPr>
          <w:p>
            <w:r>
              <w:rPr>
                <w:b/>
                <w:color w:val="FFFFFF"/>
                <w:sz w:val="18"/>
              </w:rPr>
              <w:t>View</w:t>
            </w:r>
          </w:p>
        </w:tc>
        <w:tc>
          <w:tcPr>
            <w:tcW w:type="dxa" w:w="1805"/>
            <w:shd w:fill="4472C4"/>
          </w:tcPr>
          <w:p>
            <w:r>
              <w:rPr>
                <w:b/>
                <w:color w:val="FFFFFF"/>
                <w:sz w:val="18"/>
              </w:rPr>
              <w:t>Entropy (bits)</w:t>
            </w:r>
          </w:p>
        </w:tc>
        <w:tc>
          <w:tcPr>
            <w:tcW w:type="dxa" w:w="1805"/>
            <w:shd w:fill="4472C4"/>
          </w:tcPr>
          <w:p>
            <w:r>
              <w:rPr>
                <w:b/>
                <w:color w:val="FFFFFF"/>
                <w:sz w:val="18"/>
              </w:rPr>
              <w:t>Top-10% Mass</w:t>
            </w:r>
          </w:p>
        </w:tc>
        <w:tc>
          <w:tcPr>
            <w:tcW w:type="dxa" w:w="1805"/>
            <w:shd w:fill="4472C4"/>
          </w:tcPr>
          <w:p>
            <w:r>
              <w:rPr>
                <w:b/>
                <w:color w:val="FFFFFF"/>
                <w:sz w:val="18"/>
              </w:rPr>
              <w:t>Peak (y,x)</w:t>
            </w:r>
          </w:p>
        </w:tc>
      </w:tr>
      <w:tr>
        <w:tc>
          <w:tcPr>
            <w:tcW w:type="dxa" w:w="1805"/>
          </w:tcPr>
          <w:p>
            <w:r>
              <w:rPr>
                <w:sz w:val="18"/>
              </w:rPr>
              <w:t>layer1.2.conv3</w:t>
            </w:r>
          </w:p>
        </w:tc>
        <w:tc>
          <w:tcPr>
            <w:tcW w:type="dxa" w:w="1805"/>
          </w:tcPr>
          <w:p>
            <w:r>
              <w:rPr>
                <w:sz w:val="18"/>
              </w:rPr>
              <w:t>native</w:t>
            </w:r>
          </w:p>
        </w:tc>
        <w:tc>
          <w:tcPr>
            <w:tcW w:type="dxa" w:w="1805"/>
          </w:tcPr>
          <w:p>
            <w:r>
              <w:rPr>
                <w:sz w:val="18"/>
              </w:rPr>
              <w:t>15.52</w:t>
            </w:r>
          </w:p>
        </w:tc>
        <w:tc>
          <w:tcPr>
            <w:tcW w:type="dxa" w:w="1805"/>
          </w:tcPr>
          <w:p>
            <w:r>
              <w:rPr>
                <w:sz w:val="18"/>
              </w:rPr>
              <w:t>0.12</w:t>
            </w:r>
          </w:p>
        </w:tc>
        <w:tc>
          <w:tcPr>
            <w:tcW w:type="dxa" w:w="1805"/>
          </w:tcPr>
          <w:p>
            <w:r>
              <w:rPr>
                <w:sz w:val="18"/>
              </w:rPr>
              <w:t>(112, 112)</w:t>
            </w:r>
          </w:p>
        </w:tc>
      </w:tr>
      <w:tr>
        <w:tc>
          <w:tcPr>
            <w:tcW w:type="dxa" w:w="1805"/>
          </w:tcPr>
          <w:p>
            <w:r>
              <w:rPr>
                <w:sz w:val="18"/>
              </w:rPr>
              <w:t>layer1.2.conv3</w:t>
            </w:r>
          </w:p>
        </w:tc>
        <w:tc>
          <w:tcPr>
            <w:tcW w:type="dxa" w:w="1805"/>
          </w:tcPr>
          <w:p>
            <w:r>
              <w:rPr>
                <w:sz w:val="18"/>
              </w:rPr>
              <w:t>class_cond</w:t>
            </w:r>
          </w:p>
        </w:tc>
        <w:tc>
          <w:tcPr>
            <w:tcW w:type="dxa" w:w="1805"/>
          </w:tcPr>
          <w:p>
            <w:r>
              <w:rPr>
                <w:sz w:val="18"/>
              </w:rPr>
              <w:t>14.87</w:t>
            </w:r>
          </w:p>
        </w:tc>
        <w:tc>
          <w:tcPr>
            <w:tcW w:type="dxa" w:w="1805"/>
          </w:tcPr>
          <w:p>
            <w:r>
              <w:rPr>
                <w:sz w:val="18"/>
              </w:rPr>
              <w:t>0.18</w:t>
            </w:r>
          </w:p>
        </w:tc>
        <w:tc>
          <w:tcPr>
            <w:tcW w:type="dxa" w:w="1805"/>
          </w:tcPr>
          <w:p>
            <w:r>
              <w:rPr>
                <w:sz w:val="18"/>
              </w:rPr>
              <w:t>(108, 115)</w:t>
            </w:r>
          </w:p>
        </w:tc>
      </w:tr>
      <w:tr>
        <w:tc>
          <w:tcPr>
            <w:tcW w:type="dxa" w:w="1805"/>
          </w:tcPr>
          <w:p>
            <w:r>
              <w:rPr>
                <w:sz w:val="18"/>
              </w:rPr>
              <w:t>layer2.3.conv3</w:t>
            </w:r>
          </w:p>
        </w:tc>
        <w:tc>
          <w:tcPr>
            <w:tcW w:type="dxa" w:w="1805"/>
          </w:tcPr>
          <w:p>
            <w:r>
              <w:rPr>
                <w:sz w:val="18"/>
              </w:rPr>
              <w:t>native</w:t>
            </w:r>
          </w:p>
        </w:tc>
        <w:tc>
          <w:tcPr>
            <w:tcW w:type="dxa" w:w="1805"/>
          </w:tcPr>
          <w:p>
            <w:r>
              <w:rPr>
                <w:sz w:val="18"/>
              </w:rPr>
              <w:t>15.54</w:t>
            </w:r>
          </w:p>
        </w:tc>
        <w:tc>
          <w:tcPr>
            <w:tcW w:type="dxa" w:w="1805"/>
          </w:tcPr>
          <w:p>
            <w:r>
              <w:rPr>
                <w:sz w:val="18"/>
              </w:rPr>
              <w:t>0.11</w:t>
            </w:r>
          </w:p>
        </w:tc>
        <w:tc>
          <w:tcPr>
            <w:tcW w:type="dxa" w:w="1805"/>
          </w:tcPr>
          <w:p>
            <w:r>
              <w:rPr>
                <w:sz w:val="18"/>
              </w:rPr>
              <w:t>(110, 108)</w:t>
            </w:r>
          </w:p>
        </w:tc>
      </w:tr>
      <w:tr>
        <w:tc>
          <w:tcPr>
            <w:tcW w:type="dxa" w:w="1805"/>
          </w:tcPr>
          <w:p>
            <w:r>
              <w:rPr>
                <w:sz w:val="18"/>
              </w:rPr>
              <w:t>layer2.3.conv3</w:t>
            </w:r>
          </w:p>
        </w:tc>
        <w:tc>
          <w:tcPr>
            <w:tcW w:type="dxa" w:w="1805"/>
          </w:tcPr>
          <w:p>
            <w:r>
              <w:rPr>
                <w:sz w:val="18"/>
              </w:rPr>
              <w:t>class_cond</w:t>
            </w:r>
          </w:p>
        </w:tc>
        <w:tc>
          <w:tcPr>
            <w:tcW w:type="dxa" w:w="1805"/>
          </w:tcPr>
          <w:p>
            <w:r>
              <w:rPr>
                <w:sz w:val="18"/>
              </w:rPr>
              <w:t>13.21</w:t>
            </w:r>
          </w:p>
        </w:tc>
        <w:tc>
          <w:tcPr>
            <w:tcW w:type="dxa" w:w="1805"/>
          </w:tcPr>
          <w:p>
            <w:r>
              <w:rPr>
                <w:sz w:val="18"/>
              </w:rPr>
              <w:t>0.28</w:t>
            </w:r>
          </w:p>
        </w:tc>
        <w:tc>
          <w:tcPr>
            <w:tcW w:type="dxa" w:w="1805"/>
          </w:tcPr>
          <w:p>
            <w:r>
              <w:rPr>
                <w:sz w:val="18"/>
              </w:rPr>
              <w:t>(95, 112)</w:t>
            </w:r>
          </w:p>
        </w:tc>
      </w:tr>
      <w:tr>
        <w:tc>
          <w:tcPr>
            <w:tcW w:type="dxa" w:w="1805"/>
          </w:tcPr>
          <w:p>
            <w:r>
              <w:rPr>
                <w:sz w:val="18"/>
              </w:rPr>
              <w:t>layer3.5.conv3</w:t>
            </w:r>
          </w:p>
        </w:tc>
        <w:tc>
          <w:tcPr>
            <w:tcW w:type="dxa" w:w="1805"/>
          </w:tcPr>
          <w:p>
            <w:r>
              <w:rPr>
                <w:sz w:val="18"/>
              </w:rPr>
              <w:t>native</w:t>
            </w:r>
          </w:p>
        </w:tc>
        <w:tc>
          <w:tcPr>
            <w:tcW w:type="dxa" w:w="1805"/>
          </w:tcPr>
          <w:p>
            <w:r>
              <w:rPr>
                <w:sz w:val="18"/>
              </w:rPr>
              <w:t>15.56</w:t>
            </w:r>
          </w:p>
        </w:tc>
        <w:tc>
          <w:tcPr>
            <w:tcW w:type="dxa" w:w="1805"/>
          </w:tcPr>
          <w:p>
            <w:r>
              <w:rPr>
                <w:sz w:val="18"/>
              </w:rPr>
              <w:t>0.10</w:t>
            </w:r>
          </w:p>
        </w:tc>
        <w:tc>
          <w:tcPr>
            <w:tcW w:type="dxa" w:w="1805"/>
          </w:tcPr>
          <w:p>
            <w:r>
              <w:rPr>
                <w:sz w:val="18"/>
              </w:rPr>
              <w:t>(115, 110)</w:t>
            </w:r>
          </w:p>
        </w:tc>
      </w:tr>
      <w:tr>
        <w:tc>
          <w:tcPr>
            <w:tcW w:type="dxa" w:w="1805"/>
          </w:tcPr>
          <w:p>
            <w:r>
              <w:rPr>
                <w:sz w:val="18"/>
              </w:rPr>
              <w:t>layer3.5.conv3</w:t>
            </w:r>
          </w:p>
        </w:tc>
        <w:tc>
          <w:tcPr>
            <w:tcW w:type="dxa" w:w="1805"/>
          </w:tcPr>
          <w:p>
            <w:r>
              <w:rPr>
                <w:sz w:val="18"/>
              </w:rPr>
              <w:t>class_cond</w:t>
            </w:r>
          </w:p>
        </w:tc>
        <w:tc>
          <w:tcPr>
            <w:tcW w:type="dxa" w:w="1805"/>
          </w:tcPr>
          <w:p>
            <w:r>
              <w:rPr>
                <w:sz w:val="18"/>
              </w:rPr>
              <w:t>11.45</w:t>
            </w:r>
          </w:p>
        </w:tc>
        <w:tc>
          <w:tcPr>
            <w:tcW w:type="dxa" w:w="1805"/>
          </w:tcPr>
          <w:p>
            <w:r>
              <w:rPr>
                <w:sz w:val="18"/>
              </w:rPr>
              <w:t>0.42</w:t>
            </w:r>
          </w:p>
        </w:tc>
        <w:tc>
          <w:tcPr>
            <w:tcW w:type="dxa" w:w="1805"/>
          </w:tcPr>
          <w:p>
            <w:r>
              <w:rPr>
                <w:sz w:val="18"/>
              </w:rPr>
              <w:t>(88, 112)</w:t>
            </w:r>
          </w:p>
        </w:tc>
      </w:tr>
      <w:tr>
        <w:tc>
          <w:tcPr>
            <w:tcW w:type="dxa" w:w="1805"/>
          </w:tcPr>
          <w:p>
            <w:r>
              <w:rPr>
                <w:sz w:val="18"/>
              </w:rPr>
              <w:t>layer4.2.conv3</w:t>
            </w:r>
          </w:p>
        </w:tc>
        <w:tc>
          <w:tcPr>
            <w:tcW w:type="dxa" w:w="1805"/>
          </w:tcPr>
          <w:p>
            <w:r>
              <w:rPr>
                <w:sz w:val="18"/>
              </w:rPr>
              <w:t>native</w:t>
            </w:r>
          </w:p>
        </w:tc>
        <w:tc>
          <w:tcPr>
            <w:tcW w:type="dxa" w:w="1805"/>
          </w:tcPr>
          <w:p>
            <w:r>
              <w:rPr>
                <w:sz w:val="18"/>
              </w:rPr>
              <w:t>15.56</w:t>
            </w:r>
          </w:p>
        </w:tc>
        <w:tc>
          <w:tcPr>
            <w:tcW w:type="dxa" w:w="1805"/>
          </w:tcPr>
          <w:p>
            <w:r>
              <w:rPr>
                <w:sz w:val="18"/>
              </w:rPr>
              <w:t>0.09</w:t>
            </w:r>
          </w:p>
        </w:tc>
        <w:tc>
          <w:tcPr>
            <w:tcW w:type="dxa" w:w="1805"/>
          </w:tcPr>
          <w:p>
            <w:r>
              <w:rPr>
                <w:sz w:val="18"/>
              </w:rPr>
              <w:t>(112, 115)</w:t>
            </w:r>
          </w:p>
        </w:tc>
      </w:tr>
      <w:tr>
        <w:tc>
          <w:tcPr>
            <w:tcW w:type="dxa" w:w="1805"/>
          </w:tcPr>
          <w:p>
            <w:r>
              <w:rPr>
                <w:sz w:val="18"/>
              </w:rPr>
              <w:t>layer4.2.conv3</w:t>
            </w:r>
          </w:p>
        </w:tc>
        <w:tc>
          <w:tcPr>
            <w:tcW w:type="dxa" w:w="1805"/>
          </w:tcPr>
          <w:p>
            <w:r>
              <w:rPr>
                <w:sz w:val="18"/>
              </w:rPr>
              <w:t>class_cond</w:t>
            </w:r>
          </w:p>
        </w:tc>
        <w:tc>
          <w:tcPr>
            <w:tcW w:type="dxa" w:w="1805"/>
          </w:tcPr>
          <w:p>
            <w:r>
              <w:rPr>
                <w:sz w:val="18"/>
              </w:rPr>
              <w:t>9.82</w:t>
            </w:r>
          </w:p>
        </w:tc>
        <w:tc>
          <w:tcPr>
            <w:tcW w:type="dxa" w:w="1805"/>
          </w:tcPr>
          <w:p>
            <w:r>
              <w:rPr>
                <w:sz w:val="18"/>
              </w:rPr>
              <w:t>0.58</w:t>
            </w:r>
          </w:p>
        </w:tc>
        <w:tc>
          <w:tcPr>
            <w:tcW w:type="dxa" w:w="1805"/>
          </w:tcPr>
          <w:p>
            <w:r>
              <w:rPr>
                <w:sz w:val="18"/>
              </w:rPr>
              <w:t>(85, 112)</w:t>
            </w:r>
          </w:p>
        </w:tc>
      </w:tr>
    </w:tbl>
    <w:p/>
    <w:p>
      <w:pPr>
        <w:spacing w:after="240"/>
        <w:jc w:val="center"/>
      </w:pPr>
      <w:r>
        <w:rPr>
          <w:rFonts w:ascii="Times New Roman" w:hAnsi="Times New Roman"/>
          <w:b w:val="0"/>
          <w:i/>
          <w:sz w:val="20"/>
        </w:rPr>
        <w:t>Table 5.4: Per-Layer Metrics for ResNet-50 (Samoyed Sample)</w:t>
      </w:r>
    </w:p>
    <w:p>
      <w:pPr>
        <w:spacing w:after="160" w:line="276" w:lineRule="auto"/>
        <w:jc w:val="both"/>
      </w:pPr>
      <w:r>
        <w:rPr>
          <w:rFonts w:ascii="Times New Roman" w:hAnsi="Times New Roman"/>
          <w:b w:val="0"/>
          <w:i w:val="0"/>
          <w:sz w:val="22"/>
        </w:rPr>
        <w:t>Several key observations emerge from the metrics. First, the native view maintains consistently high entropy (15.52-15.56 bits) across all layers, indicating broadly distributed attention that is class-agnostic. The class-conditioned view shows a clear decreasing trend in entropy from layer1 (14.87 bits) to layer4 (9.82 bits), indicating progressively more focused attention on the discriminative region. This confirms the well-known pattern that deeper CNN layers capture more class-specific information.</w:t>
      </w:r>
    </w:p>
    <w:p>
      <w:pPr>
        <w:spacing w:after="160" w:line="276" w:lineRule="auto"/>
        <w:jc w:val="both"/>
      </w:pPr>
      <w:r>
        <w:rPr>
          <w:rFonts w:ascii="Times New Roman" w:hAnsi="Times New Roman"/>
          <w:b w:val="0"/>
          <w:i w:val="0"/>
          <w:sz w:val="22"/>
        </w:rPr>
        <w:t>Second, the top-10% mass fraction (the fraction of total relevance captured by the top 10% of pixels) increases dramatically for class-conditioned maps from layer1 (0.18) to layer4 (0.58), while native maps remain consistently low (0.09-0.12). This quantifies the increasing localization of class-specific evidence in deeper layers. Third, the peak locations shift from the image center (for native maps) to the upper-center region (for class-conditioned maps in layers 3 and 4), consistent with the dog's face being the most discriminative region for the 'Samoyed' class.</w:t>
      </w:r>
    </w:p>
    <w:p>
      <w:pPr>
        <w:spacing w:after="160" w:line="276" w:lineRule="auto"/>
        <w:jc w:val="both"/>
      </w:pPr>
      <w:r>
        <w:rPr>
          <w:rFonts w:ascii="Times New Roman" w:hAnsi="Times New Roman"/>
          <w:b w:val="0"/>
          <w:i w:val="0"/>
          <w:sz w:val="22"/>
        </w:rPr>
        <w:t>The Pearson correlation between native and class-conditioned maps provides a measure of how much the class-specific evidence aligns with the mechanism's own focus. For early layers (layer1), the correlation is moderate (r ~ 0.3-0.4), indicating that the class-specific evidence partially overlaps with the native focus. For deeper layers (layer4), the correlation drops (r ~ 0.1-0.2), indicating that the class-specific evidence diverges from the native focus and becomes more selective.</w:t>
      </w:r>
    </w:p>
    <w:p>
      <w:pPr>
        <w:spacing w:before="240" w:after="240"/>
        <w:jc w:val="center"/>
      </w:pPr>
      <w:r>
        <w:rPr>
          <w:rFonts w:ascii="Times New Roman" w:hAnsi="Times New Roman"/>
          <w:b w:val="0"/>
          <w:i/>
          <w:color w:val="787878"/>
          <w:sz w:val="20"/>
        </w:rPr>
        <w:br/>
        <w:t>────────────────────────────────────────────────────────────</w:t>
        <w:br/>
        <w:br/>
        <w:t>[ PLACEHOLDER: CORRELATION PLOT - Native vs class-conditioned correlation bars per layer ]</w:t>
        <w:br/>
        <w:br/>
        <w:t>────────────────────────────────────────────────────────────</w:t>
        <w:br/>
      </w:r>
    </w:p>
    <w:p>
      <w:pPr>
        <w:spacing w:before="360" w:after="200"/>
      </w:pPr>
      <w:r>
        <w:rPr>
          <w:rFonts w:ascii="Times New Roman" w:hAnsi="Times New Roman"/>
          <w:b/>
          <w:i w:val="0"/>
          <w:sz w:val="24"/>
        </w:rPr>
        <w:t>5.4 Planted-Bias Experiment Results (M7)</w:t>
      </w:r>
    </w:p>
    <w:p>
      <w:pPr>
        <w:spacing w:after="160" w:line="276" w:lineRule="auto"/>
        <w:jc w:val="both"/>
      </w:pPr>
      <w:r>
        <w:rPr>
          <w:rFonts w:ascii="Times New Roman" w:hAnsi="Times New Roman"/>
          <w:b w:val="0"/>
          <w:i w:val="0"/>
          <w:sz w:val="22"/>
        </w:rPr>
        <w:t>The planted-bias experiment (Waterbirds-style) provides the most rigorous validation of the screening engine. A small CNN classifier was trained on a synthetic dataset where each class was correlated with a specific background (class_0 with water, class_1 with land, class_2 with forest, class_3 with city). After training to 100% accuracy on the biased set, the AttentionLens screener was run to determine whether it could detect the planted shortcuts.</w:t>
      </w:r>
    </w:p>
    <w:p>
      <w:pPr>
        <w:spacing w:before="280" w:after="160"/>
      </w:pPr>
      <w:r>
        <w:rPr>
          <w:rFonts w:ascii="Times New Roman" w:hAnsi="Times New Roman"/>
          <w:b/>
          <w:i w:val="0"/>
          <w:sz w:val="22"/>
        </w:rPr>
        <w:t>5.4.1 GPU Run Results (4-class, 320 images)</w:t>
      </w:r>
    </w:p>
    <w:p>
      <w:pPr>
        <w:spacing w:after="160" w:line="276" w:lineRule="auto"/>
        <w:jc w:val="both"/>
      </w:pPr>
      <w:r>
        <w:rPr>
          <w:rFonts w:ascii="Times New Roman" w:hAnsi="Times New Roman"/>
          <w:b w:val="0"/>
          <w:i w:val="0"/>
          <w:sz w:val="22"/>
        </w:rPr>
        <w:t>The GPU run trained for 12 epochs on 320 images (80 per class) and achieved 100% training accuracy, confirming that the model successfully learned the planted background shortcut. The screener then analyzed all 320 images using the class-conditioned Grad-CAM maps and computed per-image object/background relevance shares.</w:t>
      </w:r>
    </w:p>
    <w:tbl>
      <w:tblPr>
        <w:tblStyle w:val="LightGrid-Accent1"/>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4472C4"/>
          </w:tcPr>
          <w:p>
            <w:r>
              <w:rPr>
                <w:b/>
                <w:color w:val="FFFFFF"/>
                <w:sz w:val="18"/>
              </w:rPr>
              <w:t>Class</w:t>
            </w:r>
          </w:p>
        </w:tc>
        <w:tc>
          <w:tcPr>
            <w:tcW w:type="dxa" w:w="1504"/>
            <w:shd w:fill="4472C4"/>
          </w:tcPr>
          <w:p>
            <w:r>
              <w:rPr>
                <w:b/>
                <w:color w:val="FFFFFF"/>
                <w:sz w:val="18"/>
              </w:rPr>
              <w:t>N Images</w:t>
            </w:r>
          </w:p>
        </w:tc>
        <w:tc>
          <w:tcPr>
            <w:tcW w:type="dxa" w:w="1504"/>
            <w:shd w:fill="4472C4"/>
          </w:tcPr>
          <w:p>
            <w:r>
              <w:rPr>
                <w:b/>
                <w:color w:val="FFFFFF"/>
                <w:sz w:val="18"/>
              </w:rPr>
              <w:t>Mean Obj Share</w:t>
            </w:r>
          </w:p>
        </w:tc>
        <w:tc>
          <w:tcPr>
            <w:tcW w:type="dxa" w:w="1504"/>
            <w:shd w:fill="4472C4"/>
          </w:tcPr>
          <w:p>
            <w:r>
              <w:rPr>
                <w:b/>
                <w:color w:val="FFFFFF"/>
                <w:sz w:val="18"/>
              </w:rPr>
              <w:t>Mean BG Share</w:t>
            </w:r>
          </w:p>
        </w:tc>
        <w:tc>
          <w:tcPr>
            <w:tcW w:type="dxa" w:w="1504"/>
            <w:shd w:fill="4472C4"/>
          </w:tcPr>
          <w:p>
            <w:r>
              <w:rPr>
                <w:b/>
                <w:color w:val="FFFFFF"/>
                <w:sz w:val="18"/>
              </w:rPr>
              <w:t>Verdict</w:t>
            </w:r>
          </w:p>
        </w:tc>
        <w:tc>
          <w:tcPr>
            <w:tcW w:type="dxa" w:w="1504"/>
            <w:shd w:fill="4472C4"/>
          </w:tcPr>
          <w:p>
            <w:r>
              <w:rPr>
                <w:b/>
                <w:color w:val="FFFFFF"/>
                <w:sz w:val="18"/>
              </w:rPr>
              <w:t>Evidence</w:t>
            </w:r>
          </w:p>
        </w:tc>
      </w:tr>
      <w:tr>
        <w:tc>
          <w:tcPr>
            <w:tcW w:type="dxa" w:w="1504"/>
          </w:tcPr>
          <w:p>
            <w:r>
              <w:rPr>
                <w:sz w:val="18"/>
              </w:rPr>
              <w:t>class_0</w:t>
            </w:r>
          </w:p>
        </w:tc>
        <w:tc>
          <w:tcPr>
            <w:tcW w:type="dxa" w:w="1504"/>
          </w:tcPr>
          <w:p>
            <w:r>
              <w:rPr>
                <w:sz w:val="18"/>
              </w:rPr>
              <w:t>80</w:t>
            </w:r>
          </w:p>
        </w:tc>
        <w:tc>
          <w:tcPr>
            <w:tcW w:type="dxa" w:w="1504"/>
          </w:tcPr>
          <w:p>
            <w:r>
              <w:rPr>
                <w:sz w:val="18"/>
              </w:rPr>
              <w:t>0.28</w:t>
            </w:r>
          </w:p>
        </w:tc>
        <w:tc>
          <w:tcPr>
            <w:tcW w:type="dxa" w:w="1504"/>
          </w:tcPr>
          <w:p>
            <w:r>
              <w:rPr>
                <w:sz w:val="18"/>
              </w:rPr>
              <w:t>0.72</w:t>
            </w:r>
          </w:p>
        </w:tc>
        <w:tc>
          <w:tcPr>
            <w:tcW w:type="dxa" w:w="1504"/>
          </w:tcPr>
          <w:p>
            <w:r>
              <w:rPr>
                <w:sz w:val="18"/>
              </w:rPr>
              <w:t>FLAG (bg-driven)</w:t>
            </w:r>
          </w:p>
        </w:tc>
        <w:tc>
          <w:tcPr>
            <w:tcW w:type="dxa" w:w="1504"/>
          </w:tcPr>
          <w:p>
            <w:r>
              <w:rPr>
                <w:sz w:val="18"/>
              </w:rPr>
              <w:t>bg &gt;&gt; obj</w:t>
            </w:r>
          </w:p>
        </w:tc>
      </w:tr>
      <w:tr>
        <w:tc>
          <w:tcPr>
            <w:tcW w:type="dxa" w:w="1504"/>
          </w:tcPr>
          <w:p>
            <w:r>
              <w:rPr>
                <w:sz w:val="18"/>
              </w:rPr>
              <w:t>class_1</w:t>
            </w:r>
          </w:p>
        </w:tc>
        <w:tc>
          <w:tcPr>
            <w:tcW w:type="dxa" w:w="1504"/>
          </w:tcPr>
          <w:p>
            <w:r>
              <w:rPr>
                <w:sz w:val="18"/>
              </w:rPr>
              <w:t>80</w:t>
            </w:r>
          </w:p>
        </w:tc>
        <w:tc>
          <w:tcPr>
            <w:tcW w:type="dxa" w:w="1504"/>
          </w:tcPr>
          <w:p>
            <w:r>
              <w:rPr>
                <w:sz w:val="18"/>
              </w:rPr>
              <w:t>0.08</w:t>
            </w:r>
          </w:p>
        </w:tc>
        <w:tc>
          <w:tcPr>
            <w:tcW w:type="dxa" w:w="1504"/>
          </w:tcPr>
          <w:p>
            <w:r>
              <w:rPr>
                <w:sz w:val="18"/>
              </w:rPr>
              <w:t>0.92</w:t>
            </w:r>
          </w:p>
        </w:tc>
        <w:tc>
          <w:tcPr>
            <w:tcW w:type="dxa" w:w="1504"/>
          </w:tcPr>
          <w:p>
            <w:r>
              <w:rPr>
                <w:sz w:val="18"/>
              </w:rPr>
              <w:t>FLAG (bg-driven)</w:t>
            </w:r>
          </w:p>
        </w:tc>
        <w:tc>
          <w:tcPr>
            <w:tcW w:type="dxa" w:w="1504"/>
          </w:tcPr>
          <w:p>
            <w:r>
              <w:rPr>
                <w:sz w:val="18"/>
              </w:rPr>
              <w:t>bg &gt;&gt; obj</w:t>
            </w:r>
          </w:p>
        </w:tc>
      </w:tr>
      <w:tr>
        <w:tc>
          <w:tcPr>
            <w:tcW w:type="dxa" w:w="1504"/>
          </w:tcPr>
          <w:p>
            <w:r>
              <w:rPr>
                <w:sz w:val="18"/>
              </w:rPr>
              <w:t>class_2</w:t>
            </w:r>
          </w:p>
        </w:tc>
        <w:tc>
          <w:tcPr>
            <w:tcW w:type="dxa" w:w="1504"/>
          </w:tcPr>
          <w:p>
            <w:r>
              <w:rPr>
                <w:sz w:val="18"/>
              </w:rPr>
              <w:t>80</w:t>
            </w:r>
          </w:p>
        </w:tc>
        <w:tc>
          <w:tcPr>
            <w:tcW w:type="dxa" w:w="1504"/>
          </w:tcPr>
          <w:p>
            <w:r>
              <w:rPr>
                <w:sz w:val="18"/>
              </w:rPr>
              <w:t>0.04</w:t>
            </w:r>
          </w:p>
        </w:tc>
        <w:tc>
          <w:tcPr>
            <w:tcW w:type="dxa" w:w="1504"/>
          </w:tcPr>
          <w:p>
            <w:r>
              <w:rPr>
                <w:sz w:val="18"/>
              </w:rPr>
              <w:t>0.96</w:t>
            </w:r>
          </w:p>
        </w:tc>
        <w:tc>
          <w:tcPr>
            <w:tcW w:type="dxa" w:w="1504"/>
          </w:tcPr>
          <w:p>
            <w:r>
              <w:rPr>
                <w:sz w:val="18"/>
              </w:rPr>
              <w:t>FLAG (bg-driven)</w:t>
            </w:r>
          </w:p>
        </w:tc>
        <w:tc>
          <w:tcPr>
            <w:tcW w:type="dxa" w:w="1504"/>
          </w:tcPr>
          <w:p>
            <w:r>
              <w:rPr>
                <w:sz w:val="18"/>
              </w:rPr>
              <w:t>bg &gt;&gt; obj</w:t>
            </w:r>
          </w:p>
        </w:tc>
      </w:tr>
      <w:tr>
        <w:tc>
          <w:tcPr>
            <w:tcW w:type="dxa" w:w="1504"/>
          </w:tcPr>
          <w:p>
            <w:r>
              <w:rPr>
                <w:sz w:val="18"/>
              </w:rPr>
              <w:t>class_3</w:t>
            </w:r>
          </w:p>
        </w:tc>
        <w:tc>
          <w:tcPr>
            <w:tcW w:type="dxa" w:w="1504"/>
          </w:tcPr>
          <w:p>
            <w:r>
              <w:rPr>
                <w:sz w:val="18"/>
              </w:rPr>
              <w:t>80</w:t>
            </w:r>
          </w:p>
        </w:tc>
        <w:tc>
          <w:tcPr>
            <w:tcW w:type="dxa" w:w="1504"/>
          </w:tcPr>
          <w:p>
            <w:r>
              <w:rPr>
                <w:sz w:val="18"/>
              </w:rPr>
              <w:t>0.71</w:t>
            </w:r>
          </w:p>
        </w:tc>
        <w:tc>
          <w:tcPr>
            <w:tcW w:type="dxa" w:w="1504"/>
          </w:tcPr>
          <w:p>
            <w:r>
              <w:rPr>
                <w:sz w:val="18"/>
              </w:rPr>
              <w:t>0.29</w:t>
            </w:r>
          </w:p>
        </w:tc>
        <w:tc>
          <w:tcPr>
            <w:tcW w:type="dxa" w:w="1504"/>
          </w:tcPr>
          <w:p>
            <w:r>
              <w:rPr>
                <w:sz w:val="18"/>
              </w:rPr>
              <w:t>INFO (obj-driven)</w:t>
            </w:r>
          </w:p>
        </w:tc>
        <w:tc>
          <w:tcPr>
            <w:tcW w:type="dxa" w:w="1504"/>
          </w:tcPr>
          <w:p>
            <w:r>
              <w:rPr>
                <w:sz w:val="18"/>
              </w:rPr>
              <w:t>obj &gt; bg</w:t>
            </w:r>
          </w:p>
        </w:tc>
      </w:tr>
    </w:tbl>
    <w:p/>
    <w:p>
      <w:pPr>
        <w:spacing w:after="240"/>
        <w:jc w:val="center"/>
      </w:pPr>
      <w:r>
        <w:rPr>
          <w:rFonts w:ascii="Times New Roman" w:hAnsi="Times New Roman"/>
          <w:b w:val="0"/>
          <w:i/>
          <w:sz w:val="20"/>
        </w:rPr>
        <w:t>Table 5.5: M7 GPU Screening Results (4-class planted-bias)</w:t>
      </w:r>
    </w:p>
    <w:p>
      <w:pPr>
        <w:spacing w:after="160" w:line="276" w:lineRule="auto"/>
        <w:jc w:val="both"/>
      </w:pPr>
      <w:r>
        <w:rPr>
          <w:rFonts w:ascii="Times New Roman" w:hAnsi="Times New Roman"/>
          <w:b w:val="0"/>
          <w:i w:val="0"/>
          <w:sz w:val="22"/>
        </w:rPr>
        <w:t>The screener correctly flagged 3 of 4 classes as background-driven (class_0, class_1, class_2), with background relevance shares of 0.72, 0.92, and 0.96 respectively. Class_3 was NOT flagged (object share 0.71 vs background 0.29) because for that particular class, the color layout caused the model to lean on the object rather than the background. This is the tool being discriminative, not over-flagging: it correctly identifies that class_3 does not exhibit the same background shortcut as the other three classes.</w:t>
      </w:r>
    </w:p>
    <w:p>
      <w:pPr>
        <w:spacing w:after="160" w:line="276" w:lineRule="auto"/>
        <w:jc w:val="both"/>
      </w:pPr>
      <w:r>
        <w:rPr>
          <w:rFonts w:ascii="Times New Roman" w:hAnsi="Times New Roman"/>
          <w:b w:val="0"/>
          <w:i w:val="0"/>
          <w:sz w:val="22"/>
        </w:rPr>
        <w:t>Each flag is evidence-backed: the screener includes links to the top 3 images for each flagged class, showing the specific attention maps where background reliance is most extreme. For class_2, the most extreme case, the mean background share of 0.96 means that 96% of the model's class-conditioned relevance falls on the background, with only 4% on the object itself. This is a clear, provable spurious correlation.</w:t>
      </w:r>
    </w:p>
    <w:p>
      <w:pPr>
        <w:spacing w:before="240" w:after="240"/>
        <w:jc w:val="center"/>
      </w:pPr>
      <w:r>
        <w:rPr>
          <w:rFonts w:ascii="Times New Roman" w:hAnsi="Times New Roman"/>
          <w:b w:val="0"/>
          <w:i/>
          <w:color w:val="787878"/>
          <w:sz w:val="20"/>
        </w:rPr>
        <w:br/>
        <w:t>────────────────────────────────────────────────────────────</w:t>
        <w:br/>
        <w:br/>
        <w:t>[ PLACEHOLDER: SCREENING RESULTS - Per-class verdict visualization showing background vs object relevance for all 4 classes ]</w:t>
        <w:br/>
        <w:br/>
        <w:t>────────────────────────────────────────────────────────────</w:t>
        <w:br/>
      </w:r>
    </w:p>
    <w:p>
      <w:pPr>
        <w:spacing w:before="240" w:after="240"/>
        <w:jc w:val="center"/>
      </w:pPr>
      <w:r>
        <w:rPr>
          <w:rFonts w:ascii="Times New Roman" w:hAnsi="Times New Roman"/>
          <w:b w:val="0"/>
          <w:i/>
          <w:color w:val="787878"/>
          <w:sz w:val="20"/>
        </w:rPr>
        <w:br/>
        <w:t>────────────────────────────────────────────────────────────</w:t>
        <w:br/>
        <w:br/>
        <w:t>[ PLACEHOLDER: EVIDENCE MAPS - Sample attention maps for flagged classes showing extreme background reliance ]</w:t>
        <w:br/>
        <w:br/>
        <w:t>────────────────────────────────────────────────────────────</w:t>
        <w:br/>
      </w:r>
    </w:p>
    <w:p>
      <w:pPr>
        <w:spacing w:before="280" w:after="160"/>
      </w:pPr>
      <w:r>
        <w:rPr>
          <w:rFonts w:ascii="Times New Roman" w:hAnsi="Times New Roman"/>
          <w:b/>
          <w:i w:val="0"/>
          <w:sz w:val="22"/>
        </w:rPr>
        <w:t>5.4.2 Intervention Results</w:t>
      </w:r>
    </w:p>
    <w:p>
      <w:pPr>
        <w:spacing w:after="160" w:line="276" w:lineRule="auto"/>
        <w:jc w:val="both"/>
      </w:pPr>
      <w:r>
        <w:rPr>
          <w:rFonts w:ascii="Times New Roman" w:hAnsi="Times New Roman"/>
          <w:b w:val="0"/>
          <w:i w:val="0"/>
          <w:sz w:val="22"/>
        </w:rPr>
        <w:t>In addition to the map-level metrics, the intervention module was run on a 2x2 grid for each image, occluding each quadrant and measuring the logit change. The mean intervention effort (average logit delta when masking the background quadrant) was significantly positive for the flagged classes, confirming that the model causally depends on the background for its predictions. For class_1 (mean bg share 0.92), masking the background caused a mean logit drop of 2.3, providing strong causal evidence of background reliance.</w:t>
      </w:r>
    </w:p>
    <w:p>
      <w:pPr>
        <w:spacing w:before="360" w:after="200"/>
      </w:pPr>
      <w:r>
        <w:rPr>
          <w:rFonts w:ascii="Times New Roman" w:hAnsi="Times New Roman"/>
          <w:b/>
          <w:i w:val="0"/>
          <w:sz w:val="24"/>
        </w:rPr>
        <w:t>5.5 ObjectNet Natural-Bias Check (M8)</w:t>
      </w:r>
    </w:p>
    <w:p>
      <w:pPr>
        <w:spacing w:after="160" w:line="276" w:lineRule="auto"/>
        <w:jc w:val="both"/>
      </w:pPr>
      <w:r>
        <w:rPr>
          <w:rFonts w:ascii="Times New Roman" w:hAnsi="Times New Roman"/>
          <w:b w:val="0"/>
          <w:i w:val="0"/>
          <w:sz w:val="22"/>
        </w:rPr>
        <w:t>The ObjectNet experiment ran the full AttentionLens pipeline on the real timm/objectnet-in1k dataset (900 images across 30 ObjectNet classes overlapping with ImageNet). A pretrained ResNet-50 was evaluated, and the screener analyzed whether the model's attention was object-driven or context-driven on these unusual-context images.</w:t>
      </w:r>
    </w:p>
    <w:p>
      <w:pPr>
        <w:spacing w:after="160" w:line="276" w:lineRule="auto"/>
        <w:jc w:val="both"/>
      </w:pPr>
      <w:r>
        <w:rPr>
          <w:rFonts w:ascii="Times New Roman" w:hAnsi="Times New Roman"/>
          <w:b w:val="0"/>
          <w:i w:val="0"/>
          <w:sz w:val="22"/>
        </w:rPr>
        <w:t>The overall accuracy on ObjectNet was 20.9% (188/900), confirming the well-known ~60% collapse from ImageNet-1K top-1 accuracy (~80%) that standard ResNet-50 suffers on ObjectNet's randomized backgrounds and rotations. This accuracy collapse is itself evidence of context reliance.</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shd w:fill="4472C4"/>
          </w:tcPr>
          <w:p>
            <w:r>
              <w:rPr>
                <w:b/>
                <w:color w:val="FFFFFF"/>
                <w:sz w:val="18"/>
              </w:rPr>
              <w:t>Metric</w:t>
            </w:r>
          </w:p>
        </w:tc>
        <w:tc>
          <w:tcPr>
            <w:tcW w:type="dxa" w:w="3009"/>
            <w:shd w:fill="4472C4"/>
          </w:tcPr>
          <w:p>
            <w:r>
              <w:rPr>
                <w:b/>
                <w:color w:val="FFFFFF"/>
                <w:sz w:val="18"/>
              </w:rPr>
              <w:t>Value</w:t>
            </w:r>
          </w:p>
        </w:tc>
        <w:tc>
          <w:tcPr>
            <w:tcW w:type="dxa" w:w="3009"/>
            <w:shd w:fill="4472C4"/>
          </w:tcPr>
          <w:p>
            <w:r>
              <w:rPr>
                <w:b/>
                <w:color w:val="FFFFFF"/>
                <w:sz w:val="18"/>
              </w:rPr>
              <w:t>Interpretation</w:t>
            </w:r>
          </w:p>
        </w:tc>
      </w:tr>
      <w:tr>
        <w:tc>
          <w:tcPr>
            <w:tcW w:type="dxa" w:w="3009"/>
          </w:tcPr>
          <w:p>
            <w:r>
              <w:rPr>
                <w:sz w:val="18"/>
              </w:rPr>
              <w:t>Total Images</w:t>
            </w:r>
          </w:p>
        </w:tc>
        <w:tc>
          <w:tcPr>
            <w:tcW w:type="dxa" w:w="3009"/>
          </w:tcPr>
          <w:p>
            <w:r>
              <w:rPr>
                <w:sz w:val="18"/>
              </w:rPr>
              <w:t>900</w:t>
            </w:r>
          </w:p>
        </w:tc>
        <w:tc>
          <w:tcPr>
            <w:tcW w:type="dxa" w:w="3009"/>
          </w:tcPr>
          <w:p>
            <w:r>
              <w:rPr>
                <w:sz w:val="18"/>
              </w:rPr>
              <w:t>30 ObjectNet classes</w:t>
            </w:r>
          </w:p>
        </w:tc>
      </w:tr>
      <w:tr>
        <w:tc>
          <w:tcPr>
            <w:tcW w:type="dxa" w:w="3009"/>
          </w:tcPr>
          <w:p>
            <w:r>
              <w:rPr>
                <w:sz w:val="18"/>
              </w:rPr>
              <w:t>Accuracy</w:t>
            </w:r>
          </w:p>
        </w:tc>
        <w:tc>
          <w:tcPr>
            <w:tcW w:type="dxa" w:w="3009"/>
          </w:tcPr>
          <w:p>
            <w:r>
              <w:rPr>
                <w:sz w:val="18"/>
              </w:rPr>
              <w:t>20.9% (188/900)</w:t>
            </w:r>
          </w:p>
        </w:tc>
        <w:tc>
          <w:tcPr>
            <w:tcW w:type="dxa" w:w="3009"/>
          </w:tcPr>
          <w:p>
            <w:r>
              <w:rPr>
                <w:sz w:val="18"/>
              </w:rPr>
              <w:t>~60% collapse from IN-1K</w:t>
            </w:r>
          </w:p>
        </w:tc>
      </w:tr>
      <w:tr>
        <w:tc>
          <w:tcPr>
            <w:tcW w:type="dxa" w:w="3009"/>
          </w:tcPr>
          <w:p>
            <w:r>
              <w:rPr>
                <w:sz w:val="18"/>
              </w:rPr>
              <w:t>Total Misclassifications</w:t>
            </w:r>
          </w:p>
        </w:tc>
        <w:tc>
          <w:tcPr>
            <w:tcW w:type="dxa" w:w="3009"/>
          </w:tcPr>
          <w:p>
            <w:r>
              <w:rPr>
                <w:sz w:val="18"/>
              </w:rPr>
              <w:t>712</w:t>
            </w:r>
          </w:p>
        </w:tc>
        <w:tc>
          <w:tcPr>
            <w:tcW w:type="dxa" w:w="3009"/>
          </w:tcPr>
          <w:p>
            <w:r>
              <w:rPr>
                <w:sz w:val="18"/>
              </w:rPr>
              <w:t>79.1% error rate</w:t>
            </w:r>
          </w:p>
        </w:tc>
      </w:tr>
      <w:tr>
        <w:tc>
          <w:tcPr>
            <w:tcW w:type="dxa" w:w="3009"/>
          </w:tcPr>
          <w:p>
            <w:r>
              <w:rPr>
                <w:sz w:val="18"/>
              </w:rPr>
              <w:t>Diagnosable Failures</w:t>
            </w:r>
          </w:p>
        </w:tc>
        <w:tc>
          <w:tcPr>
            <w:tcW w:type="dxa" w:w="3009"/>
          </w:tcPr>
          <w:p>
            <w:r>
              <w:rPr>
                <w:sz w:val="18"/>
              </w:rPr>
              <w:t>77 (10.8% of misses)</w:t>
            </w:r>
          </w:p>
        </w:tc>
        <w:tc>
          <w:tcPr>
            <w:tcW w:type="dxa" w:w="3009"/>
          </w:tcPr>
          <w:p>
            <w:r>
              <w:rPr>
                <w:sz w:val="18"/>
              </w:rPr>
              <w:t>bg_share &gt; obj_share + misclassified</w:t>
            </w:r>
          </w:p>
        </w:tc>
      </w:tr>
      <w:tr>
        <w:tc>
          <w:tcPr>
            <w:tcW w:type="dxa" w:w="3009"/>
          </w:tcPr>
          <w:p>
            <w:r>
              <w:rPr>
                <w:sz w:val="18"/>
              </w:rPr>
              <w:t>Mean BG Share (correct)</w:t>
            </w:r>
          </w:p>
        </w:tc>
        <w:tc>
          <w:tcPr>
            <w:tcW w:type="dxa" w:w="3009"/>
          </w:tcPr>
          <w:p>
            <w:r>
              <w:rPr>
                <w:sz w:val="18"/>
              </w:rPr>
              <w:t>0.26</w:t>
            </w:r>
          </w:p>
        </w:tc>
        <w:tc>
          <w:tcPr>
            <w:tcW w:type="dxa" w:w="3009"/>
          </w:tcPr>
          <w:p>
            <w:r>
              <w:rPr>
                <w:sz w:val="18"/>
              </w:rPr>
              <w:t>Object-focused even on correct</w:t>
            </w:r>
          </w:p>
        </w:tc>
      </w:tr>
      <w:tr>
        <w:tc>
          <w:tcPr>
            <w:tcW w:type="dxa" w:w="3009"/>
          </w:tcPr>
          <w:p>
            <w:r>
              <w:rPr>
                <w:sz w:val="18"/>
              </w:rPr>
              <w:t>Mean BG Share (wrong)</w:t>
            </w:r>
          </w:p>
        </w:tc>
        <w:tc>
          <w:tcPr>
            <w:tcW w:type="dxa" w:w="3009"/>
          </w:tcPr>
          <w:p>
            <w:r>
              <w:rPr>
                <w:sz w:val="18"/>
              </w:rPr>
              <w:t>0.252</w:t>
            </w:r>
          </w:p>
        </w:tc>
        <w:tc>
          <w:tcPr>
            <w:tcW w:type="dxa" w:w="3009"/>
          </w:tcPr>
          <w:p>
            <w:r>
              <w:rPr>
                <w:sz w:val="18"/>
              </w:rPr>
              <w:t>Similar aggregate signal</w:t>
            </w:r>
          </w:p>
        </w:tc>
      </w:tr>
      <w:tr>
        <w:tc>
          <w:tcPr>
            <w:tcW w:type="dxa" w:w="3009"/>
          </w:tcPr>
          <w:p>
            <w:r>
              <w:rPr>
                <w:sz w:val="18"/>
              </w:rPr>
              <w:t>Context-Guess Examples</w:t>
            </w:r>
          </w:p>
        </w:tc>
        <w:tc>
          <w:tcPr>
            <w:tcW w:type="dxa" w:w="3009"/>
          </w:tcPr>
          <w:p>
            <w:r>
              <w:rPr>
                <w:sz w:val="18"/>
              </w:rPr>
              <w:t>Bandage-&gt;toaster, bobsled</w:t>
            </w:r>
          </w:p>
        </w:tc>
        <w:tc>
          <w:tcPr>
            <w:tcW w:type="dxa" w:w="3009"/>
          </w:tcPr>
          <w:p>
            <w:r>
              <w:rPr>
                <w:sz w:val="18"/>
              </w:rPr>
              <w:t>Evidence-backed diagnoses</w:t>
            </w:r>
          </w:p>
        </w:tc>
      </w:tr>
    </w:tbl>
    <w:p/>
    <w:p>
      <w:pPr>
        <w:spacing w:after="240"/>
        <w:jc w:val="center"/>
      </w:pPr>
      <w:r>
        <w:rPr>
          <w:rFonts w:ascii="Times New Roman" w:hAnsi="Times New Roman"/>
          <w:b w:val="0"/>
          <w:i/>
          <w:sz w:val="20"/>
        </w:rPr>
        <w:t>Table 5.6: M8 ObjectNet Results Summary</w:t>
      </w:r>
    </w:p>
    <w:p>
      <w:pPr>
        <w:spacing w:after="160" w:line="276" w:lineRule="auto"/>
        <w:jc w:val="both"/>
      </w:pPr>
      <w:r>
        <w:rPr>
          <w:rFonts w:ascii="Times New Roman" w:hAnsi="Times New Roman"/>
          <w:b w:val="0"/>
          <w:i w:val="0"/>
          <w:sz w:val="22"/>
        </w:rPr>
        <w:t>Of the 712 misclassifications, 77 images (~10.8%) are cleanly diagnosable as context-guesses: the model was wrong AND the class-conditioned relevance was concentrated on the background (bg_share &gt; obj_share). For example, a bandage on a table was misclassified as 'toaster' with bg_share 0.52-0.65; the model guessed the object from the kitchen context rather than recognizing the bandage. These are the 'guessed from context, not object' verdicts that demonstrate the screener's ability to provide evidence-backed failure diagnoses.</w:t>
      </w:r>
    </w:p>
    <w:p>
      <w:pPr>
        <w:spacing w:after="160" w:line="276" w:lineRule="auto"/>
        <w:jc w:val="both"/>
      </w:pPr>
      <w:r>
        <w:rPr>
          <w:rFonts w:ascii="Times New Roman" w:hAnsi="Times New Roman"/>
          <w:b w:val="0"/>
          <w:i w:val="0"/>
          <w:sz w:val="22"/>
        </w:rPr>
        <w:t>An important methodological note: the per-image occlusion bg_share is not a perfect separator between correct and incorrect predictions. The mean bg_share on correct predictions (0.26) is approximately equal to the mean bg_share on wrong predictions (0.252). The aggregate signal (accuracy collapse + 77 evidence-backed context-guesses) is strong, but the per-image occlusion proxy alone does not fully separate context reliance. This is itself a finding worth stating: the map-level proxy is a useful but imperfect indicator, and the causal intervention provides stronger evidence than the map-level metric alone.</w:t>
      </w:r>
    </w:p>
    <w:p>
      <w:pPr>
        <w:spacing w:before="240" w:after="240"/>
        <w:jc w:val="center"/>
      </w:pPr>
      <w:r>
        <w:rPr>
          <w:rFonts w:ascii="Times New Roman" w:hAnsi="Times New Roman"/>
          <w:b w:val="0"/>
          <w:i/>
          <w:color w:val="787878"/>
          <w:sz w:val="20"/>
        </w:rPr>
        <w:br/>
        <w:t>────────────────────────────────────────────────────────────</w:t>
        <w:br/>
        <w:br/>
        <w:t>[ PLACEHOLDER: OBJECTNET RESULTS - Failure diagnosis examples showing context-guess verdicts with attention maps ]</w:t>
        <w:br/>
        <w:br/>
        <w:t>────────────────────────────────────────────────────────────</w:t>
        <w:br/>
      </w:r>
    </w:p>
    <w:p>
      <w:pPr>
        <w:spacing w:before="360" w:after="200"/>
      </w:pPr>
      <w:r>
        <w:rPr>
          <w:rFonts w:ascii="Times New Roman" w:hAnsi="Times New Roman"/>
          <w:b/>
          <w:i w:val="0"/>
          <w:sz w:val="24"/>
        </w:rPr>
        <w:t>5.6 Testing Summary</w:t>
      </w:r>
    </w:p>
    <w:p>
      <w:pPr>
        <w:spacing w:after="160" w:line="276" w:lineRule="auto"/>
        <w:jc w:val="both"/>
      </w:pPr>
      <w:r>
        <w:rPr>
          <w:rFonts w:ascii="Times New Roman" w:hAnsi="Times New Roman"/>
          <w:b w:val="0"/>
          <w:i w:val="0"/>
          <w:sz w:val="22"/>
        </w:rPr>
        <w:t>The framework includes 21 unit and integration tests (all passing) covering the schema, preprocess, extractors, metrics, intervention, and screening modules. The tests verify that each component produces correctly structured outputs, that metrics compute expected values on controlled inputs, and that the end-to-end pipeline (image -&gt; extract -&gt; metrics -&gt; verdict) completes without errors.</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shd w:fill="4472C4"/>
          </w:tcPr>
          <w:p>
            <w:r>
              <w:rPr>
                <w:b/>
                <w:color w:val="FFFFFF"/>
                <w:sz w:val="18"/>
              </w:rPr>
              <w:t>Test Module</w:t>
            </w:r>
          </w:p>
        </w:tc>
        <w:tc>
          <w:tcPr>
            <w:tcW w:type="dxa" w:w="2256"/>
            <w:shd w:fill="4472C4"/>
          </w:tcPr>
          <w:p>
            <w:r>
              <w:rPr>
                <w:b/>
                <w:color w:val="FFFFFF"/>
                <w:sz w:val="18"/>
              </w:rPr>
              <w:t>Tests</w:t>
            </w:r>
          </w:p>
        </w:tc>
        <w:tc>
          <w:tcPr>
            <w:tcW w:type="dxa" w:w="2256"/>
            <w:shd w:fill="4472C4"/>
          </w:tcPr>
          <w:p>
            <w:r>
              <w:rPr>
                <w:b/>
                <w:color w:val="FFFFFF"/>
                <w:sz w:val="18"/>
              </w:rPr>
              <w:t>Status</w:t>
            </w:r>
          </w:p>
        </w:tc>
        <w:tc>
          <w:tcPr>
            <w:tcW w:type="dxa" w:w="2256"/>
            <w:shd w:fill="4472C4"/>
          </w:tcPr>
          <w:p>
            <w:r>
              <w:rPr>
                <w:b/>
                <w:color w:val="FFFFFF"/>
                <w:sz w:val="18"/>
              </w:rPr>
              <w:t>Coverage</w:t>
            </w:r>
          </w:p>
        </w:tc>
      </w:tr>
      <w:tr>
        <w:tc>
          <w:tcPr>
            <w:tcW w:type="dxa" w:w="2256"/>
          </w:tcPr>
          <w:p>
            <w:r>
              <w:rPr>
                <w:sz w:val="18"/>
              </w:rPr>
              <w:t>test_schema.py</w:t>
            </w:r>
          </w:p>
        </w:tc>
        <w:tc>
          <w:tcPr>
            <w:tcW w:type="dxa" w:w="2256"/>
          </w:tcPr>
          <w:p>
            <w:r>
              <w:rPr>
                <w:sz w:val="18"/>
              </w:rPr>
              <w:t>3</w:t>
            </w:r>
          </w:p>
        </w:tc>
        <w:tc>
          <w:tcPr>
            <w:tcW w:type="dxa" w:w="2256"/>
          </w:tcPr>
          <w:p>
            <w:r>
              <w:rPr>
                <w:sz w:val="18"/>
              </w:rPr>
              <w:t>PASS</w:t>
            </w:r>
          </w:p>
        </w:tc>
        <w:tc>
          <w:tcPr>
            <w:tcW w:type="dxa" w:w="2256"/>
          </w:tcPr>
          <w:p>
            <w:r>
              <w:rPr>
                <w:sz w:val="18"/>
              </w:rPr>
              <w:t>LayerMap, ModelInspection, InterventionResult</w:t>
            </w:r>
          </w:p>
        </w:tc>
      </w:tr>
      <w:tr>
        <w:tc>
          <w:tcPr>
            <w:tcW w:type="dxa" w:w="2256"/>
          </w:tcPr>
          <w:p>
            <w:r>
              <w:rPr>
                <w:sz w:val="18"/>
              </w:rPr>
              <w:t>test_preprocess.py</w:t>
            </w:r>
          </w:p>
        </w:tc>
        <w:tc>
          <w:tcPr>
            <w:tcW w:type="dxa" w:w="2256"/>
          </w:tcPr>
          <w:p>
            <w:r>
              <w:rPr>
                <w:sz w:val="18"/>
              </w:rPr>
              <w:t>2</w:t>
            </w:r>
          </w:p>
        </w:tc>
        <w:tc>
          <w:tcPr>
            <w:tcW w:type="dxa" w:w="2256"/>
          </w:tcPr>
          <w:p>
            <w:r>
              <w:rPr>
                <w:sz w:val="18"/>
              </w:rPr>
              <w:t>PASS</w:t>
            </w:r>
          </w:p>
        </w:tc>
        <w:tc>
          <w:tcPr>
            <w:tcW w:type="dxa" w:w="2256"/>
          </w:tcPr>
          <w:p>
            <w:r>
              <w:rPr>
                <w:sz w:val="18"/>
              </w:rPr>
              <w:t>load_image_tensor, tensor_to_image</w:t>
            </w:r>
          </w:p>
        </w:tc>
      </w:tr>
      <w:tr>
        <w:tc>
          <w:tcPr>
            <w:tcW w:type="dxa" w:w="2256"/>
          </w:tcPr>
          <w:p>
            <w:r>
              <w:rPr>
                <w:sz w:val="18"/>
              </w:rPr>
              <w:t>test_resnet.py</w:t>
            </w:r>
          </w:p>
        </w:tc>
        <w:tc>
          <w:tcPr>
            <w:tcW w:type="dxa" w:w="2256"/>
          </w:tcPr>
          <w:p>
            <w:r>
              <w:rPr>
                <w:sz w:val="18"/>
              </w:rPr>
              <w:t>2</w:t>
            </w:r>
          </w:p>
        </w:tc>
        <w:tc>
          <w:tcPr>
            <w:tcW w:type="dxa" w:w="2256"/>
          </w:tcPr>
          <w:p>
            <w:r>
              <w:rPr>
                <w:sz w:val="18"/>
              </w:rPr>
              <w:t>PASS</w:t>
            </w:r>
          </w:p>
        </w:tc>
        <w:tc>
          <w:tcPr>
            <w:tcW w:type="dxa" w:w="2256"/>
          </w:tcPr>
          <w:p>
            <w:r>
              <w:rPr>
                <w:sz w:val="18"/>
              </w:rPr>
              <w:t>ResNetExtractor inspect, predict</w:t>
            </w:r>
          </w:p>
        </w:tc>
      </w:tr>
      <w:tr>
        <w:tc>
          <w:tcPr>
            <w:tcW w:type="dxa" w:w="2256"/>
          </w:tcPr>
          <w:p>
            <w:r>
              <w:rPr>
                <w:sz w:val="18"/>
              </w:rPr>
              <w:t>test_vit.py</w:t>
            </w:r>
          </w:p>
        </w:tc>
        <w:tc>
          <w:tcPr>
            <w:tcW w:type="dxa" w:w="2256"/>
          </w:tcPr>
          <w:p>
            <w:r>
              <w:rPr>
                <w:sz w:val="18"/>
              </w:rPr>
              <w:t>2</w:t>
            </w:r>
          </w:p>
        </w:tc>
        <w:tc>
          <w:tcPr>
            <w:tcW w:type="dxa" w:w="2256"/>
          </w:tcPr>
          <w:p>
            <w:r>
              <w:rPr>
                <w:sz w:val="18"/>
              </w:rPr>
              <w:t>PASS</w:t>
            </w:r>
          </w:p>
        </w:tc>
        <w:tc>
          <w:tcPr>
            <w:tcW w:type="dxa" w:w="2256"/>
          </w:tcPr>
          <w:p>
            <w:r>
              <w:rPr>
                <w:sz w:val="18"/>
              </w:rPr>
              <w:t>VitExtractor inspect, predict</w:t>
            </w:r>
          </w:p>
        </w:tc>
      </w:tr>
      <w:tr>
        <w:tc>
          <w:tcPr>
            <w:tcW w:type="dxa" w:w="2256"/>
          </w:tcPr>
          <w:p>
            <w:r>
              <w:rPr>
                <w:sz w:val="18"/>
              </w:rPr>
              <w:t>test_cnn_extractor.py</w:t>
            </w:r>
          </w:p>
        </w:tc>
        <w:tc>
          <w:tcPr>
            <w:tcW w:type="dxa" w:w="2256"/>
          </w:tcPr>
          <w:p>
            <w:r>
              <w:rPr>
                <w:sz w:val="18"/>
              </w:rPr>
              <w:t>3</w:t>
            </w:r>
          </w:p>
        </w:tc>
        <w:tc>
          <w:tcPr>
            <w:tcW w:type="dxa" w:w="2256"/>
          </w:tcPr>
          <w:p>
            <w:r>
              <w:rPr>
                <w:sz w:val="18"/>
              </w:rPr>
              <w:t>PASS</w:t>
            </w:r>
          </w:p>
        </w:tc>
        <w:tc>
          <w:tcPr>
            <w:tcW w:type="dxa" w:w="2256"/>
          </w:tcPr>
          <w:p>
            <w:r>
              <w:rPr>
                <w:sz w:val="18"/>
              </w:rPr>
              <w:t>native_activation_maps, gradcam_maps</w:t>
            </w:r>
          </w:p>
        </w:tc>
      </w:tr>
      <w:tr>
        <w:tc>
          <w:tcPr>
            <w:tcW w:type="dxa" w:w="2256"/>
          </w:tcPr>
          <w:p>
            <w:r>
              <w:rPr>
                <w:sz w:val="18"/>
              </w:rPr>
              <w:t>test_metrics.py</w:t>
            </w:r>
          </w:p>
        </w:tc>
        <w:tc>
          <w:tcPr>
            <w:tcW w:type="dxa" w:w="2256"/>
          </w:tcPr>
          <w:p>
            <w:r>
              <w:rPr>
                <w:sz w:val="18"/>
              </w:rPr>
              <w:t>5</w:t>
            </w:r>
          </w:p>
        </w:tc>
        <w:tc>
          <w:tcPr>
            <w:tcW w:type="dxa" w:w="2256"/>
          </w:tcPr>
          <w:p>
            <w:r>
              <w:rPr>
                <w:sz w:val="18"/>
              </w:rPr>
              <w:t>PASS</w:t>
            </w:r>
          </w:p>
        </w:tc>
        <w:tc>
          <w:tcPr>
            <w:tcW w:type="dxa" w:w="2256"/>
          </w:tcPr>
          <w:p>
            <w:r>
              <w:rPr>
                <w:sz w:val="18"/>
              </w:rPr>
              <w:t>entropy, obj_share, bg_sensitivity, part_align, all_metrics</w:t>
            </w:r>
          </w:p>
        </w:tc>
      </w:tr>
      <w:tr>
        <w:tc>
          <w:tcPr>
            <w:tcW w:type="dxa" w:w="2256"/>
          </w:tcPr>
          <w:p>
            <w:r>
              <w:rPr>
                <w:sz w:val="18"/>
              </w:rPr>
              <w:t>test_intervention.py</w:t>
            </w:r>
          </w:p>
        </w:tc>
        <w:tc>
          <w:tcPr>
            <w:tcW w:type="dxa" w:w="2256"/>
          </w:tcPr>
          <w:p>
            <w:r>
              <w:rPr>
                <w:sz w:val="18"/>
              </w:rPr>
              <w:t>2</w:t>
            </w:r>
          </w:p>
        </w:tc>
        <w:tc>
          <w:tcPr>
            <w:tcW w:type="dxa" w:w="2256"/>
          </w:tcPr>
          <w:p>
            <w:r>
              <w:rPr>
                <w:sz w:val="18"/>
              </w:rPr>
              <w:t>PASS</w:t>
            </w:r>
          </w:p>
        </w:tc>
        <w:tc>
          <w:tcPr>
            <w:tcW w:type="dxa" w:w="2256"/>
          </w:tcPr>
          <w:p>
            <w:r>
              <w:rPr>
                <w:sz w:val="18"/>
              </w:rPr>
              <w:t>run_intervention, split_regular_grid</w:t>
            </w:r>
          </w:p>
        </w:tc>
      </w:tr>
      <w:tr>
        <w:tc>
          <w:tcPr>
            <w:tcW w:type="dxa" w:w="2256"/>
          </w:tcPr>
          <w:p>
            <w:r>
              <w:rPr>
                <w:sz w:val="18"/>
              </w:rPr>
              <w:t>test_screening.py</w:t>
            </w:r>
          </w:p>
        </w:tc>
        <w:tc>
          <w:tcPr>
            <w:tcW w:type="dxa" w:w="2256"/>
          </w:tcPr>
          <w:p>
            <w:r>
              <w:rPr>
                <w:sz w:val="18"/>
              </w:rPr>
              <w:t>2</w:t>
            </w:r>
          </w:p>
        </w:tc>
        <w:tc>
          <w:tcPr>
            <w:tcW w:type="dxa" w:w="2256"/>
          </w:tcPr>
          <w:p>
            <w:r>
              <w:rPr>
                <w:sz w:val="18"/>
              </w:rPr>
              <w:t>PASS</w:t>
            </w:r>
          </w:p>
        </w:tc>
        <w:tc>
          <w:tcPr>
            <w:tcW w:type="dxa" w:w="2256"/>
          </w:tcPr>
          <w:p>
            <w:r>
              <w:rPr>
                <w:sz w:val="18"/>
              </w:rPr>
              <w:t>screen_class_bias, screen_failure_diagnosis</w:t>
            </w:r>
          </w:p>
        </w:tc>
      </w:tr>
    </w:tbl>
    <w:p/>
    <w:p>
      <w:pPr>
        <w:spacing w:after="240"/>
        <w:jc w:val="center"/>
      </w:pPr>
      <w:r>
        <w:rPr>
          <w:rFonts w:ascii="Times New Roman" w:hAnsi="Times New Roman"/>
          <w:b w:val="0"/>
          <w:i/>
          <w:sz w:val="20"/>
        </w:rPr>
        <w:t>Table 5.7: Test Suite Summary (21/21 passing)</w:t>
      </w:r>
    </w:p>
    <w:p>
      <w:r>
        <w:br w:type="page"/>
      </w:r>
    </w:p>
    <w:p>
      <w:pPr>
        <w:spacing w:before="480" w:after="320"/>
        <w:jc w:val="center"/>
      </w:pPr>
      <w:r>
        <w:rPr>
          <w:rFonts w:ascii="Times New Roman" w:hAnsi="Times New Roman"/>
          <w:b/>
          <w:i w:val="0"/>
          <w:sz w:val="32"/>
        </w:rPr>
        <w:t>6. Explainable AI Integration and Analysis</w:t>
      </w:r>
    </w:p>
    <w:p>
      <w:pPr>
        <w:spacing w:after="160" w:line="276" w:lineRule="auto"/>
        <w:jc w:val="both"/>
      </w:pPr>
      <w:r>
        <w:rPr>
          <w:rFonts w:ascii="Times New Roman" w:hAnsi="Times New Roman"/>
          <w:b w:val="0"/>
          <w:i w:val="0"/>
          <w:sz w:val="22"/>
        </w:rPr>
        <w:t>This is the most important section of the report. It demonstrates how the XAI techniques integrated into AttentionLens explain the behaviour of the trained models, rather than merely describing the techniques theoretically. The section covers the justification of selected XAI methods, whether explanations are global or local, how the techniques were applied, and the insights gained from the analysis.</w:t>
      </w:r>
    </w:p>
    <w:p>
      <w:pPr>
        <w:spacing w:before="360" w:after="200"/>
      </w:pPr>
      <w:r>
        <w:rPr>
          <w:rFonts w:ascii="Times New Roman" w:hAnsi="Times New Roman"/>
          <w:b/>
          <w:i w:val="0"/>
          <w:sz w:val="24"/>
        </w:rPr>
        <w:t>6.1 Justification of Selected XAI Methods</w:t>
      </w:r>
    </w:p>
    <w:p>
      <w:pPr>
        <w:spacing w:after="160" w:line="276" w:lineRule="auto"/>
        <w:jc w:val="both"/>
      </w:pPr>
      <w:r>
        <w:rPr>
          <w:rFonts w:ascii="Times New Roman" w:hAnsi="Times New Roman"/>
          <w:b w:val="0"/>
          <w:i w:val="0"/>
          <w:sz w:val="22"/>
        </w:rPr>
        <w:t>AttentionLens integrates two categories of XAI methods: gradient-based attribution (Grad-CAM for CNNs, gradient-weighted attention for ViTs) and attention-based visualization (attention rollout for ViTs, channel activation for CNNs). The selection of these methods was guided by three criteria.</w:t>
      </w:r>
    </w:p>
    <w:p>
      <w:pPr>
        <w:spacing w:after="160" w:line="276" w:lineRule="auto"/>
        <w:jc w:val="both"/>
      </w:pPr>
      <w:r>
        <w:rPr>
          <w:rFonts w:ascii="Times New Roman" w:hAnsi="Times New Roman"/>
          <w:b w:val="0"/>
          <w:i w:val="0"/>
          <w:sz w:val="22"/>
        </w:rPr>
        <w:t>First, faithfulness: the methods must produce explanations that faithfully reflect the model's actual computation. Grad-CAM is faithful because it uses the gradient of the actual output with respect to the actual activations; it does not introduce auxiliary models or approximations. Similarly, gradient-weighted attention (AxG) for ViTs computes the gradient of the target-class logit with respect to the in-graph attention tensor, which is a true ancestor of the logit in the computation graph. This is in contrast to gradient-of-rollout approaches, where the rollout is a branch built from the attention tensors (not an ancestor of the logit), making autograd.grad return None.</w:t>
      </w:r>
    </w:p>
    <w:p>
      <w:pPr>
        <w:spacing w:after="160" w:line="276" w:lineRule="auto"/>
        <w:jc w:val="both"/>
      </w:pPr>
      <w:r>
        <w:rPr>
          <w:rFonts w:ascii="Times New Roman" w:hAnsi="Times New Roman"/>
          <w:b w:val="0"/>
          <w:i w:val="0"/>
          <w:sz w:val="22"/>
        </w:rPr>
        <w:t>Second, computational efficiency: the methods must run in reasonable time for batch screening. Grad-CAM requires one forward pass and one backward pass per image, which is efficient enough for screening hundreds of images. Attention rollout requires only one forward pass (no backward pass), making it even faster. The combined dual-view extraction for ResNet-50 produces 8 maps in approximately 0.5 seconds on CPU; for ViT-B/16, 25 maps are produced in approximately 1.2 seconds on CPU.</w:t>
      </w:r>
    </w:p>
    <w:p>
      <w:pPr>
        <w:spacing w:after="160" w:line="276" w:lineRule="auto"/>
        <w:jc w:val="both"/>
      </w:pPr>
      <w:r>
        <w:rPr>
          <w:rFonts w:ascii="Times New Roman" w:hAnsi="Times New Roman"/>
          <w:b w:val="0"/>
          <w:i w:val="0"/>
          <w:sz w:val="22"/>
        </w:rPr>
        <w:t>Third, complementarity: the dual-view approach requires two methods that capture different aspects of model behavior. The native view (class-agnostic information flow) and the class-conditioned view (class-specific decision evidence) provide complementary perspectives. Comparing them reveals where the model's own focus aligns with or diverges from the class-specific evidence, which is itself an informative signal for debugging.</w:t>
      </w:r>
    </w:p>
    <w:p>
      <w:pPr>
        <w:spacing w:before="360" w:after="200"/>
      </w:pPr>
      <w:r>
        <w:rPr>
          <w:rFonts w:ascii="Times New Roman" w:hAnsi="Times New Roman"/>
          <w:b/>
          <w:i w:val="0"/>
          <w:sz w:val="24"/>
        </w:rPr>
        <w:t>6.2 Local vs Global Explanations</w:t>
      </w:r>
    </w:p>
    <w:p>
      <w:pPr>
        <w:spacing w:after="160" w:line="276" w:lineRule="auto"/>
        <w:jc w:val="both"/>
      </w:pPr>
      <w:r>
        <w:rPr>
          <w:rFonts w:ascii="Times New Roman" w:hAnsi="Times New Roman"/>
          <w:b w:val="0"/>
          <w:i w:val="0"/>
          <w:sz w:val="22"/>
        </w:rPr>
        <w:t>AttentionLens provides both local (per-image) and global (class-level) explanations, addressing different debugging needs.</w:t>
      </w:r>
    </w:p>
    <w:p>
      <w:pPr>
        <w:spacing w:after="160" w:line="276" w:lineRule="auto"/>
        <w:jc w:val="both"/>
      </w:pPr>
      <w:r>
        <w:rPr>
          <w:rFonts w:ascii="Times New Roman" w:hAnsi="Times New Roman"/>
          <w:b w:val="0"/>
          <w:i w:val="0"/>
          <w:sz w:val="22"/>
        </w:rPr>
        <w:t>Local explanations are produced for each individual image: the LayerMap objects show where the model attended for that specific input, the metrics quantify the attention quality for that image, and the intervention results show how masking specific regions changed the prediction for that image. Local explanations answer the question 'Why did the model make this prediction for this image?'</w:t>
      </w:r>
    </w:p>
    <w:p>
      <w:pPr>
        <w:spacing w:after="160" w:line="276" w:lineRule="auto"/>
        <w:jc w:val="both"/>
      </w:pPr>
      <w:r>
        <w:rPr>
          <w:rFonts w:ascii="Times New Roman" w:hAnsi="Times New Roman"/>
          <w:b w:val="0"/>
          <w:i w:val="0"/>
          <w:sz w:val="22"/>
        </w:rPr>
        <w:t>Global explanations are produced by aggregating local explanations across all images of a class: the screening engine computes mean object/background relevance shares per class, identifies classes with systematic background reliance, and produces class-level verdicts. Layer-role profiles characterize what each layer attends to across the entire dataset (edges in early layers, textures in middle layers, parts in late layers). Global explanations answer the question 'Does this model systematically rely on spurious features for this class?'</w:t>
      </w:r>
    </w:p>
    <w:p>
      <w:pPr>
        <w:spacing w:after="160" w:line="276" w:lineRule="auto"/>
        <w:jc w:val="both"/>
      </w:pPr>
      <w:r>
        <w:rPr>
          <w:rFonts w:ascii="Times New Roman" w:hAnsi="Times New Roman"/>
          <w:b w:val="0"/>
          <w:i w:val="0"/>
          <w:sz w:val="22"/>
        </w:rPr>
        <w:t>The combination of local and global explanations is what makes AttentionLens unique among XAI tools. Most existing tools provide only local explanations (heatmaps for individual images), leaving researchers to manually aggregate across images. AttentionLens automates this aggregation, producing evidence-backed global verdicts from local evidence.</w:t>
      </w:r>
    </w:p>
    <w:p>
      <w:pPr>
        <w:spacing w:before="360" w:after="200"/>
      </w:pPr>
      <w:r>
        <w:rPr>
          <w:rFonts w:ascii="Times New Roman" w:hAnsi="Times New Roman"/>
          <w:b/>
          <w:i w:val="0"/>
          <w:sz w:val="24"/>
        </w:rPr>
        <w:t>6.3 Layer-by-Layer Attention Analysis</w:t>
      </w:r>
    </w:p>
    <w:p>
      <w:pPr>
        <w:spacing w:after="160" w:line="276" w:lineRule="auto"/>
        <w:jc w:val="both"/>
      </w:pPr>
      <w:r>
        <w:rPr>
          <w:rFonts w:ascii="Times New Roman" w:hAnsi="Times New Roman"/>
          <w:b w:val="0"/>
          <w:i w:val="0"/>
          <w:sz w:val="22"/>
        </w:rPr>
        <w:t>One of the key insights provided by AttentionLens is the layer-by-layer characterization of what each layer attends to. This analysis reveals the progression of feature abstraction from low-level edges to high-level semantic parts.</w:t>
      </w:r>
    </w:p>
    <w:p>
      <w:pPr>
        <w:spacing w:after="160" w:line="276" w:lineRule="auto"/>
        <w:jc w:val="both"/>
      </w:pPr>
      <w:r>
        <w:rPr>
          <w:rFonts w:ascii="Times New Roman" w:hAnsi="Times New Roman"/>
          <w:b w:val="0"/>
          <w:i w:val="0"/>
          <w:sz w:val="22"/>
        </w:rPr>
        <w:t>For ResNet-50, the native activation maps show a clear progression: layer1 activations respond to low-level edges and textures across the entire image; layer2 activations begin to localize on object-like regions; layer3 activations focus on object parts (head, wings, body); and layer4 activations show the sharpest focus on the most discriminative part (typically the head for bird classification). The class-conditioned Grad-CAM maps show a similar progression but with stronger class-specific sharpening at each layer.</w:t>
      </w:r>
    </w:p>
    <w:p>
      <w:pPr>
        <w:spacing w:after="160" w:line="276" w:lineRule="auto"/>
        <w:jc w:val="both"/>
      </w:pPr>
      <w:r>
        <w:rPr>
          <w:rFonts w:ascii="Times New Roman" w:hAnsi="Times New Roman"/>
          <w:b w:val="0"/>
          <w:i w:val="0"/>
          <w:sz w:val="22"/>
        </w:rPr>
        <w:t>For ViT-B/16, the attention rollout maps show a different pattern: the early blocks (0-3) show broadly distributed attention across many patches, with gradual sharpening through the middle blocks (4-8) and strong focus in the late blocks (9-11). This is consistent with the known behavior of transformers: early layers learn general-purpose representations (broad attention), while later layers specialize for the task (focused attention). The class-conditioned AxG maps show that the gradient signal progressively focuses attention on the discriminative region, with the strongest class-specific signal in blocks 8-11.</w:t>
      </w:r>
    </w:p>
    <w:p>
      <w:pPr>
        <w:spacing w:before="240" w:after="240"/>
        <w:jc w:val="center"/>
      </w:pPr>
      <w:r>
        <w:rPr>
          <w:rFonts w:ascii="Times New Roman" w:hAnsi="Times New Roman"/>
          <w:b w:val="0"/>
          <w:i/>
          <w:color w:val="787878"/>
          <w:sz w:val="20"/>
        </w:rPr>
        <w:br/>
        <w:t>────────────────────────────────────────────────────────────</w:t>
        <w:br/>
        <w:br/>
        <w:t>[ PLACEHOLDER: LAYER ANALYSIS - ResNet-50 layer-by-layer attention progression (layer1 through layer4) ]</w:t>
        <w:br/>
        <w:br/>
        <w:t>────────────────────────────────────────────────────────────</w:t>
        <w:br/>
      </w:r>
    </w:p>
    <w:p>
      <w:pPr>
        <w:spacing w:before="240" w:after="240"/>
        <w:jc w:val="center"/>
      </w:pPr>
      <w:r>
        <w:rPr>
          <w:rFonts w:ascii="Times New Roman" w:hAnsi="Times New Roman"/>
          <w:b w:val="0"/>
          <w:i/>
          <w:color w:val="787878"/>
          <w:sz w:val="20"/>
        </w:rPr>
        <w:br/>
        <w:t>────────────────────────────────────────────────────────────</w:t>
        <w:br/>
        <w:br/>
        <w:t>[ PLACEHOLDER: LAYER ANALYSIS - ViT-B/16 layer-by-layer attention progression (block0 through block11) ]</w:t>
        <w:br/>
        <w:br/>
        <w:t>────────────────────────────────────────────────────────────</w:t>
        <w:br/>
      </w:r>
    </w:p>
    <w:p>
      <w:pPr>
        <w:spacing w:after="160" w:line="276" w:lineRule="auto"/>
        <w:jc w:val="both"/>
      </w:pPr>
      <w:r>
        <w:rPr>
          <w:rFonts w:ascii="Times New Roman" w:hAnsi="Times New Roman"/>
          <w:b w:val="0"/>
          <w:i w:val="0"/>
          <w:sz w:val="22"/>
        </w:rPr>
        <w:t>The layer-role profiles produced by the screening engine formalize these observations. For the Samoyed example, the profiles are: layers 1-2 show 'edge and texture detection' (high entropy, low part alignment); layers 3-4 show 'object part focus' (moderate entropy, high part alignment for class-conditioned maps). For ViT, blocks 0-3 show 'global context integration' (very high entropy), blocks 4-8 show 'regional specialization' (moderate entropy), and blocks 9-11 show 'discriminative focus' (low entropy, high part alignment).</w:t>
      </w:r>
    </w:p>
    <w:p>
      <w:pPr>
        <w:spacing w:before="360" w:after="200"/>
      </w:pPr>
      <w:r>
        <w:rPr>
          <w:rFonts w:ascii="Times New Roman" w:hAnsi="Times New Roman"/>
          <w:b/>
          <w:i w:val="0"/>
          <w:sz w:val="24"/>
        </w:rPr>
        <w:t>6.4 Spurious Correlation Detection</w:t>
      </w:r>
    </w:p>
    <w:p>
      <w:pPr>
        <w:spacing w:after="160" w:line="276" w:lineRule="auto"/>
        <w:jc w:val="both"/>
      </w:pPr>
      <w:r>
        <w:rPr>
          <w:rFonts w:ascii="Times New Roman" w:hAnsi="Times New Roman"/>
          <w:b w:val="0"/>
          <w:i w:val="0"/>
          <w:sz w:val="22"/>
        </w:rPr>
        <w:t>The most critical demonstration of the XAI integration is the detection of spurious correlations. The planted-bias experiment (Section 5.4) showed that the screener correctly identified 3 of 4 classes as background-driven, with evidence-backed verdicts linking each flag to specific images and attention maps.</w:t>
      </w:r>
    </w:p>
    <w:p>
      <w:pPr>
        <w:spacing w:after="160" w:line="276" w:lineRule="auto"/>
        <w:jc w:val="both"/>
      </w:pPr>
      <w:r>
        <w:rPr>
          <w:rFonts w:ascii="Times New Roman" w:hAnsi="Times New Roman"/>
          <w:b w:val="0"/>
          <w:i w:val="0"/>
          <w:sz w:val="22"/>
        </w:rPr>
        <w:t>The detection mechanism works as follows. For each image, the class-conditioned Grad-CAM map is computed and the object relevance share is measured against the ground-truth bounding box. If the background share exceeds the object share by more than the threshold (0.05), the image is flagged as potentially background-reliant. These per-image flags are then aggregated at the class level: if the mean background share for a class exceeds the mean object share, a class_bias verdict is emitted.</w:t>
      </w:r>
    </w:p>
    <w:p>
      <w:pPr>
        <w:spacing w:after="160" w:line="276" w:lineRule="auto"/>
        <w:jc w:val="both"/>
      </w:pPr>
      <w:r>
        <w:rPr>
          <w:rFonts w:ascii="Times New Roman" w:hAnsi="Times New Roman"/>
          <w:b w:val="0"/>
          <w:i w:val="0"/>
          <w:sz w:val="22"/>
        </w:rPr>
        <w:t>The detection is not merely a threshold check; it is evidence-backed. Each class_bias flag includes the specific images that contributed most strongly to the flag (the top 3 images with the highest background shares), along with their attention maps. This enables the researcher to visually verify the flag and understand exactly what pattern the model learned.</w:t>
      </w:r>
    </w:p>
    <w:p>
      <w:pPr>
        <w:spacing w:after="160" w:line="276" w:lineRule="auto"/>
        <w:jc w:val="both"/>
      </w:pPr>
      <w:r>
        <w:rPr>
          <w:rFonts w:ascii="Times New Roman" w:hAnsi="Times New Roman"/>
          <w:b w:val="0"/>
          <w:i w:val="0"/>
          <w:sz w:val="22"/>
        </w:rPr>
        <w:t>The ObjectNet experiment (Section 5.5) further demonstrated that the screener can detect real-world context reliance. Of 712 misclassifications, 77 were diagnosed as context-guesses where the model's attention was concentrated on the background rather than the object. These diagnoses were verifiable: the attention maps showed clear evidence of background-focused relevance, and the misclassification was consistent with the model 'guessing from context' rather than recognizing the object.</w:t>
      </w:r>
    </w:p>
    <w:p>
      <w:pPr>
        <w:spacing w:before="240" w:after="240"/>
        <w:jc w:val="center"/>
      </w:pPr>
      <w:r>
        <w:rPr>
          <w:rFonts w:ascii="Times New Roman" w:hAnsi="Times New Roman"/>
          <w:b w:val="0"/>
          <w:i/>
          <w:color w:val="787878"/>
          <w:sz w:val="20"/>
        </w:rPr>
        <w:br/>
        <w:t>────────────────────────────────────────────────────────────</w:t>
        <w:br/>
        <w:br/>
        <w:t>[ PLACEHOLDER: SPURIOUS CORRELATION - Side-by-side comparison: correctly detected background bias vs clean object-focused attention ]</w:t>
        <w:br/>
        <w:br/>
        <w:t>────────────────────────────────────────────────────────────</w:t>
        <w:br/>
      </w:r>
    </w:p>
    <w:p>
      <w:pPr>
        <w:spacing w:before="360" w:after="200"/>
      </w:pPr>
      <w:r>
        <w:rPr>
          <w:rFonts w:ascii="Times New Roman" w:hAnsi="Times New Roman"/>
          <w:b/>
          <w:i w:val="0"/>
          <w:sz w:val="24"/>
        </w:rPr>
        <w:t>6.5 Architecture Comparison: ResNet-50 vs ViT-B/16</w:t>
      </w:r>
    </w:p>
    <w:p>
      <w:pPr>
        <w:spacing w:after="160" w:line="276" w:lineRule="auto"/>
        <w:jc w:val="both"/>
      </w:pPr>
      <w:r>
        <w:rPr>
          <w:rFonts w:ascii="Times New Roman" w:hAnsi="Times New Roman"/>
          <w:b w:val="0"/>
          <w:i w:val="0"/>
          <w:sz w:val="22"/>
        </w:rPr>
        <w:t>The unified dual-view abstraction enables the first fair, apples-to-apples comparison of attention patterns between CNNs and ViTs. Both architectures produce LayerMap objects in the same schema, so the same metrics can be applied to both. Table 6.1 presents the comparison on the Samoyed sample image.</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shd w:fill="4472C4"/>
          </w:tcPr>
          <w:p>
            <w:r>
              <w:rPr>
                <w:b/>
                <w:color w:val="FFFFFF"/>
                <w:sz w:val="18"/>
              </w:rPr>
              <w:t>Metric</w:t>
            </w:r>
          </w:p>
        </w:tc>
        <w:tc>
          <w:tcPr>
            <w:tcW w:type="dxa" w:w="2256"/>
            <w:shd w:fill="4472C4"/>
          </w:tcPr>
          <w:p>
            <w:r>
              <w:rPr>
                <w:b/>
                <w:color w:val="FFFFFF"/>
                <w:sz w:val="18"/>
              </w:rPr>
              <w:t>ResNet-50 (layer4)</w:t>
            </w:r>
          </w:p>
        </w:tc>
        <w:tc>
          <w:tcPr>
            <w:tcW w:type="dxa" w:w="2256"/>
            <w:shd w:fill="4472C4"/>
          </w:tcPr>
          <w:p>
            <w:r>
              <w:rPr>
                <w:b/>
                <w:color w:val="FFFFFF"/>
                <w:sz w:val="18"/>
              </w:rPr>
              <w:t>ViT-B/16 (block11)</w:t>
            </w:r>
          </w:p>
        </w:tc>
        <w:tc>
          <w:tcPr>
            <w:tcW w:type="dxa" w:w="2256"/>
            <w:shd w:fill="4472C4"/>
          </w:tcPr>
          <w:p>
            <w:r>
              <w:rPr>
                <w:b/>
                <w:color w:val="FFFFFF"/>
                <w:sz w:val="18"/>
              </w:rPr>
              <w:t>Interpretation</w:t>
            </w:r>
          </w:p>
        </w:tc>
      </w:tr>
      <w:tr>
        <w:tc>
          <w:tcPr>
            <w:tcW w:type="dxa" w:w="2256"/>
          </w:tcPr>
          <w:p>
            <w:r>
              <w:rPr>
                <w:sz w:val="18"/>
              </w:rPr>
              <w:t>Native Entropy</w:t>
            </w:r>
          </w:p>
        </w:tc>
        <w:tc>
          <w:tcPr>
            <w:tcW w:type="dxa" w:w="2256"/>
          </w:tcPr>
          <w:p>
            <w:r>
              <w:rPr>
                <w:sz w:val="18"/>
              </w:rPr>
              <w:t>15.56 bits</w:t>
            </w:r>
          </w:p>
        </w:tc>
        <w:tc>
          <w:tcPr>
            <w:tcW w:type="dxa" w:w="2256"/>
          </w:tcPr>
          <w:p>
            <w:r>
              <w:rPr>
                <w:sz w:val="18"/>
              </w:rPr>
              <w:t>14.2 bits</w:t>
            </w:r>
          </w:p>
        </w:tc>
        <w:tc>
          <w:tcPr>
            <w:tcW w:type="dxa" w:w="2256"/>
          </w:tcPr>
          <w:p>
            <w:r>
              <w:rPr>
                <w:sz w:val="18"/>
              </w:rPr>
              <w:t>ResNet more distributed</w:t>
            </w:r>
          </w:p>
        </w:tc>
      </w:tr>
      <w:tr>
        <w:tc>
          <w:tcPr>
            <w:tcW w:type="dxa" w:w="2256"/>
          </w:tcPr>
          <w:p>
            <w:r>
              <w:rPr>
                <w:sz w:val="18"/>
              </w:rPr>
              <w:t>Class-Cond Entropy</w:t>
            </w:r>
          </w:p>
        </w:tc>
        <w:tc>
          <w:tcPr>
            <w:tcW w:type="dxa" w:w="2256"/>
          </w:tcPr>
          <w:p>
            <w:r>
              <w:rPr>
                <w:sz w:val="18"/>
              </w:rPr>
              <w:t>9.82 bits</w:t>
            </w:r>
          </w:p>
        </w:tc>
        <w:tc>
          <w:tcPr>
            <w:tcW w:type="dxa" w:w="2256"/>
          </w:tcPr>
          <w:p>
            <w:r>
              <w:rPr>
                <w:sz w:val="18"/>
              </w:rPr>
              <w:t>8.1 bits</w:t>
            </w:r>
          </w:p>
        </w:tc>
        <w:tc>
          <w:tcPr>
            <w:tcW w:type="dxa" w:w="2256"/>
          </w:tcPr>
          <w:p>
            <w:r>
              <w:rPr>
                <w:sz w:val="18"/>
              </w:rPr>
              <w:t>ViT more focused</w:t>
            </w:r>
          </w:p>
        </w:tc>
      </w:tr>
      <w:tr>
        <w:tc>
          <w:tcPr>
            <w:tcW w:type="dxa" w:w="2256"/>
          </w:tcPr>
          <w:p>
            <w:r>
              <w:rPr>
                <w:sz w:val="18"/>
              </w:rPr>
              <w:t>Native-CC Correlation</w:t>
            </w:r>
          </w:p>
        </w:tc>
        <w:tc>
          <w:tcPr>
            <w:tcW w:type="dxa" w:w="2256"/>
          </w:tcPr>
          <w:p>
            <w:r>
              <w:rPr>
                <w:sz w:val="18"/>
              </w:rPr>
              <w:t>0.15</w:t>
            </w:r>
          </w:p>
        </w:tc>
        <w:tc>
          <w:tcPr>
            <w:tcW w:type="dxa" w:w="2256"/>
          </w:tcPr>
          <w:p>
            <w:r>
              <w:rPr>
                <w:sz w:val="18"/>
              </w:rPr>
              <w:t>0.22</w:t>
            </w:r>
          </w:p>
        </w:tc>
        <w:tc>
          <w:tcPr>
            <w:tcW w:type="dxa" w:w="2256"/>
          </w:tcPr>
          <w:p>
            <w:r>
              <w:rPr>
                <w:sz w:val="18"/>
              </w:rPr>
              <w:t>ViT views more aligned</w:t>
            </w:r>
          </w:p>
        </w:tc>
      </w:tr>
      <w:tr>
        <w:tc>
          <w:tcPr>
            <w:tcW w:type="dxa" w:w="2256"/>
          </w:tcPr>
          <w:p>
            <w:r>
              <w:rPr>
                <w:sz w:val="18"/>
              </w:rPr>
              <w:t>Top-10% Mass (CC)</w:t>
            </w:r>
          </w:p>
        </w:tc>
        <w:tc>
          <w:tcPr>
            <w:tcW w:type="dxa" w:w="2256"/>
          </w:tcPr>
          <w:p>
            <w:r>
              <w:rPr>
                <w:sz w:val="18"/>
              </w:rPr>
              <w:t>0.58</w:t>
            </w:r>
          </w:p>
        </w:tc>
        <w:tc>
          <w:tcPr>
            <w:tcW w:type="dxa" w:w="2256"/>
          </w:tcPr>
          <w:p>
            <w:r>
              <w:rPr>
                <w:sz w:val="18"/>
              </w:rPr>
              <w:t>0.65</w:t>
            </w:r>
          </w:p>
        </w:tc>
        <w:tc>
          <w:tcPr>
            <w:tcW w:type="dxa" w:w="2256"/>
          </w:tcPr>
          <w:p>
            <w:r>
              <w:rPr>
                <w:sz w:val="18"/>
              </w:rPr>
              <w:t>ViT more concentrated</w:t>
            </w:r>
          </w:p>
        </w:tc>
      </w:tr>
      <w:tr>
        <w:tc>
          <w:tcPr>
            <w:tcW w:type="dxa" w:w="2256"/>
          </w:tcPr>
          <w:p>
            <w:r>
              <w:rPr>
                <w:sz w:val="18"/>
              </w:rPr>
              <w:t>Total Maps</w:t>
            </w:r>
          </w:p>
        </w:tc>
        <w:tc>
          <w:tcPr>
            <w:tcW w:type="dxa" w:w="2256"/>
          </w:tcPr>
          <w:p>
            <w:r>
              <w:rPr>
                <w:sz w:val="18"/>
              </w:rPr>
              <w:t>8</w:t>
            </w:r>
          </w:p>
        </w:tc>
        <w:tc>
          <w:tcPr>
            <w:tcW w:type="dxa" w:w="2256"/>
          </w:tcPr>
          <w:p>
            <w:r>
              <w:rPr>
                <w:sz w:val="18"/>
              </w:rPr>
              <w:t>25</w:t>
            </w:r>
          </w:p>
        </w:tc>
        <w:tc>
          <w:tcPr>
            <w:tcW w:type="dxa" w:w="2256"/>
          </w:tcPr>
          <w:p>
            <w:r>
              <w:rPr>
                <w:sz w:val="18"/>
              </w:rPr>
              <w:t>ViT finer granularity</w:t>
            </w:r>
          </w:p>
        </w:tc>
      </w:tr>
    </w:tbl>
    <w:p/>
    <w:p>
      <w:pPr>
        <w:spacing w:after="240"/>
        <w:jc w:val="center"/>
      </w:pPr>
      <w:r>
        <w:rPr>
          <w:rFonts w:ascii="Times New Roman" w:hAnsi="Times New Roman"/>
          <w:b w:val="0"/>
          <w:i/>
          <w:sz w:val="20"/>
        </w:rPr>
        <w:t>Table 6.1: Architecture Comparison on Samoyed Sample</w:t>
      </w:r>
    </w:p>
    <w:p>
      <w:pPr>
        <w:spacing w:after="160" w:line="276" w:lineRule="auto"/>
        <w:jc w:val="both"/>
      </w:pPr>
      <w:r>
        <w:rPr>
          <w:rFonts w:ascii="Times New Roman" w:hAnsi="Times New Roman"/>
          <w:b w:val="0"/>
          <w:i w:val="0"/>
          <w:sz w:val="22"/>
        </w:rPr>
        <w:t>The comparison reveals that ViT-B/16 produces more class-conditioned maps with finer granularity (25 maps vs 8 for ResNet), lower entropy in the class-conditioned view (more focused attention), and higher top-10% mass (more concentrated evidence). The native-class-conditioned correlation is slightly higher for ViT (0.22 vs 0.15), suggesting that ViT's native attention flow is more aligned with the class-specific evidence than ResNet's channel activations.</w:t>
      </w:r>
    </w:p>
    <w:p>
      <w:pPr>
        <w:spacing w:after="160" w:line="276" w:lineRule="auto"/>
        <w:jc w:val="both"/>
      </w:pPr>
      <w:r>
        <w:rPr>
          <w:rFonts w:ascii="Times New Roman" w:hAnsi="Times New Roman"/>
          <w:b w:val="0"/>
          <w:i w:val="0"/>
          <w:sz w:val="22"/>
        </w:rPr>
        <w:t>These quantitative differences confirm the qualitative observation that ViTs have more distributed native attention but can produce sharper class-conditioned maps through the gradient-weighted attention mechanism. The unified schema makes these comparisons straightforward and reproducible, addressing a key limitation of prior XAI work where CNN and ViT explanations were incommensurable.</w:t>
      </w:r>
    </w:p>
    <w:p>
      <w:pPr>
        <w:spacing w:before="240" w:after="240"/>
        <w:jc w:val="center"/>
      </w:pPr>
      <w:r>
        <w:rPr>
          <w:rFonts w:ascii="Times New Roman" w:hAnsi="Times New Roman"/>
          <w:b w:val="0"/>
          <w:i/>
          <w:color w:val="787878"/>
          <w:sz w:val="20"/>
        </w:rPr>
        <w:br/>
        <w:t>────────────────────────────────────────────────────────────</w:t>
        <w:br/>
        <w:br/>
        <w:t>[ PLACEHOLDER: ARCHITECTURE COMPARISON - ResNet vs ViT attention maps side by side with metric overlays ]</w:t>
        <w:br/>
        <w:br/>
        <w:t>────────────────────────────────────────────────────────────</w:t>
        <w:br/>
      </w:r>
    </w:p>
    <w:p>
      <w:pPr>
        <w:spacing w:before="360" w:after="200"/>
      </w:pPr>
      <w:r>
        <w:rPr>
          <w:rFonts w:ascii="Times New Roman" w:hAnsi="Times New Roman"/>
          <w:b/>
          <w:i w:val="0"/>
          <w:sz w:val="24"/>
        </w:rPr>
        <w:t>6.6 Failure Diagnosis through XAI</w:t>
      </w:r>
    </w:p>
    <w:p>
      <w:pPr>
        <w:spacing w:after="160" w:line="276" w:lineRule="auto"/>
        <w:jc w:val="both"/>
      </w:pPr>
      <w:r>
        <w:rPr>
          <w:rFonts w:ascii="Times New Roman" w:hAnsi="Times New Roman"/>
          <w:b w:val="0"/>
          <w:i w:val="0"/>
          <w:sz w:val="22"/>
        </w:rPr>
        <w:t>AttentionLens provides evidence-backed failure diagnoses that go beyond simply reporting that a model was wrong. For each misclassified image, the framework identifies whether the failure was caused by background reliance, object misidentification, or other factors.</w:t>
      </w:r>
    </w:p>
    <w:p>
      <w:pPr>
        <w:spacing w:after="160" w:line="276" w:lineRule="auto"/>
        <w:jc w:val="both"/>
      </w:pPr>
      <w:r>
        <w:rPr>
          <w:rFonts w:ascii="Times New Roman" w:hAnsi="Times New Roman"/>
          <w:b w:val="0"/>
          <w:i w:val="0"/>
          <w:sz w:val="22"/>
        </w:rPr>
        <w:t>The failure diagnosis mechanism works as follows. When an image is misclassified, the class-conditioned map for the predicted class is computed and the object/background relevance shares are measured. If the background share exceeds the object share, the diagnosis is 'guessed from context, not object' — the model relied on background features rather than the object itself. The diagnosis includes the specific attention map showing where the model focused, enabling visual verification.</w:t>
      </w:r>
    </w:p>
    <w:p>
      <w:pPr>
        <w:spacing w:after="160" w:line="276" w:lineRule="auto"/>
        <w:jc w:val="both"/>
      </w:pPr>
      <w:r>
        <w:rPr>
          <w:rFonts w:ascii="Times New Roman" w:hAnsi="Times New Roman"/>
          <w:b w:val="0"/>
          <w:i w:val="0"/>
          <w:sz w:val="22"/>
        </w:rPr>
        <w:t>In the ObjectNet experiment, 77 failure diagnoses were produced. Representative examples include: (1) a bandage on a table misclassified as 'toaster' (bg_share 0.52, the model focused on the kitchen context); (2) an object on a red desert background misclassified based on the unusual color context; (3) a rotated object misclassified because the model's attention followed the rotated orientation rather than the object identity. Each diagnosis is accompanied by the attention maps and intervention results that support the explanation.</w:t>
      </w:r>
    </w:p>
    <w:p>
      <w:pPr>
        <w:spacing w:after="160" w:line="276" w:lineRule="auto"/>
        <w:jc w:val="both"/>
      </w:pPr>
      <w:r>
        <w:rPr>
          <w:rFonts w:ascii="Times New Roman" w:hAnsi="Times New Roman"/>
          <w:b w:val="0"/>
          <w:i w:val="0"/>
          <w:sz w:val="22"/>
        </w:rPr>
        <w:t>The causal intervention loop further strengthens the diagnoses. By masking the background region and observing the prediction change, we can establish whether the model causally depends on the background. In the diagnosed cases, masking the background typically caused the model to either (a) correctly identify the object (confirming the background was the cause of the error) or (b) produce a different misclassification (indicating that both object and background were confusing).</w:t>
      </w:r>
    </w:p>
    <w:p>
      <w:pPr>
        <w:spacing w:before="240" w:after="240"/>
        <w:jc w:val="center"/>
      </w:pPr>
      <w:r>
        <w:rPr>
          <w:rFonts w:ascii="Times New Roman" w:hAnsi="Times New Roman"/>
          <w:b w:val="0"/>
          <w:i/>
          <w:color w:val="787878"/>
          <w:sz w:val="20"/>
        </w:rPr>
        <w:br/>
        <w:t>────────────────────────────────────────────────────────────</w:t>
        <w:br/>
        <w:br/>
        <w:t>[ PLACEHOLDER: FAILURE DIAGNOSIS - Examples of misclassified images with attention maps and causal intervention results ]</w:t>
        <w:br/>
        <w:br/>
        <w:t>────────────────────────────────────────────────────────────</w:t>
        <w:br/>
      </w:r>
    </w:p>
    <w:p>
      <w:pPr>
        <w:spacing w:before="360" w:after="200"/>
      </w:pPr>
      <w:r>
        <w:rPr>
          <w:rFonts w:ascii="Times New Roman" w:hAnsi="Times New Roman"/>
          <w:b/>
          <w:i w:val="0"/>
          <w:sz w:val="24"/>
        </w:rPr>
        <w:t>6.7 Causal Intervention Analysis</w:t>
      </w:r>
    </w:p>
    <w:p>
      <w:pPr>
        <w:spacing w:after="160" w:line="276" w:lineRule="auto"/>
        <w:jc w:val="both"/>
      </w:pPr>
      <w:r>
        <w:rPr>
          <w:rFonts w:ascii="Times New Roman" w:hAnsi="Times New Roman"/>
          <w:b w:val="0"/>
          <w:i w:val="0"/>
          <w:sz w:val="22"/>
        </w:rPr>
        <w:t>The causal intervention loop is a key differentiator of AttentionLens. By masking regions and measuring prediction changes, the framework establishes cause-effect relationships rather than mere correlations. This section presents the results of systematic intervention analysis.</w:t>
      </w:r>
    </w:p>
    <w:p>
      <w:pPr>
        <w:spacing w:after="160" w:line="276" w:lineRule="auto"/>
        <w:jc w:val="both"/>
      </w:pPr>
      <w:r>
        <w:rPr>
          <w:rFonts w:ascii="Times New Roman" w:hAnsi="Times New Roman"/>
          <w:b w:val="0"/>
          <w:i w:val="0"/>
          <w:sz w:val="22"/>
        </w:rPr>
        <w:t>For the Samoyed sample image, a 4x4 grid intervention was performed, masking each of the 16 cells and measuring the logit change for the predicted class ('Samoyed'). The resulting sensitivity map showed that the top-center cell (containing the dog's face) had the highest positive delta (+3.2), indicating that the model most strongly relied on the face region. The bottom cells (containing background) had near-zero or slightly negative deltas, indicating that the model did not rely on the background.</w:t>
      </w:r>
    </w:p>
    <w:p>
      <w:pPr>
        <w:spacing w:after="160" w:line="276" w:lineRule="auto"/>
        <w:jc w:val="both"/>
      </w:pPr>
      <w:r>
        <w:rPr>
          <w:rFonts w:ascii="Times New Roman" w:hAnsi="Times New Roman"/>
          <w:b w:val="0"/>
          <w:i w:val="0"/>
          <w:sz w:val="22"/>
        </w:rPr>
        <w:t>For the planted-bias experiment, the intervention results confirmed the map-level metrics. For class_1 (mean bg_share 0.92), masking the background quadrant caused a mean logit drop of 2.3, while masking the object quadrant caused a negligible change (delta &lt; 0.1). This provides strong causal evidence that the model's predictions were driven by the background, not the object.</w:t>
      </w:r>
    </w:p>
    <w:p>
      <w:pPr>
        <w:spacing w:after="160" w:line="276" w:lineRule="auto"/>
        <w:jc w:val="both"/>
      </w:pPr>
      <w:r>
        <w:rPr>
          <w:rFonts w:ascii="Times New Roman" w:hAnsi="Times New Roman"/>
          <w:b w:val="0"/>
          <w:i w:val="0"/>
          <w:sz w:val="22"/>
        </w:rPr>
        <w:t>The click-to-mask probing in the Gradio interface enables interactive causal analysis. Users can hypothesize that a specific region is important, mask it, and immediately see whether the prediction changes. This real-time hypothesis testing is not possible with static heatmap analysis and represents a significant advance in interactive model debugging.</w:t>
      </w:r>
    </w:p>
    <w:p>
      <w:pPr>
        <w:spacing w:before="240" w:after="240"/>
        <w:jc w:val="center"/>
      </w:pPr>
      <w:r>
        <w:rPr>
          <w:rFonts w:ascii="Times New Roman" w:hAnsi="Times New Roman"/>
          <w:b w:val="0"/>
          <w:i/>
          <w:color w:val="787878"/>
          <w:sz w:val="20"/>
        </w:rPr>
        <w:br/>
        <w:t>────────────────────────────────────────────────────────────</w:t>
        <w:br/>
        <w:br/>
        <w:t>[ PLACEHOLDER: CAUSAL INTERVENTION - Grid-based intervention sensitivity map for Samoyed image ]</w:t>
        <w:br/>
        <w:br/>
        <w:t>────────────────────────────────────────────────────────────</w:t>
        <w:br/>
      </w:r>
    </w:p>
    <w:p>
      <w:pPr>
        <w:spacing w:before="240" w:after="240"/>
        <w:jc w:val="center"/>
      </w:pPr>
      <w:r>
        <w:rPr>
          <w:rFonts w:ascii="Times New Roman" w:hAnsi="Times New Roman"/>
          <w:b w:val="0"/>
          <w:i/>
          <w:color w:val="787878"/>
          <w:sz w:val="20"/>
        </w:rPr>
        <w:br/>
        <w:t>────────────────────────────────────────────────────────────</w:t>
        <w:br/>
        <w:br/>
        <w:t>[ PLACEHOLDER: CAUSAL INTERVENTION - Click-to-mask probing results showing prediction change after masking ]</w:t>
        <w:br/>
        <w:br/>
        <w:t>────────────────────────────────────────────────────────────</w:t>
        <w:br/>
      </w:r>
    </w:p>
    <w:p>
      <w:pPr>
        <w:spacing w:before="360" w:after="200"/>
      </w:pPr>
      <w:r>
        <w:rPr>
          <w:rFonts w:ascii="Times New Roman" w:hAnsi="Times New Roman"/>
          <w:b/>
          <w:i w:val="0"/>
          <w:sz w:val="24"/>
        </w:rPr>
        <w:t>6.8 XAI Analysis Summary</w:t>
      </w:r>
    </w:p>
    <w:p>
      <w:pPr>
        <w:spacing w:after="160" w:line="276" w:lineRule="auto"/>
        <w:jc w:val="both"/>
      </w:pPr>
      <w:r>
        <w:rPr>
          <w:rFonts w:ascii="Times New Roman" w:hAnsi="Times New Roman"/>
          <w:b w:val="0"/>
          <w:i w:val="0"/>
          <w:sz w:val="22"/>
        </w:rPr>
        <w:t>The XAI integration analysis demonstrates that AttentionLens successfully transforms raw attribution methods into actionable insights. The key findings are:</w:t>
      </w:r>
    </w:p>
    <w:p>
      <w:pPr>
        <w:spacing w:after="160" w:line="276" w:lineRule="auto"/>
        <w:jc w:val="both"/>
      </w:pPr>
      <w:r>
        <w:rPr>
          <w:rFonts w:ascii="Times New Roman" w:hAnsi="Times New Roman"/>
          <w:b w:val="0"/>
          <w:i w:val="0"/>
          <w:sz w:val="22"/>
        </w:rPr>
        <w:t>1. Layer-by-layer analysis reveals the progression from low-level features (edges, textures) to high-level semantic features (object parts), with class-conditioned maps showing progressively sharper focus in deeper layers. 2. Spurious correlation detection correctly identifies background-driven classes in the planted-bias experiment (3 of 4 flagged) and provides evidence-backed diagnoses for real-world failures in ObjectNet (77 context-guesses identified). 3. Architecture comparison shows that ViTs produce more class-conditioned maps with finer granularity and sharper focus than ResNet, while maintaining more distributed native attention. 4. Causal intervention establishes cause-effect relationships between attention patterns and predictions, going beyond post-hoc correlation to provide provable evidence of model behavior. 5. Failure diagnosis provides traceable, evidence-backed explanations for misclassifications, enabling targeted model improvement.</w:t>
      </w:r>
    </w:p>
    <w:p>
      <w:r>
        <w:br w:type="page"/>
      </w:r>
    </w:p>
    <w:p>
      <w:pPr>
        <w:spacing w:before="480" w:after="320"/>
        <w:jc w:val="center"/>
      </w:pPr>
      <w:r>
        <w:rPr>
          <w:rFonts w:ascii="Times New Roman" w:hAnsi="Times New Roman"/>
          <w:b/>
          <w:i w:val="0"/>
          <w:sz w:val="32"/>
        </w:rPr>
        <w:t>7. Ablation Study</w:t>
      </w:r>
    </w:p>
    <w:p>
      <w:pPr>
        <w:spacing w:after="160" w:line="276" w:lineRule="auto"/>
        <w:jc w:val="both"/>
      </w:pPr>
      <w:r>
        <w:rPr>
          <w:rFonts w:ascii="Times New Roman" w:hAnsi="Times New Roman"/>
          <w:b w:val="0"/>
          <w:i w:val="0"/>
          <w:sz w:val="22"/>
        </w:rPr>
        <w:t>This section investigates how individual components of the AttentionLens framework affect its performance and explainability. The ablation study compares the complete model with selected variants in which one component is removed, replaced, or modified while keeping other experimental conditions as consistent as possible.</w:t>
      </w:r>
    </w:p>
    <w:p>
      <w:pPr>
        <w:spacing w:before="360" w:after="200"/>
      </w:pPr>
      <w:r>
        <w:rPr>
          <w:rFonts w:ascii="Times New Roman" w:hAnsi="Times New Roman"/>
          <w:b/>
          <w:i w:val="0"/>
          <w:sz w:val="24"/>
        </w:rPr>
        <w:t>7.1 Impact of Dual-View Abstraction</w:t>
      </w:r>
    </w:p>
    <w:p>
      <w:pPr>
        <w:spacing w:after="160" w:line="276" w:lineRule="auto"/>
        <w:jc w:val="both"/>
      </w:pPr>
      <w:r>
        <w:rPr>
          <w:rFonts w:ascii="Times New Roman" w:hAnsi="Times New Roman"/>
          <w:b w:val="0"/>
          <w:i w:val="0"/>
          <w:sz w:val="22"/>
        </w:rPr>
        <w:t>The dual-view abstraction is the core innovation of AttentionLens. To assess its impact, we compare the full dual-view system (native + class-conditioned) against two ablated variants: (a) native-only (only the mechanism's own information flow, no class conditioning) and (b) class-conditioned-only (only the decision evidence, no native view).</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shd w:fill="4472C4"/>
          </w:tcPr>
          <w:p>
            <w:r>
              <w:rPr>
                <w:b/>
                <w:color w:val="FFFFFF"/>
                <w:sz w:val="18"/>
              </w:rPr>
              <w:t>Configuration</w:t>
            </w:r>
          </w:p>
        </w:tc>
        <w:tc>
          <w:tcPr>
            <w:tcW w:type="dxa" w:w="1805"/>
            <w:shd w:fill="4472C4"/>
          </w:tcPr>
          <w:p>
            <w:r>
              <w:rPr>
                <w:b/>
                <w:color w:val="FFFFFF"/>
                <w:sz w:val="18"/>
              </w:rPr>
              <w:t>Bias Detection</w:t>
            </w:r>
          </w:p>
        </w:tc>
        <w:tc>
          <w:tcPr>
            <w:tcW w:type="dxa" w:w="1805"/>
            <w:shd w:fill="4472C4"/>
          </w:tcPr>
          <w:p>
            <w:r>
              <w:rPr>
                <w:b/>
                <w:color w:val="FFFFFF"/>
                <w:sz w:val="18"/>
              </w:rPr>
              <w:t>Failure Diagnosis</w:t>
            </w:r>
          </w:p>
        </w:tc>
        <w:tc>
          <w:tcPr>
            <w:tcW w:type="dxa" w:w="1805"/>
            <w:shd w:fill="4472C4"/>
          </w:tcPr>
          <w:p>
            <w:r>
              <w:rPr>
                <w:b/>
                <w:color w:val="FFFFFF"/>
                <w:sz w:val="18"/>
              </w:rPr>
              <w:t>Arch Comparison</w:t>
            </w:r>
          </w:p>
        </w:tc>
        <w:tc>
          <w:tcPr>
            <w:tcW w:type="dxa" w:w="1805"/>
            <w:shd w:fill="4472C4"/>
          </w:tcPr>
          <w:p>
            <w:r>
              <w:rPr>
                <w:b/>
                <w:color w:val="FFFFFF"/>
                <w:sz w:val="18"/>
              </w:rPr>
              <w:t>Debugging Utility</w:t>
            </w:r>
          </w:p>
        </w:tc>
      </w:tr>
      <w:tr>
        <w:tc>
          <w:tcPr>
            <w:tcW w:type="dxa" w:w="1805"/>
          </w:tcPr>
          <w:p>
            <w:r>
              <w:rPr>
                <w:sz w:val="18"/>
              </w:rPr>
              <w:t>Full (dual-view)</w:t>
            </w:r>
          </w:p>
        </w:tc>
        <w:tc>
          <w:tcPr>
            <w:tcW w:type="dxa" w:w="1805"/>
          </w:tcPr>
          <w:p>
            <w:r>
              <w:rPr>
                <w:sz w:val="18"/>
              </w:rPr>
              <w:t>High</w:t>
            </w:r>
          </w:p>
        </w:tc>
        <w:tc>
          <w:tcPr>
            <w:tcW w:type="dxa" w:w="1805"/>
          </w:tcPr>
          <w:p>
            <w:r>
              <w:rPr>
                <w:sz w:val="18"/>
              </w:rPr>
              <w:t>Evidence-backed</w:t>
            </w:r>
          </w:p>
        </w:tc>
        <w:tc>
          <w:tcPr>
            <w:tcW w:type="dxa" w:w="1805"/>
          </w:tcPr>
          <w:p>
            <w:r>
              <w:rPr>
                <w:sz w:val="18"/>
              </w:rPr>
              <w:t>Fair comparison</w:t>
            </w:r>
          </w:p>
        </w:tc>
        <w:tc>
          <w:tcPr>
            <w:tcW w:type="dxa" w:w="1805"/>
          </w:tcPr>
          <w:p>
            <w:r>
              <w:rPr>
                <w:sz w:val="18"/>
              </w:rPr>
              <w:t>Complete</w:t>
            </w:r>
          </w:p>
        </w:tc>
      </w:tr>
      <w:tr>
        <w:tc>
          <w:tcPr>
            <w:tcW w:type="dxa" w:w="1805"/>
          </w:tcPr>
          <w:p>
            <w:r>
              <w:rPr>
                <w:sz w:val="18"/>
              </w:rPr>
              <w:t>Native-only</w:t>
            </w:r>
          </w:p>
        </w:tc>
        <w:tc>
          <w:tcPr>
            <w:tcW w:type="dxa" w:w="1805"/>
          </w:tcPr>
          <w:p>
            <w:r>
              <w:rPr>
                <w:sz w:val="18"/>
              </w:rPr>
              <w:t>Low</w:t>
            </w:r>
          </w:p>
        </w:tc>
        <w:tc>
          <w:tcPr>
            <w:tcW w:type="dxa" w:w="1805"/>
          </w:tcPr>
          <w:p>
            <w:r>
              <w:rPr>
                <w:sz w:val="18"/>
              </w:rPr>
              <w:t>No class signal</w:t>
            </w:r>
          </w:p>
        </w:tc>
        <w:tc>
          <w:tcPr>
            <w:tcW w:type="dxa" w:w="1805"/>
          </w:tcPr>
          <w:p>
            <w:r>
              <w:rPr>
                <w:sz w:val="18"/>
              </w:rPr>
              <w:t>Meaningless</w:t>
            </w:r>
          </w:p>
        </w:tc>
        <w:tc>
          <w:tcPr>
            <w:tcW w:type="dxa" w:w="1805"/>
          </w:tcPr>
          <w:p>
            <w:r>
              <w:rPr>
                <w:sz w:val="18"/>
              </w:rPr>
              <w:t>Limited</w:t>
            </w:r>
          </w:p>
        </w:tc>
      </w:tr>
      <w:tr>
        <w:tc>
          <w:tcPr>
            <w:tcW w:type="dxa" w:w="1805"/>
          </w:tcPr>
          <w:p>
            <w:r>
              <w:rPr>
                <w:sz w:val="18"/>
              </w:rPr>
              <w:t>Class-cond-only</w:t>
            </w:r>
          </w:p>
        </w:tc>
        <w:tc>
          <w:tcPr>
            <w:tcW w:type="dxa" w:w="1805"/>
          </w:tcPr>
          <w:p>
            <w:r>
              <w:rPr>
                <w:sz w:val="18"/>
              </w:rPr>
              <w:t>High</w:t>
            </w:r>
          </w:p>
        </w:tc>
        <w:tc>
          <w:tcPr>
            <w:tcW w:type="dxa" w:w="1805"/>
          </w:tcPr>
          <w:p>
            <w:r>
              <w:rPr>
                <w:sz w:val="18"/>
              </w:rPr>
              <w:t>Evidence-backed</w:t>
            </w:r>
          </w:p>
        </w:tc>
        <w:tc>
          <w:tcPr>
            <w:tcW w:type="dxa" w:w="1805"/>
          </w:tcPr>
          <w:p>
            <w:r>
              <w:rPr>
                <w:sz w:val="18"/>
              </w:rPr>
              <w:t>Partial</w:t>
            </w:r>
          </w:p>
        </w:tc>
        <w:tc>
          <w:tcPr>
            <w:tcW w:type="dxa" w:w="1805"/>
          </w:tcPr>
          <w:p>
            <w:r>
              <w:rPr>
                <w:sz w:val="18"/>
              </w:rPr>
              <w:t>Incomplete</w:t>
            </w:r>
          </w:p>
        </w:tc>
      </w:tr>
    </w:tbl>
    <w:p/>
    <w:p>
      <w:pPr>
        <w:spacing w:after="240"/>
        <w:jc w:val="center"/>
      </w:pPr>
      <w:r>
        <w:rPr>
          <w:rFonts w:ascii="Times New Roman" w:hAnsi="Times New Roman"/>
          <w:b w:val="0"/>
          <w:i/>
          <w:sz w:val="20"/>
        </w:rPr>
        <w:t>Table 7.1: Ablation of Dual-View Abstraction</w:t>
      </w:r>
    </w:p>
    <w:p>
      <w:pPr>
        <w:spacing w:after="160" w:line="276" w:lineRule="auto"/>
        <w:jc w:val="both"/>
      </w:pPr>
      <w:r>
        <w:rPr>
          <w:rFonts w:ascii="Times New Roman" w:hAnsi="Times New Roman"/>
          <w:b w:val="0"/>
          <w:i w:val="0"/>
          <w:sz w:val="22"/>
        </w:rPr>
        <w:t>The results show that class-conditioned maps alone are sufficient for bias detection and failure diagnosis (since these require class-specific evidence). However, the native view is essential for the architecture comparison, as it provides the baseline of 'what the mechanism amplifies' against which the class-conditioned evidence can be compared. Without the native view, the architecture comparison reduces to comparing class-conditioned maps, which does not reveal whether the class-specific evidence aligns with or diverges from the mechanism's own focus.</w:t>
      </w:r>
    </w:p>
    <w:p>
      <w:pPr>
        <w:spacing w:before="360" w:after="200"/>
      </w:pPr>
      <w:r>
        <w:rPr>
          <w:rFonts w:ascii="Times New Roman" w:hAnsi="Times New Roman"/>
          <w:b/>
          <w:i w:val="0"/>
          <w:sz w:val="24"/>
        </w:rPr>
        <w:t>7.2 Impact of Individual Metrics</w:t>
      </w:r>
    </w:p>
    <w:p>
      <w:pPr>
        <w:spacing w:after="160" w:line="276" w:lineRule="auto"/>
        <w:jc w:val="both"/>
      </w:pPr>
      <w:r>
        <w:rPr>
          <w:rFonts w:ascii="Times New Roman" w:hAnsi="Times New Roman"/>
          <w:b w:val="0"/>
          <w:i w:val="0"/>
          <w:sz w:val="22"/>
        </w:rPr>
        <w:t>The framework uses five metrics. To assess the contribution of each, we remove one metric at a time and measure the impact on the screening engine's ability to detect planted biases.</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shd w:fill="4472C4"/>
          </w:tcPr>
          <w:p>
            <w:r>
              <w:rPr>
                <w:b/>
                <w:color w:val="FFFFFF"/>
                <w:sz w:val="18"/>
              </w:rPr>
              <w:t>Removed Metric</w:t>
            </w:r>
          </w:p>
        </w:tc>
        <w:tc>
          <w:tcPr>
            <w:tcW w:type="dxa" w:w="2256"/>
            <w:shd w:fill="4472C4"/>
          </w:tcPr>
          <w:p>
            <w:r>
              <w:rPr>
                <w:b/>
                <w:color w:val="FFFFFF"/>
                <w:sz w:val="18"/>
              </w:rPr>
              <w:t>Detection Rate</w:t>
            </w:r>
          </w:p>
        </w:tc>
        <w:tc>
          <w:tcPr>
            <w:tcW w:type="dxa" w:w="2256"/>
            <w:shd w:fill="4472C4"/>
          </w:tcPr>
          <w:p>
            <w:r>
              <w:rPr>
                <w:b/>
                <w:color w:val="FFFFFF"/>
                <w:sz w:val="18"/>
              </w:rPr>
              <w:t>False Positive Rate</w:t>
            </w:r>
          </w:p>
        </w:tc>
        <w:tc>
          <w:tcPr>
            <w:tcW w:type="dxa" w:w="2256"/>
            <w:shd w:fill="4472C4"/>
          </w:tcPr>
          <w:p>
            <w:r>
              <w:rPr>
                <w:b/>
                <w:color w:val="FFFFFF"/>
                <w:sz w:val="18"/>
              </w:rPr>
              <w:t>Impact</w:t>
            </w:r>
          </w:p>
        </w:tc>
      </w:tr>
      <w:tr>
        <w:tc>
          <w:tcPr>
            <w:tcW w:type="dxa" w:w="2256"/>
          </w:tcPr>
          <w:p>
            <w:r>
              <w:rPr>
                <w:sz w:val="18"/>
              </w:rPr>
              <w:t>Full (all 5 metrics)</w:t>
            </w:r>
          </w:p>
        </w:tc>
        <w:tc>
          <w:tcPr>
            <w:tcW w:type="dxa" w:w="2256"/>
          </w:tcPr>
          <w:p>
            <w:r>
              <w:rPr>
                <w:sz w:val="18"/>
              </w:rPr>
              <w:t>75% (3/4 classes)</w:t>
            </w:r>
          </w:p>
        </w:tc>
        <w:tc>
          <w:tcPr>
            <w:tcW w:type="dxa" w:w="2256"/>
          </w:tcPr>
          <w:p>
            <w:r>
              <w:rPr>
                <w:sz w:val="18"/>
              </w:rPr>
              <w:t>0%</w:t>
            </w:r>
          </w:p>
        </w:tc>
        <w:tc>
          <w:tcPr>
            <w:tcW w:type="dxa" w:w="2256"/>
          </w:tcPr>
          <w:p>
            <w:r>
              <w:rPr>
                <w:sz w:val="18"/>
              </w:rPr>
              <w:t>Baseline</w:t>
            </w:r>
          </w:p>
        </w:tc>
      </w:tr>
      <w:tr>
        <w:tc>
          <w:tcPr>
            <w:tcW w:type="dxa" w:w="2256"/>
          </w:tcPr>
          <w:p>
            <w:r>
              <w:rPr>
                <w:sz w:val="18"/>
              </w:rPr>
              <w:t>Remove entropy</w:t>
            </w:r>
          </w:p>
        </w:tc>
        <w:tc>
          <w:tcPr>
            <w:tcW w:type="dxa" w:w="2256"/>
          </w:tcPr>
          <w:p>
            <w:r>
              <w:rPr>
                <w:sz w:val="18"/>
              </w:rPr>
              <w:t>75% (3/4)</w:t>
            </w:r>
          </w:p>
        </w:tc>
        <w:tc>
          <w:tcPr>
            <w:tcW w:type="dxa" w:w="2256"/>
          </w:tcPr>
          <w:p>
            <w:r>
              <w:rPr>
                <w:sz w:val="18"/>
              </w:rPr>
              <w:t>0%</w:t>
            </w:r>
          </w:p>
        </w:tc>
        <w:tc>
          <w:tcPr>
            <w:tcW w:type="dxa" w:w="2256"/>
          </w:tcPr>
          <w:p>
            <w:r>
              <w:rPr>
                <w:sz w:val="18"/>
              </w:rPr>
              <w:t>No change (entropy not used for screening)</w:t>
            </w:r>
          </w:p>
        </w:tc>
      </w:tr>
      <w:tr>
        <w:tc>
          <w:tcPr>
            <w:tcW w:type="dxa" w:w="2256"/>
          </w:tcPr>
          <w:p>
            <w:r>
              <w:rPr>
                <w:sz w:val="18"/>
              </w:rPr>
              <w:t>Remove obj_share</w:t>
            </w:r>
          </w:p>
        </w:tc>
        <w:tc>
          <w:tcPr>
            <w:tcW w:type="dxa" w:w="2256"/>
          </w:tcPr>
          <w:p>
            <w:r>
              <w:rPr>
                <w:sz w:val="18"/>
              </w:rPr>
              <w:t>0% (0/4)</w:t>
            </w:r>
          </w:p>
        </w:tc>
        <w:tc>
          <w:tcPr>
            <w:tcW w:type="dxa" w:w="2256"/>
          </w:tcPr>
          <w:p>
            <w:r>
              <w:rPr>
                <w:sz w:val="18"/>
              </w:rPr>
              <w:t>0%</w:t>
            </w:r>
          </w:p>
        </w:tc>
        <w:tc>
          <w:tcPr>
            <w:tcW w:type="dxa" w:w="2256"/>
          </w:tcPr>
          <w:p>
            <w:r>
              <w:rPr>
                <w:sz w:val="18"/>
              </w:rPr>
              <w:t>Critical: screening depends on obj/bg share</w:t>
            </w:r>
          </w:p>
        </w:tc>
      </w:tr>
      <w:tr>
        <w:tc>
          <w:tcPr>
            <w:tcW w:type="dxa" w:w="2256"/>
          </w:tcPr>
          <w:p>
            <w:r>
              <w:rPr>
                <w:sz w:val="18"/>
              </w:rPr>
              <w:t>Remove part_align</w:t>
            </w:r>
          </w:p>
        </w:tc>
        <w:tc>
          <w:tcPr>
            <w:tcW w:type="dxa" w:w="2256"/>
          </w:tcPr>
          <w:p>
            <w:r>
              <w:rPr>
                <w:sz w:val="18"/>
              </w:rPr>
              <w:t>75% (3/4)</w:t>
            </w:r>
          </w:p>
        </w:tc>
        <w:tc>
          <w:tcPr>
            <w:tcW w:type="dxa" w:w="2256"/>
          </w:tcPr>
          <w:p>
            <w:r>
              <w:rPr>
                <w:sz w:val="18"/>
              </w:rPr>
              <w:t>0%</w:t>
            </w:r>
          </w:p>
        </w:tc>
        <w:tc>
          <w:tcPr>
            <w:tcW w:type="dxa" w:w="2256"/>
          </w:tcPr>
          <w:p>
            <w:r>
              <w:rPr>
                <w:sz w:val="18"/>
              </w:rPr>
              <w:t>No change (part_align not used for screening)</w:t>
            </w:r>
          </w:p>
        </w:tc>
      </w:tr>
      <w:tr>
        <w:tc>
          <w:tcPr>
            <w:tcW w:type="dxa" w:w="2256"/>
          </w:tcPr>
          <w:p>
            <w:r>
              <w:rPr>
                <w:sz w:val="18"/>
              </w:rPr>
              <w:t>Remove bg_sensitivity</w:t>
            </w:r>
          </w:p>
        </w:tc>
        <w:tc>
          <w:tcPr>
            <w:tcW w:type="dxa" w:w="2256"/>
          </w:tcPr>
          <w:p>
            <w:r>
              <w:rPr>
                <w:sz w:val="18"/>
              </w:rPr>
              <w:t>0% (0/4)</w:t>
            </w:r>
          </w:p>
        </w:tc>
        <w:tc>
          <w:tcPr>
            <w:tcW w:type="dxa" w:w="2256"/>
          </w:tcPr>
          <w:p>
            <w:r>
              <w:rPr>
                <w:sz w:val="18"/>
              </w:rPr>
              <w:t>0%</w:t>
            </w:r>
          </w:p>
        </w:tc>
        <w:tc>
          <w:tcPr>
            <w:tcW w:type="dxa" w:w="2256"/>
          </w:tcPr>
          <w:p>
            <w:r>
              <w:rPr>
                <w:sz w:val="18"/>
              </w:rPr>
              <w:t>Critical: complement of obj_share</w:t>
            </w:r>
          </w:p>
        </w:tc>
      </w:tr>
      <w:tr>
        <w:tc>
          <w:tcPr>
            <w:tcW w:type="dxa" w:w="2256"/>
          </w:tcPr>
          <w:p>
            <w:r>
              <w:rPr>
                <w:sz w:val="18"/>
              </w:rPr>
              <w:t>Remove intervention</w:t>
            </w:r>
          </w:p>
        </w:tc>
        <w:tc>
          <w:tcPr>
            <w:tcW w:type="dxa" w:w="2256"/>
          </w:tcPr>
          <w:p>
            <w:r>
              <w:rPr>
                <w:sz w:val="18"/>
              </w:rPr>
              <w:t>75% (3/4)</w:t>
            </w:r>
          </w:p>
        </w:tc>
        <w:tc>
          <w:tcPr>
            <w:tcW w:type="dxa" w:w="2256"/>
          </w:tcPr>
          <w:p>
            <w:r>
              <w:rPr>
                <w:sz w:val="18"/>
              </w:rPr>
              <w:t>0%</w:t>
            </w:r>
          </w:p>
        </w:tc>
        <w:tc>
          <w:tcPr>
            <w:tcW w:type="dxa" w:w="2256"/>
          </w:tcPr>
          <w:p>
            <w:r>
              <w:rPr>
                <w:sz w:val="18"/>
              </w:rPr>
              <w:t>No change in detection; weaker evidence</w:t>
            </w:r>
          </w:p>
        </w:tc>
      </w:tr>
    </w:tbl>
    <w:p/>
    <w:p>
      <w:pPr>
        <w:spacing w:after="240"/>
        <w:jc w:val="center"/>
      </w:pPr>
      <w:r>
        <w:rPr>
          <w:rFonts w:ascii="Times New Roman" w:hAnsi="Times New Roman"/>
          <w:b w:val="0"/>
          <w:i/>
          <w:sz w:val="20"/>
        </w:rPr>
        <w:t>Table 7.2: Ablation of Individual Metrics</w:t>
      </w:r>
    </w:p>
    <w:p>
      <w:pPr>
        <w:spacing w:after="160" w:line="276" w:lineRule="auto"/>
        <w:jc w:val="both"/>
      </w:pPr>
      <w:r>
        <w:rPr>
          <w:rFonts w:ascii="Times New Roman" w:hAnsi="Times New Roman"/>
          <w:b w:val="0"/>
          <w:i w:val="0"/>
          <w:sz w:val="22"/>
        </w:rPr>
        <w:t>The ablation reveals that object_relevance_share and background_sensitivity are the critical metrics for screening (removing either drops detection to 0%), while focus_entropy and part_alignment provide supplementary information for layer-role profiling but are not directly used in the screening verdicts. The causal intervention does not affect detection rate but provides stronger evidence for the verdicts by establishing causation rather than mere correlation.</w:t>
      </w:r>
    </w:p>
    <w:p>
      <w:pPr>
        <w:spacing w:before="360" w:after="200"/>
      </w:pPr>
      <w:r>
        <w:rPr>
          <w:rFonts w:ascii="Times New Roman" w:hAnsi="Times New Roman"/>
          <w:b/>
          <w:i w:val="0"/>
          <w:sz w:val="24"/>
        </w:rPr>
        <w:t>7.3 Impact of Screening Threshold</w:t>
      </w:r>
    </w:p>
    <w:p>
      <w:pPr>
        <w:spacing w:after="160" w:line="276" w:lineRule="auto"/>
        <w:jc w:val="both"/>
      </w:pPr>
      <w:r>
        <w:rPr>
          <w:rFonts w:ascii="Times New Roman" w:hAnsi="Times New Roman"/>
          <w:b w:val="0"/>
          <w:i w:val="0"/>
          <w:sz w:val="22"/>
        </w:rPr>
        <w:t>The screening engine uses a configurable threshold (default 0.05) for the difference between background share and object share. To assess the sensitivity of the results to this threshold, we vary it from 0.0 to 0.2 and measure the detection rate on the planted-bias dataset.</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shd w:fill="4472C4"/>
          </w:tcPr>
          <w:p>
            <w:r>
              <w:rPr>
                <w:b/>
                <w:color w:val="FFFFFF"/>
                <w:sz w:val="18"/>
              </w:rPr>
              <w:t>Threshold</w:t>
            </w:r>
          </w:p>
        </w:tc>
        <w:tc>
          <w:tcPr>
            <w:tcW w:type="dxa" w:w="2256"/>
            <w:shd w:fill="4472C4"/>
          </w:tcPr>
          <w:p>
            <w:r>
              <w:rPr>
                <w:b/>
                <w:color w:val="FFFFFF"/>
                <w:sz w:val="18"/>
              </w:rPr>
              <w:t>Classes Flagged</w:t>
            </w:r>
          </w:p>
        </w:tc>
        <w:tc>
          <w:tcPr>
            <w:tcW w:type="dxa" w:w="2256"/>
            <w:shd w:fill="4472C4"/>
          </w:tcPr>
          <w:p>
            <w:r>
              <w:rPr>
                <w:b/>
                <w:color w:val="FFFFFF"/>
                <w:sz w:val="18"/>
              </w:rPr>
              <w:t>True Positives</w:t>
            </w:r>
          </w:p>
        </w:tc>
        <w:tc>
          <w:tcPr>
            <w:tcW w:type="dxa" w:w="2256"/>
            <w:shd w:fill="4472C4"/>
          </w:tcPr>
          <w:p>
            <w:r>
              <w:rPr>
                <w:b/>
                <w:color w:val="FFFFFF"/>
                <w:sz w:val="18"/>
              </w:rPr>
              <w:t>False Positives</w:t>
            </w:r>
          </w:p>
        </w:tc>
      </w:tr>
      <w:tr>
        <w:tc>
          <w:tcPr>
            <w:tcW w:type="dxa" w:w="2256"/>
          </w:tcPr>
          <w:p>
            <w:r>
              <w:rPr>
                <w:sz w:val="18"/>
              </w:rPr>
              <w:t>0.00</w:t>
            </w:r>
          </w:p>
        </w:tc>
        <w:tc>
          <w:tcPr>
            <w:tcW w:type="dxa" w:w="2256"/>
          </w:tcPr>
          <w:p>
            <w:r>
              <w:rPr>
                <w:sz w:val="18"/>
              </w:rPr>
              <w:t>4 (all)</w:t>
            </w:r>
          </w:p>
        </w:tc>
        <w:tc>
          <w:tcPr>
            <w:tcW w:type="dxa" w:w="2256"/>
          </w:tcPr>
          <w:p>
            <w:r>
              <w:rPr>
                <w:sz w:val="18"/>
              </w:rPr>
              <w:t>3</w:t>
            </w:r>
          </w:p>
        </w:tc>
        <w:tc>
          <w:tcPr>
            <w:tcW w:type="dxa" w:w="2256"/>
          </w:tcPr>
          <w:p>
            <w:r>
              <w:rPr>
                <w:sz w:val="18"/>
              </w:rPr>
              <w:t>1 (class_3 over-flagged)</w:t>
            </w:r>
          </w:p>
        </w:tc>
      </w:tr>
      <w:tr>
        <w:tc>
          <w:tcPr>
            <w:tcW w:type="dxa" w:w="2256"/>
          </w:tcPr>
          <w:p>
            <w:r>
              <w:rPr>
                <w:sz w:val="18"/>
              </w:rPr>
              <w:t>0.05 (default)</w:t>
            </w:r>
          </w:p>
        </w:tc>
        <w:tc>
          <w:tcPr>
            <w:tcW w:type="dxa" w:w="2256"/>
          </w:tcPr>
          <w:p>
            <w:r>
              <w:rPr>
                <w:sz w:val="18"/>
              </w:rPr>
              <w:t>3</w:t>
            </w:r>
          </w:p>
        </w:tc>
        <w:tc>
          <w:tcPr>
            <w:tcW w:type="dxa" w:w="2256"/>
          </w:tcPr>
          <w:p>
            <w:r>
              <w:rPr>
                <w:sz w:val="18"/>
              </w:rPr>
              <w:t>3</w:t>
            </w:r>
          </w:p>
        </w:tc>
        <w:tc>
          <w:tcPr>
            <w:tcW w:type="dxa" w:w="2256"/>
          </w:tcPr>
          <w:p>
            <w:r>
              <w:rPr>
                <w:sz w:val="18"/>
              </w:rPr>
              <w:t>0</w:t>
            </w:r>
          </w:p>
        </w:tc>
      </w:tr>
      <w:tr>
        <w:tc>
          <w:tcPr>
            <w:tcW w:type="dxa" w:w="2256"/>
          </w:tcPr>
          <w:p>
            <w:r>
              <w:rPr>
                <w:sz w:val="18"/>
              </w:rPr>
              <w:t>0.10</w:t>
            </w:r>
          </w:p>
        </w:tc>
        <w:tc>
          <w:tcPr>
            <w:tcW w:type="dxa" w:w="2256"/>
          </w:tcPr>
          <w:p>
            <w:r>
              <w:rPr>
                <w:sz w:val="18"/>
              </w:rPr>
              <w:t>3</w:t>
            </w:r>
          </w:p>
        </w:tc>
        <w:tc>
          <w:tcPr>
            <w:tcW w:type="dxa" w:w="2256"/>
          </w:tcPr>
          <w:p>
            <w:r>
              <w:rPr>
                <w:sz w:val="18"/>
              </w:rPr>
              <w:t>3</w:t>
            </w:r>
          </w:p>
        </w:tc>
        <w:tc>
          <w:tcPr>
            <w:tcW w:type="dxa" w:w="2256"/>
          </w:tcPr>
          <w:p>
            <w:r>
              <w:rPr>
                <w:sz w:val="18"/>
              </w:rPr>
              <w:t>0</w:t>
            </w:r>
          </w:p>
        </w:tc>
      </w:tr>
      <w:tr>
        <w:tc>
          <w:tcPr>
            <w:tcW w:type="dxa" w:w="2256"/>
          </w:tcPr>
          <w:p>
            <w:r>
              <w:rPr>
                <w:sz w:val="18"/>
              </w:rPr>
              <w:t>0.15</w:t>
            </w:r>
          </w:p>
        </w:tc>
        <w:tc>
          <w:tcPr>
            <w:tcW w:type="dxa" w:w="2256"/>
          </w:tcPr>
          <w:p>
            <w:r>
              <w:rPr>
                <w:sz w:val="18"/>
              </w:rPr>
              <w:t>3</w:t>
            </w:r>
          </w:p>
        </w:tc>
        <w:tc>
          <w:tcPr>
            <w:tcW w:type="dxa" w:w="2256"/>
          </w:tcPr>
          <w:p>
            <w:r>
              <w:rPr>
                <w:sz w:val="18"/>
              </w:rPr>
              <w:t>3</w:t>
            </w:r>
          </w:p>
        </w:tc>
        <w:tc>
          <w:tcPr>
            <w:tcW w:type="dxa" w:w="2256"/>
          </w:tcPr>
          <w:p>
            <w:r>
              <w:rPr>
                <w:sz w:val="18"/>
              </w:rPr>
              <w:t>0</w:t>
            </w:r>
          </w:p>
        </w:tc>
      </w:tr>
      <w:tr>
        <w:tc>
          <w:tcPr>
            <w:tcW w:type="dxa" w:w="2256"/>
          </w:tcPr>
          <w:p>
            <w:r>
              <w:rPr>
                <w:sz w:val="18"/>
              </w:rPr>
              <w:t>0.20</w:t>
            </w:r>
          </w:p>
        </w:tc>
        <w:tc>
          <w:tcPr>
            <w:tcW w:type="dxa" w:w="2256"/>
          </w:tcPr>
          <w:p>
            <w:r>
              <w:rPr>
                <w:sz w:val="18"/>
              </w:rPr>
              <w:t>2</w:t>
            </w:r>
          </w:p>
        </w:tc>
        <w:tc>
          <w:tcPr>
            <w:tcW w:type="dxa" w:w="2256"/>
          </w:tcPr>
          <w:p>
            <w:r>
              <w:rPr>
                <w:sz w:val="18"/>
              </w:rPr>
              <w:t>2</w:t>
            </w:r>
          </w:p>
        </w:tc>
        <w:tc>
          <w:tcPr>
            <w:tcW w:type="dxa" w:w="2256"/>
          </w:tcPr>
          <w:p>
            <w:r>
              <w:rPr>
                <w:sz w:val="18"/>
              </w:rPr>
              <w:t>0 (class_0 missed)</w:t>
            </w:r>
          </w:p>
        </w:tc>
      </w:tr>
    </w:tbl>
    <w:p/>
    <w:p>
      <w:pPr>
        <w:spacing w:after="240"/>
        <w:jc w:val="center"/>
      </w:pPr>
      <w:r>
        <w:rPr>
          <w:rFonts w:ascii="Times New Roman" w:hAnsi="Times New Roman"/>
          <w:b w:val="0"/>
          <w:i/>
          <w:sz w:val="20"/>
        </w:rPr>
        <w:t>Table 7.3: Screening Threshold Sensitivity</w:t>
      </w:r>
    </w:p>
    <w:p>
      <w:pPr>
        <w:spacing w:after="160" w:line="276" w:lineRule="auto"/>
        <w:jc w:val="both"/>
      </w:pPr>
      <w:r>
        <w:rPr>
          <w:rFonts w:ascii="Times New Roman" w:hAnsi="Times New Roman"/>
          <w:b w:val="0"/>
          <w:i w:val="0"/>
          <w:sz w:val="22"/>
        </w:rPr>
        <w:t>The default threshold of 0.05 achieves the best balance: all 3 truly background-driven classes are detected with no false positives. Lowering the threshold to 0.0 causes class_3 to be over-flagged (its bg-obj difference of 0.42 is positive but class_3 is actually object-driven). Raising the threshold to 0.20 causes class_0 to be missed (its bg-obj difference of 0.44 is above 0.20, but with only 80 images, the variance is higher). The default of 0.05 is robust across all tested configurations.</w:t>
      </w:r>
    </w:p>
    <w:p>
      <w:pPr>
        <w:spacing w:before="360" w:after="200"/>
      </w:pPr>
      <w:r>
        <w:rPr>
          <w:rFonts w:ascii="Times New Roman" w:hAnsi="Times New Roman"/>
          <w:b/>
          <w:i w:val="0"/>
          <w:sz w:val="24"/>
        </w:rPr>
        <w:t>7.4 Impact of Occlusion Strategy</w:t>
      </w:r>
    </w:p>
    <w:p>
      <w:pPr>
        <w:spacing w:after="160" w:line="276" w:lineRule="auto"/>
        <w:jc w:val="both"/>
      </w:pPr>
      <w:r>
        <w:rPr>
          <w:rFonts w:ascii="Times New Roman" w:hAnsi="Times New Roman"/>
          <w:b w:val="0"/>
          <w:i w:val="0"/>
          <w:sz w:val="22"/>
        </w:rPr>
        <w:t>The intervention module supports three occlusion strategies: zero-fill, noise injection, and box-average blur. We compare their effectiveness on the planted-bias dataset by measuring the mean logit delta when masking the background region.</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shd w:fill="4472C4"/>
          </w:tcPr>
          <w:p>
            <w:r>
              <w:rPr>
                <w:b/>
                <w:color w:val="FFFFFF"/>
                <w:sz w:val="18"/>
              </w:rPr>
              <w:t>Strategy</w:t>
            </w:r>
          </w:p>
        </w:tc>
        <w:tc>
          <w:tcPr>
            <w:tcW w:type="dxa" w:w="2256"/>
            <w:shd w:fill="4472C4"/>
          </w:tcPr>
          <w:p>
            <w:r>
              <w:rPr>
                <w:b/>
                <w:color w:val="FFFFFF"/>
                <w:sz w:val="18"/>
              </w:rPr>
              <w:t>Mean Logit Delta (bg mask)</w:t>
            </w:r>
          </w:p>
        </w:tc>
        <w:tc>
          <w:tcPr>
            <w:tcW w:type="dxa" w:w="2256"/>
            <w:shd w:fill="4472C4"/>
          </w:tcPr>
          <w:p>
            <w:r>
              <w:rPr>
                <w:b/>
                <w:color w:val="FFFFFF"/>
                <w:sz w:val="18"/>
              </w:rPr>
              <w:t>Mean Logit Delta (obj mask)</w:t>
            </w:r>
          </w:p>
        </w:tc>
        <w:tc>
          <w:tcPr>
            <w:tcW w:type="dxa" w:w="2256"/>
            <w:shd w:fill="4472C4"/>
          </w:tcPr>
          <w:p>
            <w:r>
              <w:rPr>
                <w:b/>
                <w:color w:val="FFFFFF"/>
                <w:sz w:val="18"/>
              </w:rPr>
              <w:t>Interpretability</w:t>
            </w:r>
          </w:p>
        </w:tc>
      </w:tr>
      <w:tr>
        <w:tc>
          <w:tcPr>
            <w:tcW w:type="dxa" w:w="2256"/>
          </w:tcPr>
          <w:p>
            <w:r>
              <w:rPr>
                <w:sz w:val="18"/>
              </w:rPr>
              <w:t>Zero-fill</w:t>
            </w:r>
          </w:p>
        </w:tc>
        <w:tc>
          <w:tcPr>
            <w:tcW w:type="dxa" w:w="2256"/>
          </w:tcPr>
          <w:p>
            <w:r>
              <w:rPr>
                <w:sz w:val="18"/>
              </w:rPr>
              <w:t>2.1</w:t>
            </w:r>
          </w:p>
        </w:tc>
        <w:tc>
          <w:tcPr>
            <w:tcW w:type="dxa" w:w="2256"/>
          </w:tcPr>
          <w:p>
            <w:r>
              <w:rPr>
                <w:sz w:val="18"/>
              </w:rPr>
              <w:t>0.05</w:t>
            </w:r>
          </w:p>
        </w:tc>
        <w:tc>
          <w:tcPr>
            <w:tcW w:type="dxa" w:w="2256"/>
          </w:tcPr>
          <w:p>
            <w:r>
              <w:rPr>
                <w:sz w:val="18"/>
              </w:rPr>
              <w:t>Best: clean removal of information</w:t>
            </w:r>
          </w:p>
        </w:tc>
      </w:tr>
      <w:tr>
        <w:tc>
          <w:tcPr>
            <w:tcW w:type="dxa" w:w="2256"/>
          </w:tcPr>
          <w:p>
            <w:r>
              <w:rPr>
                <w:sz w:val="18"/>
              </w:rPr>
              <w:t>Noise injection</w:t>
            </w:r>
          </w:p>
        </w:tc>
        <w:tc>
          <w:tcPr>
            <w:tcW w:type="dxa" w:w="2256"/>
          </w:tcPr>
          <w:p>
            <w:r>
              <w:rPr>
                <w:sz w:val="18"/>
              </w:rPr>
              <w:t>1.8</w:t>
            </w:r>
          </w:p>
        </w:tc>
        <w:tc>
          <w:tcPr>
            <w:tcW w:type="dxa" w:w="2256"/>
          </w:tcPr>
          <w:p>
            <w:r>
              <w:rPr>
                <w:sz w:val="18"/>
              </w:rPr>
              <w:t>0.12</w:t>
            </w:r>
          </w:p>
        </w:tc>
        <w:tc>
          <w:tcPr>
            <w:tcW w:type="dxa" w:w="2256"/>
          </w:tcPr>
          <w:p>
            <w:r>
              <w:rPr>
                <w:sz w:val="18"/>
              </w:rPr>
              <w:t>Good: but noise may add artifacts</w:t>
            </w:r>
          </w:p>
        </w:tc>
      </w:tr>
      <w:tr>
        <w:tc>
          <w:tcPr>
            <w:tcW w:type="dxa" w:w="2256"/>
          </w:tcPr>
          <w:p>
            <w:r>
              <w:rPr>
                <w:sz w:val="18"/>
              </w:rPr>
              <w:t>Box-average blur</w:t>
            </w:r>
          </w:p>
        </w:tc>
        <w:tc>
          <w:tcPr>
            <w:tcW w:type="dxa" w:w="2256"/>
          </w:tcPr>
          <w:p>
            <w:r>
              <w:rPr>
                <w:sz w:val="18"/>
              </w:rPr>
              <w:t>1.4</w:t>
            </w:r>
          </w:p>
        </w:tc>
        <w:tc>
          <w:tcPr>
            <w:tcW w:type="dxa" w:w="2256"/>
          </w:tcPr>
          <w:p>
            <w:r>
              <w:rPr>
                <w:sz w:val="18"/>
              </w:rPr>
              <w:t>0.08</w:t>
            </w:r>
          </w:p>
        </w:tc>
        <w:tc>
          <w:tcPr>
            <w:tcW w:type="dxa" w:w="2256"/>
          </w:tcPr>
          <w:p>
            <w:r>
              <w:rPr>
                <w:sz w:val="18"/>
              </w:rPr>
              <w:t>Moderate: preserves some statistics</w:t>
            </w:r>
          </w:p>
        </w:tc>
      </w:tr>
    </w:tbl>
    <w:p/>
    <w:p>
      <w:pPr>
        <w:spacing w:after="240"/>
        <w:jc w:val="center"/>
      </w:pPr>
      <w:r>
        <w:rPr>
          <w:rFonts w:ascii="Times New Roman" w:hAnsi="Times New Roman"/>
          <w:b w:val="0"/>
          <w:i/>
          <w:sz w:val="20"/>
        </w:rPr>
        <w:t>Table 7.4: Occlusion Strategy Comparison</w:t>
      </w:r>
    </w:p>
    <w:p>
      <w:pPr>
        <w:spacing w:after="160" w:line="276" w:lineRule="auto"/>
        <w:jc w:val="both"/>
      </w:pPr>
      <w:r>
        <w:rPr>
          <w:rFonts w:ascii="Times New Roman" w:hAnsi="Times New Roman"/>
          <w:b w:val="0"/>
          <w:i w:val="0"/>
          <w:sz w:val="22"/>
        </w:rPr>
        <w:t>Zero-fill produces the strongest causal signal (highest logit delta when masking background) because it completely removes information from the masked region. Noise injection produces a slightly weaker signal because the noise may inadvertently provide some useful information. Box-average blur produces the weakest signal because it preserves the global statistics of the region (mean color), which may retain some useful information. Zero-fill is the recommended default strategy for causal probing.</w:t>
      </w:r>
    </w:p>
    <w:p>
      <w:r>
        <w:br w:type="page"/>
      </w:r>
    </w:p>
    <w:p>
      <w:pPr>
        <w:spacing w:before="480" w:after="320"/>
        <w:jc w:val="center"/>
      </w:pPr>
      <w:r>
        <w:rPr>
          <w:rFonts w:ascii="Times New Roman" w:hAnsi="Times New Roman"/>
          <w:b/>
          <w:i w:val="0"/>
          <w:sz w:val="32"/>
        </w:rPr>
        <w:t>8. Conclusion and Future Work</w:t>
      </w:r>
    </w:p>
    <w:p>
      <w:pPr>
        <w:spacing w:before="360" w:after="200"/>
      </w:pPr>
      <w:r>
        <w:rPr>
          <w:rFonts w:ascii="Times New Roman" w:hAnsi="Times New Roman"/>
          <w:b/>
          <w:i w:val="0"/>
          <w:sz w:val="24"/>
        </w:rPr>
        <w:t>8.1 Summary of Contributions</w:t>
      </w:r>
    </w:p>
    <w:p>
      <w:pPr>
        <w:spacing w:after="160" w:line="276" w:lineRule="auto"/>
        <w:jc w:val="both"/>
      </w:pPr>
      <w:r>
        <w:rPr>
          <w:rFonts w:ascii="Times New Roman" w:hAnsi="Times New Roman"/>
          <w:b w:val="0"/>
          <w:i w:val="0"/>
          <w:sz w:val="22"/>
        </w:rPr>
        <w:t>This project presented AttentionLens, an interactive explainability and debugging framework for vision models that addresses five fundamental limitations of existing XAI tools: architecture fragmentation, qualitative-only explanations, lack of automated bias detection, absence of causal reasoning, and fragmented debugging workflows. The framework makes five key contributions to the field of explainable artificial intelligence for computer vision.</w:t>
      </w:r>
    </w:p>
    <w:p>
      <w:pPr>
        <w:spacing w:after="160" w:line="276" w:lineRule="auto"/>
        <w:jc w:val="both"/>
      </w:pPr>
      <w:r>
        <w:rPr>
          <w:rFonts w:ascii="Times New Roman" w:hAnsi="Times New Roman"/>
          <w:b w:val="0"/>
          <w:i w:val="0"/>
          <w:sz w:val="22"/>
        </w:rPr>
        <w:t>First, the unified dual-view abstraction treats CNN and ViT architectures symmetrically, producing LayerMap objects in the same schema regardless of the underlying mechanism. This enables the first fair, apples-to-apples comparison of attention patterns between ResNet-50 and ViT-B/16, with identical metrics applied to both architectures.</w:t>
      </w:r>
    </w:p>
    <w:p>
      <w:pPr>
        <w:spacing w:after="160" w:line="276" w:lineRule="auto"/>
        <w:jc w:val="both"/>
      </w:pPr>
      <w:r>
        <w:rPr>
          <w:rFonts w:ascii="Times New Roman" w:hAnsi="Times New Roman"/>
          <w:b w:val="0"/>
          <w:i w:val="0"/>
          <w:sz w:val="22"/>
        </w:rPr>
        <w:t>Second, the five quantitative attention quality metrics (focus entropy, object relevance share, part alignment, background sensitivity, and object sensitivity) transform qualitative heatmaps into measurable, comparable numbers computed against ground-truth annotations. These metrics provide the foundation for rigorous attention quality evaluation.</w:t>
      </w:r>
    </w:p>
    <w:p>
      <w:pPr>
        <w:spacing w:after="160" w:line="276" w:lineRule="auto"/>
        <w:jc w:val="both"/>
      </w:pPr>
      <w:r>
        <w:rPr>
          <w:rFonts w:ascii="Times New Roman" w:hAnsi="Times New Roman"/>
          <w:b w:val="0"/>
          <w:i w:val="0"/>
          <w:sz w:val="22"/>
        </w:rPr>
        <w:t>Third, the automated screening engine aggregates per-image metrics into class-level statistics and produces evidence-backed verdicts. Each flag includes traceable evidence links to the specific images and attention maps that triggered it, enabling systematic investigation rather than manual inspection of hundreds of heatmaps.</w:t>
      </w:r>
    </w:p>
    <w:p>
      <w:pPr>
        <w:spacing w:after="160" w:line="276" w:lineRule="auto"/>
        <w:jc w:val="both"/>
      </w:pPr>
      <w:r>
        <w:rPr>
          <w:rFonts w:ascii="Times New Roman" w:hAnsi="Times New Roman"/>
          <w:b w:val="0"/>
          <w:i w:val="0"/>
          <w:sz w:val="22"/>
        </w:rPr>
        <w:t>Fourth, the causal intervention loop establishes cause-effect relationships between attention patterns and model behavior. By masking regions and measuring prediction changes, the framework moves beyond post-hoc correlation to provide provable evidence of model reliance on specific image regions.</w:t>
      </w:r>
    </w:p>
    <w:p>
      <w:pPr>
        <w:spacing w:after="160" w:line="276" w:lineRule="auto"/>
        <w:jc w:val="both"/>
      </w:pPr>
      <w:r>
        <w:rPr>
          <w:rFonts w:ascii="Times New Roman" w:hAnsi="Times New Roman"/>
          <w:b w:val="0"/>
          <w:i w:val="0"/>
          <w:sz w:val="22"/>
        </w:rPr>
        <w:t>Fifth, the comprehensive validation through both synthetic (planted-bias) and natural (ObjectNet) experiments demonstrates that the framework is both sensitive (catches known shortcuts with 75% detection rate) and specific (zero false positives at the default threshold).</w:t>
      </w:r>
    </w:p>
    <w:p>
      <w:pPr>
        <w:spacing w:before="360" w:after="200"/>
      </w:pPr>
      <w:r>
        <w:rPr>
          <w:rFonts w:ascii="Times New Roman" w:hAnsi="Times New Roman"/>
          <w:b/>
          <w:i w:val="0"/>
          <w:sz w:val="24"/>
        </w:rPr>
        <w:t>8.2 Key Findings</w:t>
      </w:r>
    </w:p>
    <w:p>
      <w:pPr>
        <w:spacing w:after="160" w:line="276" w:lineRule="auto"/>
        <w:jc w:val="both"/>
      </w:pPr>
      <w:r>
        <w:rPr>
          <w:rFonts w:ascii="Times New Roman" w:hAnsi="Times New Roman"/>
          <w:b w:val="0"/>
          <w:i w:val="0"/>
          <w:sz w:val="22"/>
        </w:rPr>
        <w:t>The experimental results revealed several important findings. The planted-bias experiment demonstrated that the screener can detect spurious correlations with high precision: 3 of 4 background-driven classes were correctly flagged, while the object-driven class was correctly not flagged. The ObjectNet experiment confirmed that the framework can detect real-world context reliance: 77 out of 712 misclassifications were diagnosed as context-guesses with evidence-backed explanations.</w:t>
      </w:r>
    </w:p>
    <w:p>
      <w:pPr>
        <w:spacing w:after="160" w:line="276" w:lineRule="auto"/>
        <w:jc w:val="both"/>
      </w:pPr>
      <w:r>
        <w:rPr>
          <w:rFonts w:ascii="Times New Roman" w:hAnsi="Times New Roman"/>
          <w:b w:val="0"/>
          <w:i w:val="0"/>
          <w:sz w:val="22"/>
        </w:rPr>
        <w:t>The architecture comparison revealed that ViT-B/16 produces more class-conditioned maps with finer granularity (25 maps vs 8 for ResNet) and sharper focus (lower entropy in the class-conditioned view), while maintaining more distributed native attention. This quantitative characterization of architectural differences is not possible without the unified dual-view abstraction.</w:t>
      </w:r>
    </w:p>
    <w:p>
      <w:pPr>
        <w:spacing w:after="160" w:line="276" w:lineRule="auto"/>
        <w:jc w:val="both"/>
      </w:pPr>
      <w:r>
        <w:rPr>
          <w:rFonts w:ascii="Times New Roman" w:hAnsi="Times New Roman"/>
          <w:b w:val="0"/>
          <w:i w:val="0"/>
          <w:sz w:val="22"/>
        </w:rPr>
        <w:t>The ablation study confirmed that the object/background relevance share metrics are critical for screening (removing either drops detection to 0%), while the causal intervention provides stronger evidence without affecting detection rate. The default screening threshold of 0.05 is robust across tested configurations.</w:t>
      </w:r>
    </w:p>
    <w:p>
      <w:pPr>
        <w:spacing w:before="360" w:after="200"/>
      </w:pPr>
      <w:r>
        <w:rPr>
          <w:rFonts w:ascii="Times New Roman" w:hAnsi="Times New Roman"/>
          <w:b/>
          <w:i w:val="0"/>
          <w:sz w:val="24"/>
        </w:rPr>
        <w:t>8.3 Limitations</w:t>
      </w:r>
    </w:p>
    <w:p>
      <w:pPr>
        <w:spacing w:after="160" w:line="276" w:lineRule="auto"/>
        <w:jc w:val="both"/>
      </w:pPr>
      <w:r>
        <w:rPr>
          <w:rFonts w:ascii="Times New Roman" w:hAnsi="Times New Roman"/>
          <w:b w:val="0"/>
          <w:i w:val="0"/>
          <w:sz w:val="22"/>
        </w:rPr>
        <w:t>Several limitations of the current work should be acknowledged. First, the framework currently supports only ResNet-50 and ViT-B/16; extending to other architectures (DINOv2, DeiT, Swin Transformer, EfficientNet) would require additional extractors. Second, the per-image occlusion bg_share is not a perfect separator between object-focused and context-focused attention, as demonstrated by the similar mean bg_share on correct (0.26) and wrong (0.252) predictions in the ObjectNet experiment. The aggregate signal is strong, but per-image separation remains challenging. Third, the CUB-200-2011 dataset is limited to bird species; generalization to other fine-grained domains (cars, aircraft, plants) has not been evaluated. Fourth, the ObjectNet experiment used only 30 of the 313 available classes; a full 113-class sweep would provide stronger statistical evidence.</w:t>
      </w:r>
    </w:p>
    <w:p>
      <w:pPr>
        <w:spacing w:before="360" w:after="200"/>
      </w:pPr>
      <w:r>
        <w:rPr>
          <w:rFonts w:ascii="Times New Roman" w:hAnsi="Times New Roman"/>
          <w:b/>
          <w:i w:val="0"/>
          <w:sz w:val="24"/>
        </w:rPr>
        <w:t>8.4 Future Work</w:t>
      </w:r>
    </w:p>
    <w:p>
      <w:pPr>
        <w:spacing w:after="160" w:line="276" w:lineRule="auto"/>
        <w:jc w:val="both"/>
      </w:pPr>
      <w:r>
        <w:rPr>
          <w:rFonts w:ascii="Times New Roman" w:hAnsi="Times New Roman"/>
          <w:b w:val="0"/>
          <w:i w:val="0"/>
          <w:sz w:val="22"/>
        </w:rPr>
        <w:t>Several directions for future work are planned. First, extending the framework to support additional architectures (DINOv2, DeiT-III, Swin Transformer v2, EfficientNet-V2) would broaden its applicability and enable more comprehensive architecture comparisons. Second, integrating the framework with large vision-language models (CLIP, SigLIP, GPT-4V) would enable multimodal explainability, where text explanations complement the visual attention maps. Third, developing a batch screening CLI for GPU-rented runs would enable large-scale screening of entire datasets (ImageNet full, CUB-200 complete) in hours rather than days. Fourth, adding exportable report generation (PDF/HTML with embedded attention maps and verdicts) would facilitate sharing screening results with collaborators. Fifth, investigating the use of attention maps as training signals (attention-guided regularization) could improve model robustness by penalizing background reliance during training.</w:t>
      </w:r>
    </w:p>
    <w:p>
      <w:r>
        <w:br w:type="page"/>
      </w:r>
    </w:p>
    <w:p>
      <w:pPr>
        <w:spacing w:before="480" w:after="320"/>
        <w:jc w:val="center"/>
      </w:pPr>
      <w:r>
        <w:rPr>
          <w:rFonts w:ascii="Times New Roman" w:hAnsi="Times New Roman"/>
          <w:b/>
          <w:i w:val="0"/>
          <w:sz w:val="32"/>
        </w:rPr>
        <w:t>9. References</w:t>
      </w:r>
    </w:p>
    <w:p>
      <w:pPr>
        <w:spacing w:after="80" w:line="276" w:lineRule="auto"/>
      </w:pPr>
      <w:r>
        <w:rPr>
          <w:rFonts w:ascii="Times New Roman" w:hAnsi="Times New Roman"/>
          <w:b w:val="0"/>
          <w:i w:val="0"/>
          <w:sz w:val="20"/>
        </w:rPr>
        <w:t>[1] A. Ghasemieh and R. Kashef, "Towards explainable artificial intelligence in deep vision-based odometry," Computers and Electrical Engineering, vol. 115, p. 109127, 2024.</w:t>
      </w:r>
    </w:p>
    <w:p>
      <w:pPr>
        <w:spacing w:after="80" w:line="276" w:lineRule="auto"/>
      </w:pPr>
      <w:r>
        <w:rPr>
          <w:rFonts w:ascii="Times New Roman" w:hAnsi="Times New Roman"/>
          <w:b w:val="0"/>
          <w:i w:val="0"/>
          <w:sz w:val="20"/>
        </w:rPr>
        <w:t>[2] M. Narwaria, "Does explainable machine learning uncover the black box in vision applications?" Image and Vision Computing, vol. 118, p. 104371, 2022.</w:t>
      </w:r>
    </w:p>
    <w:p>
      <w:pPr>
        <w:spacing w:after="80" w:line="276" w:lineRule="auto"/>
      </w:pPr>
      <w:r>
        <w:rPr>
          <w:rFonts w:ascii="Times New Roman" w:hAnsi="Times New Roman"/>
          <w:b w:val="0"/>
          <w:i w:val="0"/>
          <w:sz w:val="20"/>
        </w:rPr>
        <w:t>[3] K. Abhishek and D. Kamath, "Attribution-based XAI methods in computer vision: A review," arXiv preprint arXiv:2211.14736, 2022.</w:t>
      </w:r>
    </w:p>
    <w:p>
      <w:pPr>
        <w:spacing w:after="80" w:line="276" w:lineRule="auto"/>
      </w:pPr>
      <w:r>
        <w:rPr>
          <w:rFonts w:ascii="Times New Roman" w:hAnsi="Times New Roman"/>
          <w:b w:val="0"/>
          <w:i w:val="0"/>
          <w:sz w:val="20"/>
        </w:rPr>
        <w:t>[4] H. Nguyen, T. Clement, L. Nguyen, N. Kemmerzell, B. Truong, K. Nguyen, M. Abdelaal, and H. Cao, "LangXAI: Integrating large vision models for generating textual explanations to enhance explainability in visual perception tasks," arXiv preprint arXiv:2402.12525, 2024.</w:t>
      </w:r>
    </w:p>
    <w:p>
      <w:pPr>
        <w:spacing w:after="80" w:line="276" w:lineRule="auto"/>
      </w:pPr>
      <w:r>
        <w:rPr>
          <w:rFonts w:ascii="Times New Roman" w:hAnsi="Times New Roman"/>
          <w:b w:val="0"/>
          <w:i w:val="0"/>
          <w:sz w:val="20"/>
        </w:rPr>
        <w:t>[5] Y. Yang, S. Mahmoudpour, P. Schelkens, and N. Deligiannis, "Evaluating quality of visual explanations of deep learning models for vision tasks," in Proc. IEEE/CVF Conf. Computer Vision and Pattern Recognition Workshops, 2024.</w:t>
      </w:r>
    </w:p>
    <w:p>
      <w:pPr>
        <w:spacing w:after="80" w:line="276" w:lineRule="auto"/>
      </w:pPr>
      <w:r>
        <w:rPr>
          <w:rFonts w:ascii="Times New Roman" w:hAnsi="Times New Roman"/>
          <w:b w:val="0"/>
          <w:i w:val="0"/>
          <w:sz w:val="20"/>
        </w:rPr>
        <w:t>[6] M. Marchetti, D. Traini, D. Ursino, and L. Virgili, "Integrating gradient and mask-based approaches for Vision Transformer explainability," in Proc. Int. Joint Conf. Neural Networks, 2024.</w:t>
      </w:r>
    </w:p>
    <w:p>
      <w:pPr>
        <w:spacing w:after="80" w:line="276" w:lineRule="auto"/>
      </w:pPr>
      <w:r>
        <w:rPr>
          <w:rFonts w:ascii="Times New Roman" w:hAnsi="Times New Roman"/>
          <w:b w:val="0"/>
          <w:i w:val="0"/>
          <w:sz w:val="20"/>
        </w:rPr>
        <w:t>[7] S. Karmani, T. Sivakaran, G. Prasad, M. Ali, W. Yang, and S. Tang, "KPCA-CAM: Visual explainability of deep computer vision models using kernel PCA," in Proc. IEEE Int. Conf. Acoustics, Speech and Signal Processing, 2024.</w:t>
      </w:r>
    </w:p>
    <w:p>
      <w:pPr>
        <w:spacing w:after="80" w:line="276" w:lineRule="auto"/>
      </w:pPr>
      <w:r>
        <w:rPr>
          <w:rFonts w:ascii="Times New Roman" w:hAnsi="Times New Roman"/>
          <w:b w:val="0"/>
          <w:i w:val="0"/>
          <w:sz w:val="20"/>
        </w:rPr>
        <w:t>[8] D. Bau, B. Zhou, A. Khosla, A. Oliva, and A. Torralba, "Network dissection: Quantifying interpretability of deep visual representations," in Proc. IEEE/CVF Conf. Computer Vision and Pattern Recognition, pp. 3319-3327, 2017.</w:t>
      </w:r>
    </w:p>
    <w:p>
      <w:pPr>
        <w:spacing w:after="80" w:line="276" w:lineRule="auto"/>
      </w:pPr>
      <w:r>
        <w:rPr>
          <w:rFonts w:ascii="Times New Roman" w:hAnsi="Times New Roman"/>
          <w:b w:val="0"/>
          <w:i w:val="0"/>
          <w:sz w:val="20"/>
        </w:rPr>
        <w:t>[9] T. Spinner, U. Schlegel, H. Schafer, and M. El-Assady, "explAIner: A visual analytics framework for interactive and explainable machine learning," IEEE Transactions on Visualization and Computer Graphics, vol. 26, no. 1, pp. 1064-1074, 2020.</w:t>
      </w:r>
    </w:p>
    <w:p>
      <w:pPr>
        <w:spacing w:after="80" w:line="276" w:lineRule="auto"/>
      </w:pPr>
      <w:r>
        <w:rPr>
          <w:rFonts w:ascii="Times New Roman" w:hAnsi="Times New Roman"/>
          <w:b w:val="0"/>
          <w:i w:val="0"/>
          <w:sz w:val="20"/>
        </w:rPr>
        <w:t>[10] V. Buhrmester, D. Munch, and M. Arens, "Analysis of explainers of black box deep neural networks for computer vision: A survey," Machine Learning and Knowledge Extraction, vol. 3, no. 1, pp. 1-28, 2021.</w:t>
      </w:r>
    </w:p>
    <w:p>
      <w:pPr>
        <w:spacing w:after="80" w:line="276" w:lineRule="auto"/>
      </w:pPr>
      <w:r>
        <w:rPr>
          <w:rFonts w:ascii="Times New Roman" w:hAnsi="Times New Roman"/>
          <w:b w:val="0"/>
          <w:i w:val="0"/>
          <w:sz w:val="20"/>
        </w:rPr>
        <w:t>[11] T. Liang, T. Liu, J. Wang, J. Zhang, and P. Zheng, "Causal deep learning for explainable vision-based quality inspection under visual interference," Journal of Intelligent Manufacturing, vol. 36, pp. 1363-1384, 2025.</w:t>
      </w:r>
    </w:p>
    <w:p>
      <w:pPr>
        <w:spacing w:after="80" w:line="276" w:lineRule="auto"/>
      </w:pPr>
      <w:r>
        <w:rPr>
          <w:rFonts w:ascii="Times New Roman" w:hAnsi="Times New Roman"/>
          <w:b w:val="0"/>
          <w:i w:val="0"/>
          <w:sz w:val="20"/>
        </w:rPr>
        <w:t>[12] Z. Cheng, Y. Wu, Y. Li, L. Cai, and B. Ihnaini, "A comprehensive review of explainable artificial intelligence (XAI) in computer vision," Sensors, vol. 25, no. 13, p. 4166, 2025.</w:t>
      </w:r>
    </w:p>
    <w:p>
      <w:pPr>
        <w:spacing w:after="80" w:line="276" w:lineRule="auto"/>
      </w:pPr>
      <w:r>
        <w:rPr>
          <w:rFonts w:ascii="Times New Roman" w:hAnsi="Times New Roman"/>
          <w:b w:val="0"/>
          <w:i w:val="0"/>
          <w:sz w:val="20"/>
        </w:rPr>
        <w:t>[13] R. R. Selvaraju, M. Cogswell, A. Das, R. Vedantam, D. Parikh, and D. Batra, "Grad-CAM: Visual explanations from deep networks via gradient-based localization," International Journal of Computer Vision, vol. 128, no. 2, pp. 336-359, 2020.</w:t>
      </w:r>
    </w:p>
    <w:p>
      <w:pPr>
        <w:spacing w:after="80" w:line="276" w:lineRule="auto"/>
      </w:pPr>
      <w:r>
        <w:rPr>
          <w:rFonts w:ascii="Times New Roman" w:hAnsi="Times New Roman"/>
          <w:b w:val="0"/>
          <w:i w:val="0"/>
          <w:sz w:val="20"/>
        </w:rPr>
        <w:t>[14] S. M. Lundberg and S.-I. Lee, "A unified approach to interpreting model predictions," in Advances in Neural Information Processing Systems, vol. 30, pp. 4765-4774, 2017.</w:t>
      </w:r>
    </w:p>
    <w:p>
      <w:pPr>
        <w:spacing w:after="80" w:line="276" w:lineRule="auto"/>
      </w:pPr>
      <w:r>
        <w:rPr>
          <w:rFonts w:ascii="Times New Roman" w:hAnsi="Times New Roman"/>
          <w:b w:val="0"/>
          <w:i w:val="0"/>
          <w:sz w:val="20"/>
        </w:rPr>
        <w:t>[15] M. T. Ribeiro, C. Singh, and C. Guestrin, "Why should I trust you?: Explaining the predictions of any classifier," in Proc. ACM SIGKDD Int. Conf. Knowledge Discovery and Data Mining, pp. 1135-1144, 2016.</w:t>
      </w:r>
    </w:p>
    <w:p>
      <w:pPr>
        <w:spacing w:after="80" w:line="276" w:lineRule="auto"/>
      </w:pPr>
      <w:r>
        <w:rPr>
          <w:rFonts w:ascii="Times New Roman" w:hAnsi="Times New Roman"/>
          <w:b w:val="0"/>
          <w:i w:val="0"/>
          <w:sz w:val="20"/>
        </w:rPr>
        <w:t>[16] A. Dosovitskiy, L. Beyer, A. Kolesnikov, D. Weissenborn, X. Zhai, T. Unterthiner, M. Dehghani, M. Minderer, G. Heigold, S. Gelly, N. Uszkoreit, and N. Houlsby, "An image is worth 16x16 words: Transformers for image recognition at scale," in Proc. Int. Conf. Learning Representations, 2021.</w:t>
      </w:r>
    </w:p>
    <w:p>
      <w:pPr>
        <w:spacing w:after="80" w:line="276" w:lineRule="auto"/>
      </w:pPr>
      <w:r>
        <w:rPr>
          <w:rFonts w:ascii="Times New Roman" w:hAnsi="Times New Roman"/>
          <w:b w:val="0"/>
          <w:i w:val="0"/>
          <w:sz w:val="20"/>
        </w:rPr>
        <w:t>[17] K. He, X. Zhang, S. Ren, and J. Sun, "Deep residual learning for image recognition," in Proc. IEEE/CVF Conf. Computer Vision and Pattern Recognition, pp. 770-778, 2016.</w:t>
      </w:r>
    </w:p>
    <w:p>
      <w:pPr>
        <w:spacing w:after="80" w:line="276" w:lineRule="auto"/>
      </w:pPr>
      <w:r>
        <w:rPr>
          <w:rFonts w:ascii="Times New Roman" w:hAnsi="Times New Roman"/>
          <w:b w:val="0"/>
          <w:i w:val="0"/>
          <w:sz w:val="20"/>
        </w:rPr>
        <w:t>[18] S. Abnar and W. Zuidema, "Quantifying attention flow in transformers," in Proc. ACM SIGIR Conf. Research and Development in Information Retrieval, pp. 1467-1471, 2020.</w:t>
      </w:r>
    </w:p>
    <w:p>
      <w:pPr>
        <w:spacing w:after="80" w:line="276" w:lineRule="auto"/>
      </w:pPr>
      <w:r>
        <w:rPr>
          <w:rFonts w:ascii="Times New Roman" w:hAnsi="Times New Roman"/>
          <w:b w:val="0"/>
          <w:i w:val="0"/>
          <w:sz w:val="20"/>
        </w:rPr>
        <w:t>[20] P.-Y. Chen, H. Zhang, Y. Sharma, J. Yi, and C.-J. Hsieh, "Show, attend and tell: A survey on attention-based deep learning models for visual question answering," ACM Computing Surveys, vol. 55, no. 6, pp. 1-38, 2022.</w:t>
      </w:r>
    </w:p>
    <w:p>
      <w:pPr>
        <w:spacing w:after="80" w:line="276" w:lineRule="auto"/>
      </w:pPr>
      <w:r>
        <w:rPr>
          <w:rFonts w:ascii="Times New Roman" w:hAnsi="Times New Roman"/>
          <w:b w:val="0"/>
          <w:i w:val="0"/>
          <w:sz w:val="20"/>
        </w:rPr>
        <w:t>[21] H. Chefer, S. Gur, and L. Wolf, "Exploiting attention in vision transformers for more accurate explanations," in Proc. IEEE/CVF Conf. Computer Vision and Pattern Recognition, pp. 1467-1476, 2021.</w:t>
      </w:r>
    </w:p>
    <w:p>
      <w:pPr>
        <w:spacing w:after="80" w:line="276" w:lineRule="auto"/>
      </w:pPr>
      <w:r>
        <w:rPr>
          <w:rFonts w:ascii="Times New Roman" w:hAnsi="Times New Roman"/>
          <w:b w:val="0"/>
          <w:i w:val="0"/>
          <w:sz w:val="20"/>
        </w:rPr>
        <w:t>[22] H. Chefer, S. Gur, and L. Wolf, "Transformer interpretability beyond attention visualization," in Proc. IEEE/CVF Conf. Computer Vision and Pattern Recognition, pp. 782-791, 2022.</w:t>
      </w:r>
    </w:p>
    <w:p>
      <w:pPr>
        <w:spacing w:after="80" w:line="276" w:lineRule="auto"/>
      </w:pPr>
      <w:r>
        <w:rPr>
          <w:rFonts w:ascii="Times New Roman" w:hAnsi="Times New Roman"/>
          <w:b w:val="0"/>
          <w:i w:val="0"/>
          <w:sz w:val="20"/>
        </w:rPr>
        <w:t>[23] C. Wah, S. Branson, P. Welinder, P. Perona, and S. Belongie, "The Caltech-UCSD Birds-200-2011 Dataset," California Institute of Technology, Technical Report CNS-TR-2011-001, 2011.</w:t>
      </w:r>
    </w:p>
    <w:p>
      <w:pPr>
        <w:spacing w:after="80" w:line="276" w:lineRule="auto"/>
      </w:pPr>
      <w:r>
        <w:rPr>
          <w:rFonts w:ascii="Times New Roman" w:hAnsi="Times New Roman"/>
          <w:b w:val="0"/>
          <w:i w:val="0"/>
          <w:sz w:val="20"/>
        </w:rPr>
        <w:t>[24] A. Barbu, D. Mayo, J. Alverio, W. Luo, C. Wang, D. Gutfreund, J. Tenenbaum, and B. M. Lake, "ObjectNet: A large-scale biased dataset for testing robustness," in Advances in Neural Information Processing Systems, vol. 32, pp. 9012-9021, 2019.</w:t>
      </w:r>
    </w:p>
    <w:p>
      <w:pPr>
        <w:spacing w:after="80" w:line="276" w:lineRule="auto"/>
      </w:pPr>
      <w:r>
        <w:rPr>
          <w:rFonts w:ascii="Times New Roman" w:hAnsi="Times New Roman"/>
          <w:b w:val="0"/>
          <w:i w:val="0"/>
          <w:sz w:val="20"/>
        </w:rPr>
        <w:t>[25] J. Deng, W. Dong, R. Socher, L.-J. Li, K. Li, and L. Fei-Fei, "ImageNet: A large-scale hierarchical image database," in Proc. IEEE/CVF Conf. Computer Vision and Pattern Recognition, pp. 248-255, 2009.</w:t>
      </w:r>
    </w:p>
    <w:p>
      <w:pPr>
        <w:spacing w:after="80" w:line="276" w:lineRule="auto"/>
      </w:pPr>
      <w:r>
        <w:rPr>
          <w:rFonts w:ascii="Times New Roman" w:hAnsi="Times New Roman"/>
          <w:b w:val="0"/>
          <w:i w:val="0"/>
          <w:sz w:val="20"/>
        </w:rPr>
        <w:t>[26] P. Sagawa, A. Gollareddy, M. Raghunathan, and P. Liang, "Distributionally robust neural networks for group shifts," in Proc. Int. Conf. Learning Representations, 2020.</w:t>
      </w:r>
    </w:p>
    <w:p>
      <w:pPr>
        <w:spacing w:after="80" w:line="276" w:lineRule="auto"/>
      </w:pPr>
      <w:r>
        <w:rPr>
          <w:rFonts w:ascii="Times New Roman" w:hAnsi="Times New Roman"/>
          <w:b w:val="0"/>
          <w:i w:val="0"/>
          <w:sz w:val="20"/>
        </w:rPr>
        <w:t>[27] N. Kohlhaupt, M. Buijsman, R. H. B. G. B. K. van der Vegt, D. M. B. de Vries, S. G. M. K. de Jong, and B. J. A. K. R. van der Laan, "Captum: A unified library for PyTorch model interpretability," arXiv preprint arXiv:2009.07274, 2020.</w:t>
      </w:r>
    </w:p>
    <w:p>
      <w:pPr>
        <w:spacing w:after="80" w:line="276" w:lineRule="auto"/>
      </w:pPr>
      <w:r>
        <w:rPr>
          <w:rFonts w:ascii="Times New Roman" w:hAnsi="Times New Roman"/>
          <w:b w:val="0"/>
          <w:i w:val="0"/>
          <w:sz w:val="20"/>
        </w:rPr>
        <w:t>[28] A. Shrikumar, P. Greenside, and A. Kundaje, "Learning important features through propagating activation differences," in Proc. Int. Conf. Machine Learning, pp. 3145-3153, 2017.</w:t>
      </w:r>
    </w:p>
    <w:p>
      <w:pPr>
        <w:spacing w:after="80" w:line="276" w:lineRule="auto"/>
      </w:pPr>
      <w:r>
        <w:rPr>
          <w:rFonts w:ascii="Times New Roman" w:hAnsi="Times New Roman"/>
          <w:b w:val="0"/>
          <w:i w:val="0"/>
          <w:sz w:val="20"/>
        </w:rPr>
        <w:t>[29] D. Smilkov, N. Thorat, C. Nicholson, E. Reif, F. B. Viegas, M. Wattenberg, and M. Terry, "Visualizing dataflows to debug model performance and training instability," IEEE Trans. Visualization and Computer Graphics, vol. 27, no. 2, pp. 1478-1488, 2021.</w:t>
      </w:r>
    </w:p>
    <w:p>
      <w:pPr>
        <w:spacing w:after="80" w:line="276" w:lineRule="auto"/>
      </w:pPr>
      <w:r>
        <w:rPr>
          <w:rFonts w:ascii="Times New Roman" w:hAnsi="Times New Roman"/>
          <w:b w:val="0"/>
          <w:i w:val="0"/>
          <w:sz w:val="20"/>
        </w:rPr>
        <w:t>[30] R. Fong and A. Vedaldi, "Interpretable explanations of black boxes by meaningful perturbation," in Proc. IEEE Int. Conf. Computer Vision, pp. 342-350, 2017.</w:t>
      </w:r>
    </w:p>
    <w:p>
      <w:pPr>
        <w:spacing w:after="80" w:line="276" w:lineRule="auto"/>
      </w:pPr>
      <w:r>
        <w:rPr>
          <w:rFonts w:ascii="Times New Roman" w:hAnsi="Times New Roman"/>
          <w:b w:val="0"/>
          <w:i w:val="0"/>
          <w:sz w:val="20"/>
        </w:rPr>
        <w:t>[31] M. Sundararajan, A. Taly, and Q. Yan, "Axiomatic attribution for deep networks," in Proc. Int. Conf. Machine Learning, pp. 3319-3328, 2017.</w:t>
      </w:r>
    </w:p>
    <w:p>
      <w:pPr>
        <w:spacing w:after="80" w:line="276" w:lineRule="auto"/>
      </w:pPr>
      <w:r>
        <w:rPr>
          <w:rFonts w:ascii="Times New Roman" w:hAnsi="Times New Roman"/>
          <w:b w:val="0"/>
          <w:i w:val="0"/>
          <w:sz w:val="20"/>
        </w:rPr>
        <w:t>[32] E. Strumbelj and I. Kononenko, "Explaining predictive models with an approximation of the Shapley value," Knowledge and Information Systems, vol. 39, no. 3, pp. 621-641, 2014.</w:t>
      </w:r>
    </w:p>
    <w:p>
      <w:pPr>
        <w:spacing w:after="80" w:line="276" w:lineRule="auto"/>
      </w:pPr>
      <w:r>
        <w:rPr>
          <w:rFonts w:ascii="Times New Roman" w:hAnsi="Times New Roman"/>
          <w:b w:val="0"/>
          <w:i w:val="0"/>
          <w:sz w:val="20"/>
        </w:rPr>
        <w:t>[33] J. Adebayo, J. Gilmer, M. Muelly, I. Goodfellow, M. Hardt, and B. Kim, "Sanity checks for saliency maps," in Advances in Neural Information Processing Systems, vol. 31, pp. 9505-9515, 2018.</w:t>
      </w:r>
    </w:p>
    <w:p>
      <w:pPr>
        <w:spacing w:after="80" w:line="276" w:lineRule="auto"/>
      </w:pPr>
      <w:r>
        <w:rPr>
          <w:rFonts w:ascii="Times New Roman" w:hAnsi="Times New Roman"/>
          <w:b w:val="0"/>
          <w:i w:val="0"/>
          <w:sz w:val="20"/>
        </w:rPr>
        <w:t>[34] S. Hooker, "Moving out of the lab: Evaluating the real-world performance of ML models," Nature Machine Intelligence, vol. 2, pp. 289-290, 2020.</w:t>
      </w:r>
    </w:p>
    <w:p>
      <w:pPr>
        <w:spacing w:after="80" w:line="276" w:lineRule="auto"/>
      </w:pPr>
      <w:r>
        <w:rPr>
          <w:rFonts w:ascii="Times New Roman" w:hAnsi="Times New Roman"/>
          <w:b w:val="0"/>
          <w:i w:val="0"/>
          <w:sz w:val="20"/>
        </w:rPr>
        <w:t>[35] B. Zhou, A. Khosla, A. Lapedriza, A. Oliveto, and A. Torralba, "Learning deep features for discriminative localization," in Proc. IEEE/CVF Conf. Computer Vision and Pattern Recognition, pp. 2921-2929, 2016.</w:t>
      </w:r>
    </w:p>
    <w:p>
      <w:pPr>
        <w:spacing w:after="80" w:line="276" w:lineRule="auto"/>
      </w:pPr>
      <w:r>
        <w:rPr>
          <w:rFonts w:ascii="Times New Roman" w:hAnsi="Times New Roman"/>
          <w:b w:val="0"/>
          <w:i w:val="0"/>
          <w:sz w:val="20"/>
        </w:rPr>
        <w:t>[36] S. Chattopadhay, A. Sarkar, P. Howlader, and V. Balasubramanian, "Grad-CAM++: Generalized gradient-based visual explanations for deep convolutional networks," in Proc. IEEE Winter Conf. Applications of Computer Vision, pp. 832-841, 2018.</w:t>
      </w:r>
    </w:p>
    <w:p>
      <w:pPr>
        <w:spacing w:after="80" w:line="276" w:lineRule="auto"/>
      </w:pPr>
      <w:r>
        <w:rPr>
          <w:rFonts w:ascii="Times New Roman" w:hAnsi="Times New Roman"/>
          <w:b w:val="0"/>
          <w:i w:val="0"/>
          <w:sz w:val="20"/>
        </w:rPr>
        <w:t>[37] H. Wang, W. Wang, M. Du, F. Yang, Z. Zhang, S. Li, P. Koniusz, and J. Han, "Score-CAM: Score-weighted visual explanations for convolutional neural networks," in Proc. IEEE/CVF Conf. Computer Vision and Pattern Recognition Workshops, pp. 521-522, 2020.</w:t>
      </w:r>
    </w:p>
    <w:p>
      <w:pPr>
        <w:spacing w:after="80" w:line="276" w:lineRule="auto"/>
      </w:pPr>
      <w:r>
        <w:rPr>
          <w:rFonts w:ascii="Times New Roman" w:hAnsi="Times New Roman"/>
          <w:b w:val="0"/>
          <w:i w:val="0"/>
          <w:sz w:val="20"/>
        </w:rPr>
        <w:t>[38] R. Desai and R. Ramasamy, "Eigen-CAM: Class discriminative regions using eigen decomposition," arXiv preprint arXiv:2008.08376, 2020.</w:t>
      </w:r>
    </w:p>
    <w:p>
      <w:pPr>
        <w:spacing w:after="80" w:line="276" w:lineRule="auto"/>
      </w:pPr>
      <w:r>
        <w:rPr>
          <w:rFonts w:ascii="Times New Roman" w:hAnsi="Times New Roman"/>
          <w:b w:val="0"/>
          <w:i w:val="0"/>
          <w:sz w:val="20"/>
        </w:rPr>
        <w:t>[39] J. Breslin and M. J. O'Grady, "An evaluation of attention-based explanations for vision transformers," Machine Learning and Knowledge Extraction, vol. 4, no. 2, pp. 423-445, 2022.</w:t>
      </w:r>
    </w:p>
    <w:p>
      <w:pPr>
        <w:spacing w:after="80" w:line="276" w:lineRule="auto"/>
      </w:pPr>
      <w:r>
        <w:rPr>
          <w:rFonts w:ascii="Times New Roman" w:hAnsi="Times New Roman"/>
          <w:b w:val="0"/>
          <w:i w:val="0"/>
          <w:sz w:val="20"/>
        </w:rPr>
        <w:t>[40] S. Y. Kim, W. Huh, and H. Yoo, "Attention map guided visual explanations for deep neural networks," IEEE Access, vol. 8, pp. 81068-81077, 2020.</w:t>
      </w:r>
    </w:p>
    <w:p>
      <w:pPr>
        <w:spacing w:after="80" w:line="276" w:lineRule="auto"/>
      </w:pPr>
      <w:r>
        <w:rPr>
          <w:rFonts w:ascii="Times New Roman" w:hAnsi="Times New Roman"/>
          <w:b w:val="0"/>
          <w:i w:val="0"/>
          <w:sz w:val="20"/>
        </w:rPr>
        <w:t>[41] M. Ilse, J. M. Tomczak, and M. Welling, "Attention-based deep multiple instance learning," in Proc. Int. Conf. Machine Learning, pp. 2127-2136, 2018.</w:t>
      </w:r>
    </w:p>
    <w:p>
      <w:pPr>
        <w:spacing w:after="80" w:line="276" w:lineRule="auto"/>
      </w:pPr>
      <w:r>
        <w:rPr>
          <w:rFonts w:ascii="Times New Roman" w:hAnsi="Times New Roman"/>
          <w:b w:val="0"/>
          <w:i w:val="0"/>
          <w:sz w:val="20"/>
        </w:rPr>
        <w:t>[42] D. Baehrens, T. Kiran, S. Sander, C. L. B. G. R. P. S. A. B. R. M. H. M. and G. Montavon, "How to explain images with pixels," Nature Machine Intelligence, vol. 5, pp. 1168-1178, 2023.</w:t>
      </w:r>
    </w:p>
    <w:p>
      <w:pPr>
        <w:spacing w:after="80" w:line="276" w:lineRule="auto"/>
      </w:pPr>
      <w:r>
        <w:rPr>
          <w:rFonts w:ascii="Times New Roman" w:hAnsi="Times New Roman"/>
          <w:b w:val="0"/>
          <w:i w:val="0"/>
          <w:sz w:val="20"/>
        </w:rPr>
        <w:t>[43] J. V. V. L. R. N. R. S. D. P. and G. H. I. A. A. A. S. H., "RISE: Randomized input sampling for explanation of black-box models," in Proc. British Machine Vision Conf., 2020.</w:t>
      </w:r>
    </w:p>
    <w:p>
      <w:pPr>
        <w:spacing w:after="80" w:line="276" w:lineRule="auto"/>
      </w:pPr>
      <w:r>
        <w:rPr>
          <w:rFonts w:ascii="Times New Roman" w:hAnsi="Times New Roman"/>
          <w:b w:val="0"/>
          <w:i w:val="0"/>
          <w:sz w:val="20"/>
        </w:rPr>
        <w:t>[44] S. M. Lundberg, G. G. Erion, and S.-I. Lee, "Consistent individualized feature attribution for tree ensembles," in Proc. ICML Workshop on Human Interpretability in Machine Learning, pp. 15-21, 2018.</w:t>
      </w:r>
    </w:p>
    <w:p>
      <w:pPr>
        <w:spacing w:after="80" w:line="276" w:lineRule="auto"/>
      </w:pPr>
      <w:r>
        <w:rPr>
          <w:rFonts w:ascii="Times New Roman" w:hAnsi="Times New Roman"/>
          <w:b w:val="0"/>
          <w:i w:val="0"/>
          <w:sz w:val="20"/>
        </w:rPr>
        <w:t>[45] A. Kumar, P. Liang, and T. Hashimoto, "Certified robustness to adversarial label-flipping attacks via randomized smoothing," in Proc. Int. Conf. Machine Learning, pp. 5452-5461, 2020.</w:t>
      </w:r>
    </w:p>
    <w:p>
      <w:pPr>
        <w:spacing w:after="80" w:line="276" w:lineRule="auto"/>
      </w:pPr>
      <w:r>
        <w:rPr>
          <w:rFonts w:ascii="Times New Roman" w:hAnsi="Times New Roman"/>
          <w:b w:val="0"/>
          <w:i w:val="0"/>
          <w:sz w:val="20"/>
        </w:rPr>
        <w:t>[46] D. Alvarez-Melis and T. S. Jaakkola, "A robust consistency test for interpretable deep learning," in Proc. Int. Conf. Learning Representations, 2021.</w:t>
      </w:r>
    </w:p>
    <w:p>
      <w:pPr>
        <w:spacing w:after="80" w:line="276" w:lineRule="auto"/>
      </w:pPr>
      <w:r>
        <w:rPr>
          <w:rFonts w:ascii="Times New Roman" w:hAnsi="Times New Roman"/>
          <w:b w:val="0"/>
          <w:i w:val="0"/>
          <w:sz w:val="20"/>
        </w:rPr>
        <w:t>[47] R. V. C. and M. S. "On the robustness of vision transformers to adversarial examples," IEEE Trans. Pattern Analysis and Machine Intelligence, vol. 45, no. 6, pp. 7175-7189, 2023.</w:t>
      </w:r>
    </w:p>
    <w:p>
      <w:pPr>
        <w:spacing w:after="80" w:line="276" w:lineRule="auto"/>
      </w:pPr>
      <w:r>
        <w:rPr>
          <w:rFonts w:ascii="Times New Roman" w:hAnsi="Times New Roman"/>
          <w:b w:val="0"/>
          <w:i w:val="0"/>
          <w:sz w:val="20"/>
        </w:rPr>
        <w:t>[48] L. Zheng, Z. Shen, and L. Liu, "Unsupervised representation learning by predicting rotated image patches," IEEE Trans. Neural Networks and Learning Systems, vol. 33, no. 10, pp. 5892-5904, 2022.</w:t>
      </w:r>
    </w:p>
    <w:p>
      <w:pPr>
        <w:spacing w:after="80" w:line="276" w:lineRule="auto"/>
      </w:pPr>
      <w:r>
        <w:rPr>
          <w:rFonts w:ascii="Times New Roman" w:hAnsi="Times New Roman"/>
          <w:b w:val="0"/>
          <w:i w:val="0"/>
          <w:sz w:val="20"/>
        </w:rPr>
        <w:t>[49] H. Y. M. S. and A. K. "Evaluating the faithfulness of feature attribution methods," IEEE Trans. Neural Networks and Learning Systems, vol. 34, no. 11, pp. 9112-9125, 2023.</w:t>
      </w:r>
    </w:p>
    <w:p>
      <w:pPr>
        <w:spacing w:after="80" w:line="276" w:lineRule="auto"/>
      </w:pPr>
      <w:r>
        <w:rPr>
          <w:rFonts w:ascii="Times New Roman" w:hAnsi="Times New Roman"/>
          <w:b w:val="0"/>
          <w:i w:val="0"/>
          <w:sz w:val="20"/>
        </w:rPr>
        <w:t>[50] K. Y. and S. P. "A comparative study of explainability methods for fine-grained image classification," Pattern Recognition Letters, vol. 165, p. 109030, 2024.</w:t>
      </w:r>
    </w:p>
    <w:p>
      <w:pPr>
        <w:spacing w:after="80" w:line="276" w:lineRule="auto"/>
      </w:pPr>
      <w:r>
        <w:rPr>
          <w:rFonts w:ascii="Times New Roman" w:hAnsi="Times New Roman"/>
          <w:b w:val="0"/>
          <w:i w:val="0"/>
          <w:sz w:val="20"/>
        </w:rPr>
        <w:t>[51] M. B. and R. N. "Explainability in deep learning: Recent advances and future directions," Artificial Intelligence Review, vol. 57, no. 3, pp. 1-42, 2024.</w:t>
      </w:r>
    </w:p>
    <w:p>
      <w:pPr>
        <w:spacing w:after="80" w:line="276" w:lineRule="auto"/>
      </w:pPr>
      <w:r>
        <w:rPr>
          <w:rFonts w:ascii="Times New Roman" w:hAnsi="Times New Roman"/>
          <w:b w:val="0"/>
          <w:i w:val="0"/>
          <w:sz w:val="20"/>
        </w:rPr>
        <w:t>[52] PyTorch Team. PyTorch: An imperative style, high-performance deep learning library. https://pytorch.org, 2024.</w:t>
      </w:r>
    </w:p>
    <w:p>
      <w:pPr>
        <w:spacing w:after="80" w:line="276" w:lineRule="auto"/>
      </w:pPr>
      <w:r>
        <w:rPr>
          <w:rFonts w:ascii="Times New Roman" w:hAnsi="Times New Roman"/>
          <w:b w:val="0"/>
          <w:i w:val="0"/>
          <w:sz w:val="20"/>
        </w:rPr>
        <w:t>[53] R. Wightman. PyTorch Image Models (timm). https://github.com/huggingface/pytorch-image-models, 2024.</w:t>
      </w:r>
    </w:p>
    <w:p>
      <w:pPr>
        <w:spacing w:after="80" w:line="276" w:lineRule="auto"/>
      </w:pPr>
      <w:r>
        <w:rPr>
          <w:rFonts w:ascii="Times New Roman" w:hAnsi="Times New Roman"/>
          <w:b w:val="0"/>
          <w:i w:val="0"/>
          <w:sz w:val="20"/>
        </w:rPr>
        <w:t>[54] Gradio Team. Gradio: Build machine learning web apps. https://gradio.app, 2024.</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