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024F8E" w14:textId="77777777" w:rsidR="00913C0F" w:rsidRPr="00913C0F" w:rsidRDefault="00913C0F" w:rsidP="00913C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3C0F">
        <w:rPr>
          <w:rFonts w:ascii="Times New Roman" w:eastAsia="Times New Roman" w:hAnsi="Times New Roman" w:cs="Times New Roman"/>
          <w:b/>
          <w:bCs/>
          <w:kern w:val="0"/>
          <w:sz w:val="36"/>
          <w:szCs w:val="36"/>
          <w14:ligatures w14:val="none"/>
        </w:rPr>
        <w:t>How missing values are handled</w:t>
      </w:r>
    </w:p>
    <w:p w14:paraId="05B2C418" w14:textId="77777777" w:rsidR="00913C0F" w:rsidRPr="00913C0F" w:rsidRDefault="00913C0F" w:rsidP="00913C0F">
      <w:p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kern w:val="0"/>
          <w14:ligatures w14:val="none"/>
        </w:rPr>
        <w:t xml:space="preserve">This pipeline </w:t>
      </w:r>
      <w:r w:rsidRPr="00913C0F">
        <w:rPr>
          <w:rFonts w:ascii="Times New Roman" w:eastAsia="Times New Roman" w:hAnsi="Times New Roman" w:cs="Times New Roman"/>
          <w:b/>
          <w:bCs/>
          <w:kern w:val="0"/>
          <w14:ligatures w14:val="none"/>
        </w:rPr>
        <w:t>does not fill in or guess missing values</w:t>
      </w:r>
      <w:r w:rsidRPr="00913C0F">
        <w:rPr>
          <w:rFonts w:ascii="Times New Roman" w:eastAsia="Times New Roman" w:hAnsi="Times New Roman" w:cs="Times New Roman"/>
          <w:kern w:val="0"/>
          <w14:ligatures w14:val="none"/>
        </w:rPr>
        <w:t>. Instead, it cleans known missing-value codes, reports missingness, and excludes missing observations when necessary.</w:t>
      </w:r>
    </w:p>
    <w:p w14:paraId="36198777" w14:textId="77777777" w:rsidR="00913C0F" w:rsidRPr="00913C0F" w:rsidRDefault="00913C0F" w:rsidP="00913C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b/>
          <w:bCs/>
          <w:kern w:val="0"/>
          <w14:ligatures w14:val="none"/>
        </w:rPr>
        <w:t xml:space="preserve">Special codes are converted to </w:t>
      </w:r>
      <w:r w:rsidRPr="00913C0F">
        <w:rPr>
          <w:rFonts w:ascii="Courier New" w:eastAsia="Times New Roman" w:hAnsi="Courier New" w:cs="Courier New"/>
          <w:b/>
          <w:bCs/>
          <w:kern w:val="0"/>
          <w:sz w:val="20"/>
          <w:szCs w:val="20"/>
          <w14:ligatures w14:val="none"/>
        </w:rPr>
        <w:t>NA</w:t>
      </w:r>
      <w:r w:rsidRPr="00913C0F">
        <w:rPr>
          <w:rFonts w:ascii="Times New Roman" w:eastAsia="Times New Roman" w:hAnsi="Times New Roman" w:cs="Times New Roman"/>
          <w:kern w:val="0"/>
          <w14:ligatures w14:val="none"/>
        </w:rPr>
        <w:t xml:space="preserve"> </w:t>
      </w:r>
    </w:p>
    <w:p w14:paraId="0C6EA34B" w14:textId="77777777" w:rsidR="00913C0F" w:rsidRPr="00913C0F" w:rsidRDefault="00913C0F" w:rsidP="00913C0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kern w:val="0"/>
          <w14:ligatures w14:val="none"/>
        </w:rPr>
        <w:t xml:space="preserve">DHS codes such as </w:t>
      </w:r>
      <w:r w:rsidRPr="00913C0F">
        <w:rPr>
          <w:rFonts w:ascii="Courier New" w:eastAsia="Times New Roman" w:hAnsi="Courier New" w:cs="Courier New"/>
          <w:kern w:val="0"/>
          <w:sz w:val="20"/>
          <w:szCs w:val="20"/>
          <w14:ligatures w14:val="none"/>
        </w:rPr>
        <w:t>98</w:t>
      </w:r>
      <w:r w:rsidRPr="00913C0F">
        <w:rPr>
          <w:rFonts w:ascii="Times New Roman" w:eastAsia="Times New Roman" w:hAnsi="Times New Roman" w:cs="Times New Roman"/>
          <w:kern w:val="0"/>
          <w14:ligatures w14:val="none"/>
        </w:rPr>
        <w:t xml:space="preserve"> or </w:t>
      </w:r>
      <w:r w:rsidRPr="00913C0F">
        <w:rPr>
          <w:rFonts w:ascii="Courier New" w:eastAsia="Times New Roman" w:hAnsi="Courier New" w:cs="Courier New"/>
          <w:kern w:val="0"/>
          <w:sz w:val="20"/>
          <w:szCs w:val="20"/>
          <w14:ligatures w14:val="none"/>
        </w:rPr>
        <w:t>99</w:t>
      </w:r>
      <w:r w:rsidRPr="00913C0F">
        <w:rPr>
          <w:rFonts w:ascii="Times New Roman" w:eastAsia="Times New Roman" w:hAnsi="Times New Roman" w:cs="Times New Roman"/>
          <w:kern w:val="0"/>
          <w14:ligatures w14:val="none"/>
        </w:rPr>
        <w:t xml:space="preserve"> may mean "don't know" or "not applicable." </w:t>
      </w:r>
    </w:p>
    <w:p w14:paraId="0B7B3D88" w14:textId="77777777" w:rsidR="00913C0F" w:rsidRPr="00913C0F" w:rsidRDefault="00913C0F" w:rsidP="00913C0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kern w:val="0"/>
          <w14:ligatures w14:val="none"/>
        </w:rPr>
        <w:t xml:space="preserve">These are converted to </w:t>
      </w:r>
      <w:r w:rsidRPr="00913C0F">
        <w:rPr>
          <w:rFonts w:ascii="Courier New" w:eastAsia="Times New Roman" w:hAnsi="Courier New" w:cs="Courier New"/>
          <w:kern w:val="0"/>
          <w:sz w:val="20"/>
          <w:szCs w:val="20"/>
          <w14:ligatures w14:val="none"/>
        </w:rPr>
        <w:t>NA</w:t>
      </w:r>
      <w:r w:rsidRPr="00913C0F">
        <w:rPr>
          <w:rFonts w:ascii="Times New Roman" w:eastAsia="Times New Roman" w:hAnsi="Times New Roman" w:cs="Times New Roman"/>
          <w:kern w:val="0"/>
          <w14:ligatures w14:val="none"/>
        </w:rPr>
        <w:t xml:space="preserve">. </w:t>
      </w:r>
    </w:p>
    <w:p w14:paraId="11F43040" w14:textId="77777777" w:rsidR="00913C0F" w:rsidRPr="00913C0F" w:rsidRDefault="00913C0F" w:rsidP="00913C0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kern w:val="0"/>
          <w14:ligatures w14:val="none"/>
        </w:rPr>
        <w:t xml:space="preserve">For example, an </w:t>
      </w:r>
      <w:r w:rsidRPr="00913C0F">
        <w:rPr>
          <w:rFonts w:ascii="Courier New" w:eastAsia="Times New Roman" w:hAnsi="Courier New" w:cs="Courier New"/>
          <w:kern w:val="0"/>
          <w:sz w:val="20"/>
          <w:szCs w:val="20"/>
          <w14:ligatures w14:val="none"/>
        </w:rPr>
        <w:t>fgm_age</w:t>
      </w:r>
      <w:r w:rsidRPr="00913C0F">
        <w:rPr>
          <w:rFonts w:ascii="Times New Roman" w:eastAsia="Times New Roman" w:hAnsi="Times New Roman" w:cs="Times New Roman"/>
          <w:kern w:val="0"/>
          <w14:ligatures w14:val="none"/>
        </w:rPr>
        <w:t xml:space="preserve"> of </w:t>
      </w:r>
      <w:r w:rsidRPr="00913C0F">
        <w:rPr>
          <w:rFonts w:ascii="Courier New" w:eastAsia="Times New Roman" w:hAnsi="Courier New" w:cs="Courier New"/>
          <w:kern w:val="0"/>
          <w:sz w:val="20"/>
          <w:szCs w:val="20"/>
          <w14:ligatures w14:val="none"/>
        </w:rPr>
        <w:t>98</w:t>
      </w:r>
      <w:r w:rsidRPr="00913C0F">
        <w:rPr>
          <w:rFonts w:ascii="Times New Roman" w:eastAsia="Times New Roman" w:hAnsi="Times New Roman" w:cs="Times New Roman"/>
          <w:kern w:val="0"/>
          <w14:ligatures w14:val="none"/>
        </w:rPr>
        <w:t xml:space="preserve"> will become </w:t>
      </w:r>
      <w:r w:rsidRPr="00913C0F">
        <w:rPr>
          <w:rFonts w:ascii="Courier New" w:eastAsia="Times New Roman" w:hAnsi="Courier New" w:cs="Courier New"/>
          <w:kern w:val="0"/>
          <w:sz w:val="20"/>
          <w:szCs w:val="20"/>
          <w14:ligatures w14:val="none"/>
        </w:rPr>
        <w:t>NA</w:t>
      </w:r>
      <w:r w:rsidRPr="00913C0F">
        <w:rPr>
          <w:rFonts w:ascii="Times New Roman" w:eastAsia="Times New Roman" w:hAnsi="Times New Roman" w:cs="Times New Roman"/>
          <w:kern w:val="0"/>
          <w14:ligatures w14:val="none"/>
        </w:rPr>
        <w:t xml:space="preserve">, rather than being treated as age 98. </w:t>
      </w:r>
    </w:p>
    <w:p w14:paraId="5FEBB04F" w14:textId="77777777" w:rsidR="00913C0F" w:rsidRPr="00913C0F" w:rsidRDefault="00913C0F" w:rsidP="00913C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b/>
          <w:bCs/>
          <w:kern w:val="0"/>
          <w14:ligatures w14:val="none"/>
        </w:rPr>
        <w:t>Different types of missingness are identified</w:t>
      </w:r>
      <w:r w:rsidRPr="00913C0F">
        <w:rPr>
          <w:rFonts w:ascii="Times New Roman" w:eastAsia="Times New Roman" w:hAnsi="Times New Roman" w:cs="Times New Roman"/>
          <w:kern w:val="0"/>
          <w14:ligatures w14:val="none"/>
        </w:rPr>
        <w:t xml:space="preserve"> </w:t>
      </w:r>
    </w:p>
    <w:p w14:paraId="6FD7B537" w14:textId="77777777" w:rsidR="00913C0F" w:rsidRPr="00913C0F" w:rsidRDefault="00913C0F" w:rsidP="00913C0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kern w:val="0"/>
          <w14:ligatures w14:val="none"/>
        </w:rPr>
        <w:t xml:space="preserve">The pipeline distinguishes between: </w:t>
      </w:r>
    </w:p>
    <w:p w14:paraId="414FFC1C" w14:textId="77777777" w:rsidR="00913C0F" w:rsidRPr="00913C0F" w:rsidRDefault="00913C0F" w:rsidP="00913C0F">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b/>
          <w:bCs/>
          <w:kern w:val="0"/>
          <w14:ligatures w14:val="none"/>
        </w:rPr>
        <w:t>Structural missingness</w:t>
      </w:r>
      <w:r w:rsidRPr="00913C0F">
        <w:rPr>
          <w:rFonts w:ascii="Times New Roman" w:eastAsia="Times New Roman" w:hAnsi="Times New Roman" w:cs="Times New Roman"/>
          <w:kern w:val="0"/>
          <w14:ligatures w14:val="none"/>
        </w:rPr>
        <w:t xml:space="preserve"> – the question was never asked because it wasn't applicable. </w:t>
      </w:r>
    </w:p>
    <w:p w14:paraId="3487A50D" w14:textId="77777777" w:rsidR="00913C0F" w:rsidRPr="00913C0F" w:rsidRDefault="00913C0F" w:rsidP="00913C0F">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b/>
          <w:bCs/>
          <w:kern w:val="0"/>
          <w14:ligatures w14:val="none"/>
        </w:rPr>
        <w:t>Missing information</w:t>
      </w:r>
      <w:r w:rsidRPr="00913C0F">
        <w:rPr>
          <w:rFonts w:ascii="Times New Roman" w:eastAsia="Times New Roman" w:hAnsi="Times New Roman" w:cs="Times New Roman"/>
          <w:kern w:val="0"/>
          <w14:ligatures w14:val="none"/>
        </w:rPr>
        <w:t xml:space="preserve"> – the question should have been answered but wasn't. </w:t>
      </w:r>
    </w:p>
    <w:p w14:paraId="52D3A642" w14:textId="77777777" w:rsidR="00913C0F" w:rsidRPr="00913C0F" w:rsidRDefault="00913C0F" w:rsidP="00913C0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kern w:val="0"/>
          <w14:ligatures w14:val="none"/>
        </w:rPr>
        <w:t xml:space="preserve">The QA report shows these separately so large amounts of missing data can be detected. </w:t>
      </w:r>
    </w:p>
    <w:p w14:paraId="1C9E1735" w14:textId="77777777" w:rsidR="00913C0F" w:rsidRPr="00913C0F" w:rsidRDefault="00913C0F" w:rsidP="00913C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b/>
          <w:bCs/>
          <w:kern w:val="0"/>
          <w14:ligatures w14:val="none"/>
        </w:rPr>
        <w:t>Rows with missing outcomes are excluded</w:t>
      </w:r>
      <w:r w:rsidRPr="00913C0F">
        <w:rPr>
          <w:rFonts w:ascii="Times New Roman" w:eastAsia="Times New Roman" w:hAnsi="Times New Roman" w:cs="Times New Roman"/>
          <w:kern w:val="0"/>
          <w14:ligatures w14:val="none"/>
        </w:rPr>
        <w:t xml:space="preserve"> </w:t>
      </w:r>
    </w:p>
    <w:p w14:paraId="77ED0EF0" w14:textId="77777777" w:rsidR="00913C0F" w:rsidRPr="00913C0F" w:rsidRDefault="00913C0F" w:rsidP="00913C0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kern w:val="0"/>
          <w14:ligatures w14:val="none"/>
        </w:rPr>
        <w:t xml:space="preserve">For example, respondents without a known FGM outcome are excluded from the FGM analysis. </w:t>
      </w:r>
    </w:p>
    <w:p w14:paraId="5C63005A" w14:textId="77777777" w:rsidR="00913C0F" w:rsidRPr="00913C0F" w:rsidRDefault="00913C0F" w:rsidP="00913C0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b/>
          <w:bCs/>
          <w:kern w:val="0"/>
          <w14:ligatures w14:val="none"/>
        </w:rPr>
        <w:t>No value is guessed or imputed.</w:t>
      </w:r>
      <w:r w:rsidRPr="00913C0F">
        <w:rPr>
          <w:rFonts w:ascii="Times New Roman" w:eastAsia="Times New Roman" w:hAnsi="Times New Roman" w:cs="Times New Roman"/>
          <w:kern w:val="0"/>
          <w14:ligatures w14:val="none"/>
        </w:rPr>
        <w:t xml:space="preserve"> </w:t>
      </w:r>
    </w:p>
    <w:p w14:paraId="5D115D93" w14:textId="77777777" w:rsidR="00913C0F" w:rsidRPr="00913C0F" w:rsidRDefault="00913C0F" w:rsidP="00913C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b/>
          <w:bCs/>
          <w:kern w:val="0"/>
          <w14:ligatures w14:val="none"/>
        </w:rPr>
        <w:t>Models exclude rows with missing variables</w:t>
      </w:r>
      <w:r w:rsidRPr="00913C0F">
        <w:rPr>
          <w:rFonts w:ascii="Times New Roman" w:eastAsia="Times New Roman" w:hAnsi="Times New Roman" w:cs="Times New Roman"/>
          <w:kern w:val="0"/>
          <w14:ligatures w14:val="none"/>
        </w:rPr>
        <w:t xml:space="preserve"> </w:t>
      </w:r>
    </w:p>
    <w:p w14:paraId="7E3FCB48" w14:textId="77777777" w:rsidR="00913C0F" w:rsidRPr="00913C0F" w:rsidRDefault="00913C0F" w:rsidP="00913C0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kern w:val="0"/>
          <w14:ligatures w14:val="none"/>
        </w:rPr>
        <w:t xml:space="preserve">R's models generally use </w:t>
      </w:r>
      <w:r w:rsidRPr="00913C0F">
        <w:rPr>
          <w:rFonts w:ascii="Times New Roman" w:eastAsia="Times New Roman" w:hAnsi="Times New Roman" w:cs="Times New Roman"/>
          <w:b/>
          <w:bCs/>
          <w:kern w:val="0"/>
          <w14:ligatures w14:val="none"/>
        </w:rPr>
        <w:t>complete cases</w:t>
      </w:r>
      <w:r w:rsidRPr="00913C0F">
        <w:rPr>
          <w:rFonts w:ascii="Times New Roman" w:eastAsia="Times New Roman" w:hAnsi="Times New Roman" w:cs="Times New Roman"/>
          <w:kern w:val="0"/>
          <w14:ligatures w14:val="none"/>
        </w:rPr>
        <w:t xml:space="preserve">. </w:t>
      </w:r>
    </w:p>
    <w:p w14:paraId="70668529" w14:textId="77777777" w:rsidR="00913C0F" w:rsidRPr="00913C0F" w:rsidRDefault="00913C0F" w:rsidP="00913C0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kern w:val="0"/>
          <w14:ligatures w14:val="none"/>
        </w:rPr>
        <w:t xml:space="preserve">If a model needs age, ethnicity, and FGM status, a respondent missing one of those variables will be excluded from that particular model. </w:t>
      </w:r>
    </w:p>
    <w:p w14:paraId="280F676A" w14:textId="77777777" w:rsidR="00913C0F" w:rsidRPr="00913C0F" w:rsidRDefault="00913C0F" w:rsidP="00913C0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kern w:val="0"/>
          <w14:ligatures w14:val="none"/>
        </w:rPr>
        <w:t xml:space="preserve">Therefore, different models may have different sample sizes. </w:t>
      </w:r>
    </w:p>
    <w:p w14:paraId="71FF082D" w14:textId="77777777" w:rsidR="00913C0F" w:rsidRPr="00913C0F" w:rsidRDefault="00913C0F" w:rsidP="00913C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b/>
          <w:bCs/>
          <w:kern w:val="0"/>
          <w14:ligatures w14:val="none"/>
        </w:rPr>
        <w:t>Missing GPS only affects maps</w:t>
      </w:r>
      <w:r w:rsidRPr="00913C0F">
        <w:rPr>
          <w:rFonts w:ascii="Times New Roman" w:eastAsia="Times New Roman" w:hAnsi="Times New Roman" w:cs="Times New Roman"/>
          <w:kern w:val="0"/>
          <w14:ligatures w14:val="none"/>
        </w:rPr>
        <w:t xml:space="preserve"> </w:t>
      </w:r>
    </w:p>
    <w:p w14:paraId="5FE988CD" w14:textId="77777777" w:rsidR="00913C0F" w:rsidRPr="00913C0F" w:rsidRDefault="00913C0F" w:rsidP="00913C0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kern w:val="0"/>
          <w14:ligatures w14:val="none"/>
        </w:rPr>
        <w:t xml:space="preserve">DHS uses </w:t>
      </w:r>
      <w:r w:rsidRPr="00913C0F">
        <w:rPr>
          <w:rFonts w:ascii="Courier New" w:eastAsia="Times New Roman" w:hAnsi="Courier New" w:cs="Courier New"/>
          <w:kern w:val="0"/>
          <w:sz w:val="20"/>
          <w:szCs w:val="20"/>
          <w14:ligatures w14:val="none"/>
        </w:rPr>
        <w:t>(0,0)</w:t>
      </w:r>
      <w:r w:rsidRPr="00913C0F">
        <w:rPr>
          <w:rFonts w:ascii="Times New Roman" w:eastAsia="Times New Roman" w:hAnsi="Times New Roman" w:cs="Times New Roman"/>
          <w:kern w:val="0"/>
          <w14:ligatures w14:val="none"/>
        </w:rPr>
        <w:t xml:space="preserve"> to indicate missing GPS coordinates. </w:t>
      </w:r>
    </w:p>
    <w:p w14:paraId="1D32143D" w14:textId="77777777" w:rsidR="00913C0F" w:rsidRPr="00913C0F" w:rsidRDefault="00913C0F" w:rsidP="00913C0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kern w:val="0"/>
          <w14:ligatures w14:val="none"/>
        </w:rPr>
        <w:t xml:space="preserve">Those clusters are excluded from </w:t>
      </w:r>
      <w:r w:rsidRPr="00913C0F">
        <w:rPr>
          <w:rFonts w:ascii="Times New Roman" w:eastAsia="Times New Roman" w:hAnsi="Times New Roman" w:cs="Times New Roman"/>
          <w:b/>
          <w:bCs/>
          <w:kern w:val="0"/>
          <w14:ligatures w14:val="none"/>
        </w:rPr>
        <w:t>maps</w:t>
      </w:r>
      <w:r w:rsidRPr="00913C0F">
        <w:rPr>
          <w:rFonts w:ascii="Times New Roman" w:eastAsia="Times New Roman" w:hAnsi="Times New Roman" w:cs="Times New Roman"/>
          <w:kern w:val="0"/>
          <w14:ligatures w14:val="none"/>
        </w:rPr>
        <w:t xml:space="preserve">. </w:t>
      </w:r>
    </w:p>
    <w:p w14:paraId="253F33FD" w14:textId="77777777" w:rsidR="00913C0F" w:rsidRPr="00913C0F" w:rsidRDefault="00913C0F" w:rsidP="00913C0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kern w:val="0"/>
          <w14:ligatures w14:val="none"/>
        </w:rPr>
        <w:t xml:space="preserve">However, their respondents are </w:t>
      </w:r>
      <w:r w:rsidRPr="00913C0F">
        <w:rPr>
          <w:rFonts w:ascii="Times New Roman" w:eastAsia="Times New Roman" w:hAnsi="Times New Roman" w:cs="Times New Roman"/>
          <w:b/>
          <w:bCs/>
          <w:kern w:val="0"/>
          <w14:ligatures w14:val="none"/>
        </w:rPr>
        <w:t>still included in statistical analyses</w:t>
      </w:r>
      <w:r w:rsidRPr="00913C0F">
        <w:rPr>
          <w:rFonts w:ascii="Times New Roman" w:eastAsia="Times New Roman" w:hAnsi="Times New Roman" w:cs="Times New Roman"/>
          <w:kern w:val="0"/>
          <w14:ligatures w14:val="none"/>
        </w:rPr>
        <w:t xml:space="preserve">. </w:t>
      </w:r>
    </w:p>
    <w:p w14:paraId="04BA43DC" w14:textId="77777777" w:rsidR="00913C0F" w:rsidRPr="00913C0F" w:rsidRDefault="00913C0F" w:rsidP="00913C0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b/>
          <w:bCs/>
          <w:kern w:val="0"/>
          <w14:ligatures w14:val="none"/>
        </w:rPr>
        <w:t>Daughters are handled the same way</w:t>
      </w:r>
      <w:r w:rsidRPr="00913C0F">
        <w:rPr>
          <w:rFonts w:ascii="Times New Roman" w:eastAsia="Times New Roman" w:hAnsi="Times New Roman" w:cs="Times New Roman"/>
          <w:kern w:val="0"/>
          <w14:ligatures w14:val="none"/>
        </w:rPr>
        <w:t xml:space="preserve"> </w:t>
      </w:r>
    </w:p>
    <w:p w14:paraId="78CA0551" w14:textId="77777777" w:rsidR="00913C0F" w:rsidRPr="00913C0F" w:rsidRDefault="00913C0F" w:rsidP="00913C0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kern w:val="0"/>
          <w14:ligatures w14:val="none"/>
        </w:rPr>
        <w:t xml:space="preserve">Daughters without a known FGM status are excluded from the daughter-level analysis. </w:t>
      </w:r>
    </w:p>
    <w:p w14:paraId="793AEFAE" w14:textId="77777777" w:rsidR="00913C0F" w:rsidRPr="00913C0F" w:rsidRDefault="00913C0F" w:rsidP="00913C0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kern w:val="0"/>
          <w14:ligatures w14:val="none"/>
        </w:rPr>
        <w:t xml:space="preserve">Again, </w:t>
      </w:r>
      <w:r w:rsidRPr="00913C0F">
        <w:rPr>
          <w:rFonts w:ascii="Times New Roman" w:eastAsia="Times New Roman" w:hAnsi="Times New Roman" w:cs="Times New Roman"/>
          <w:b/>
          <w:bCs/>
          <w:kern w:val="0"/>
          <w14:ligatures w14:val="none"/>
        </w:rPr>
        <w:t>nothing is imputed</w:t>
      </w:r>
      <w:r w:rsidRPr="00913C0F">
        <w:rPr>
          <w:rFonts w:ascii="Times New Roman" w:eastAsia="Times New Roman" w:hAnsi="Times New Roman" w:cs="Times New Roman"/>
          <w:kern w:val="0"/>
          <w14:ligatures w14:val="none"/>
        </w:rPr>
        <w:t xml:space="preserve">. </w:t>
      </w:r>
    </w:p>
    <w:p w14:paraId="6509DEC5" w14:textId="77777777" w:rsidR="00913C0F" w:rsidRPr="00913C0F" w:rsidRDefault="00913C0F" w:rsidP="00913C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3C0F">
        <w:rPr>
          <w:rFonts w:ascii="Times New Roman" w:eastAsia="Times New Roman" w:hAnsi="Times New Roman" w:cs="Times New Roman"/>
          <w:b/>
          <w:bCs/>
          <w:kern w:val="0"/>
          <w:sz w:val="27"/>
          <w:szCs w:val="27"/>
          <w14:ligatures w14:val="none"/>
        </w:rPr>
        <w:t>In short</w:t>
      </w:r>
    </w:p>
    <w:p w14:paraId="46B40F72" w14:textId="77777777" w:rsidR="00913C0F" w:rsidRPr="00913C0F" w:rsidRDefault="00913C0F" w:rsidP="00913C0F">
      <w:pPr>
        <w:spacing w:before="100" w:beforeAutospacing="1" w:after="100" w:afterAutospacing="1" w:line="240" w:lineRule="auto"/>
        <w:rPr>
          <w:rFonts w:ascii="Times New Roman" w:eastAsia="Times New Roman" w:hAnsi="Times New Roman" w:cs="Times New Roman"/>
          <w:kern w:val="0"/>
          <w14:ligatures w14:val="none"/>
        </w:rPr>
      </w:pPr>
      <w:r w:rsidRPr="00913C0F">
        <w:rPr>
          <w:rFonts w:ascii="Times New Roman" w:eastAsia="Times New Roman" w:hAnsi="Times New Roman" w:cs="Times New Roman"/>
          <w:b/>
          <w:bCs/>
          <w:kern w:val="0"/>
          <w14:ligatures w14:val="none"/>
        </w:rPr>
        <w:t>Clean known missing-value codes → report missingness → exclude missing observations where necessary → never guess or fill in missing values.</w:t>
      </w:r>
    </w:p>
    <w:p w14:paraId="06CC18E2" w14:textId="77777777" w:rsidR="003F40E5" w:rsidRPr="003F40E5" w:rsidRDefault="003F40E5" w:rsidP="003F4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40E5">
        <w:rPr>
          <w:rFonts w:ascii="Times New Roman" w:eastAsia="Times New Roman" w:hAnsi="Times New Roman" w:cs="Times New Roman"/>
          <w:b/>
          <w:bCs/>
          <w:kern w:val="0"/>
          <w:sz w:val="27"/>
          <w:szCs w:val="27"/>
          <w14:ligatures w14:val="none"/>
        </w:rPr>
        <w:t>Nigeria DHS 2024 — Sample and Analysis Population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gridCol w:w="1052"/>
        <w:gridCol w:w="5217"/>
      </w:tblGrid>
      <w:tr w:rsidR="003F40E5" w:rsidRPr="003F40E5" w14:paraId="6973843A" w14:textId="77777777">
        <w:trPr>
          <w:tblHeader/>
          <w:tblCellSpacing w:w="15" w:type="dxa"/>
        </w:trPr>
        <w:tc>
          <w:tcPr>
            <w:tcW w:w="0" w:type="auto"/>
            <w:vAlign w:val="center"/>
            <w:hideMark/>
          </w:tcPr>
          <w:p w14:paraId="5EE352B8" w14:textId="77777777" w:rsidR="003F40E5" w:rsidRPr="003F40E5" w:rsidRDefault="003F40E5" w:rsidP="003F40E5">
            <w:pPr>
              <w:spacing w:after="0" w:line="240" w:lineRule="auto"/>
              <w:jc w:val="center"/>
              <w:rPr>
                <w:rFonts w:ascii="Times New Roman" w:eastAsia="Times New Roman" w:hAnsi="Times New Roman" w:cs="Times New Roman"/>
                <w:b/>
                <w:bCs/>
                <w:kern w:val="0"/>
                <w14:ligatures w14:val="none"/>
              </w:rPr>
            </w:pPr>
            <w:r w:rsidRPr="003F40E5">
              <w:rPr>
                <w:rFonts w:ascii="Times New Roman" w:eastAsia="Times New Roman" w:hAnsi="Times New Roman" w:cs="Times New Roman"/>
                <w:b/>
                <w:bCs/>
                <w:kern w:val="0"/>
                <w14:ligatures w14:val="none"/>
              </w:rPr>
              <w:lastRenderedPageBreak/>
              <w:t>Stage / Population</w:t>
            </w:r>
          </w:p>
        </w:tc>
        <w:tc>
          <w:tcPr>
            <w:tcW w:w="0" w:type="auto"/>
            <w:vAlign w:val="center"/>
            <w:hideMark/>
          </w:tcPr>
          <w:p w14:paraId="51E934A9" w14:textId="77777777" w:rsidR="003F40E5" w:rsidRPr="003F40E5" w:rsidRDefault="003F40E5" w:rsidP="003F40E5">
            <w:pPr>
              <w:spacing w:after="0" w:line="240" w:lineRule="auto"/>
              <w:jc w:val="center"/>
              <w:rPr>
                <w:rFonts w:ascii="Times New Roman" w:eastAsia="Times New Roman" w:hAnsi="Times New Roman" w:cs="Times New Roman"/>
                <w:b/>
                <w:bCs/>
                <w:kern w:val="0"/>
                <w14:ligatures w14:val="none"/>
              </w:rPr>
            </w:pPr>
            <w:r w:rsidRPr="003F40E5">
              <w:rPr>
                <w:rFonts w:ascii="Times New Roman" w:eastAsia="Times New Roman" w:hAnsi="Times New Roman" w:cs="Times New Roman"/>
                <w:b/>
                <w:bCs/>
                <w:kern w:val="0"/>
                <w14:ligatures w14:val="none"/>
              </w:rPr>
              <w:t>Number (n)</w:t>
            </w:r>
          </w:p>
        </w:tc>
        <w:tc>
          <w:tcPr>
            <w:tcW w:w="0" w:type="auto"/>
            <w:vAlign w:val="center"/>
            <w:hideMark/>
          </w:tcPr>
          <w:p w14:paraId="7A960CBC" w14:textId="77777777" w:rsidR="003F40E5" w:rsidRPr="003F40E5" w:rsidRDefault="003F40E5" w:rsidP="003F40E5">
            <w:pPr>
              <w:spacing w:after="0" w:line="240" w:lineRule="auto"/>
              <w:jc w:val="center"/>
              <w:rPr>
                <w:rFonts w:ascii="Times New Roman" w:eastAsia="Times New Roman" w:hAnsi="Times New Roman" w:cs="Times New Roman"/>
                <w:b/>
                <w:bCs/>
                <w:kern w:val="0"/>
                <w14:ligatures w14:val="none"/>
              </w:rPr>
            </w:pPr>
            <w:r w:rsidRPr="003F40E5">
              <w:rPr>
                <w:rFonts w:ascii="Times New Roman" w:eastAsia="Times New Roman" w:hAnsi="Times New Roman" w:cs="Times New Roman"/>
                <w:b/>
                <w:bCs/>
                <w:kern w:val="0"/>
                <w14:ligatures w14:val="none"/>
              </w:rPr>
              <w:t>Explanation</w:t>
            </w:r>
          </w:p>
        </w:tc>
      </w:tr>
      <w:tr w:rsidR="003F40E5" w:rsidRPr="003F40E5" w14:paraId="09C24B2B" w14:textId="77777777">
        <w:trPr>
          <w:tblCellSpacing w:w="15" w:type="dxa"/>
        </w:trPr>
        <w:tc>
          <w:tcPr>
            <w:tcW w:w="0" w:type="auto"/>
            <w:vAlign w:val="center"/>
            <w:hideMark/>
          </w:tcPr>
          <w:p w14:paraId="0FA48F8C"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b/>
                <w:bCs/>
                <w:kern w:val="0"/>
                <w14:ligatures w14:val="none"/>
              </w:rPr>
              <w:t>Women interviewed (ages 15–49)</w:t>
            </w:r>
          </w:p>
        </w:tc>
        <w:tc>
          <w:tcPr>
            <w:tcW w:w="0" w:type="auto"/>
            <w:vAlign w:val="center"/>
            <w:hideMark/>
          </w:tcPr>
          <w:p w14:paraId="3723A59B"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b/>
                <w:bCs/>
                <w:kern w:val="0"/>
                <w14:ligatures w14:val="none"/>
              </w:rPr>
              <w:t>39,050</w:t>
            </w:r>
          </w:p>
        </w:tc>
        <w:tc>
          <w:tcPr>
            <w:tcW w:w="0" w:type="auto"/>
            <w:vAlign w:val="center"/>
            <w:hideMark/>
          </w:tcPr>
          <w:p w14:paraId="6D950A8A"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kern w:val="0"/>
                <w14:ligatures w14:val="none"/>
              </w:rPr>
              <w:t>Total women included in the DHS individual survey</w:t>
            </w:r>
          </w:p>
        </w:tc>
      </w:tr>
      <w:tr w:rsidR="003F40E5" w:rsidRPr="003F40E5" w14:paraId="42B07273" w14:textId="77777777">
        <w:trPr>
          <w:tblCellSpacing w:w="15" w:type="dxa"/>
        </w:trPr>
        <w:tc>
          <w:tcPr>
            <w:tcW w:w="0" w:type="auto"/>
            <w:vAlign w:val="center"/>
            <w:hideMark/>
          </w:tcPr>
          <w:p w14:paraId="7DCA6DD6"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kern w:val="0"/>
                <w14:ligatures w14:val="none"/>
              </w:rPr>
              <w:t>Women with known FGM status</w:t>
            </w:r>
          </w:p>
        </w:tc>
        <w:tc>
          <w:tcPr>
            <w:tcW w:w="0" w:type="auto"/>
            <w:vAlign w:val="center"/>
            <w:hideMark/>
          </w:tcPr>
          <w:p w14:paraId="59E493F1"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b/>
                <w:bCs/>
                <w:kern w:val="0"/>
                <w14:ligatures w14:val="none"/>
              </w:rPr>
              <w:t>23,474</w:t>
            </w:r>
          </w:p>
        </w:tc>
        <w:tc>
          <w:tcPr>
            <w:tcW w:w="0" w:type="auto"/>
            <w:vAlign w:val="center"/>
            <w:hideMark/>
          </w:tcPr>
          <w:p w14:paraId="310C5F4A" w14:textId="15583679"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kern w:val="0"/>
                <w14:ligatures w14:val="none"/>
              </w:rPr>
              <w:t>Women with a non-missing FGM outcome (</w:t>
            </w:r>
            <w:r w:rsidRPr="003F40E5">
              <w:rPr>
                <w:rFonts w:ascii="Courier New" w:eastAsia="Times New Roman" w:hAnsi="Courier New" w:cs="Courier New"/>
                <w:kern w:val="0"/>
                <w:sz w:val="20"/>
                <w:szCs w:val="20"/>
                <w14:ligatures w14:val="none"/>
              </w:rPr>
              <w:t>fgm_event</w:t>
            </w:r>
            <w:r w:rsidRPr="003F40E5">
              <w:rPr>
                <w:rFonts w:ascii="Times New Roman" w:eastAsia="Times New Roman" w:hAnsi="Times New Roman" w:cs="Times New Roman"/>
                <w:kern w:val="0"/>
                <w14:ligatures w14:val="none"/>
              </w:rPr>
              <w:t>)</w:t>
            </w:r>
          </w:p>
        </w:tc>
      </w:tr>
      <w:tr w:rsidR="003F40E5" w:rsidRPr="003F40E5" w14:paraId="4BE3EA76" w14:textId="77777777">
        <w:trPr>
          <w:tblCellSpacing w:w="15" w:type="dxa"/>
        </w:trPr>
        <w:tc>
          <w:tcPr>
            <w:tcW w:w="0" w:type="auto"/>
            <w:vAlign w:val="center"/>
            <w:hideMark/>
          </w:tcPr>
          <w:p w14:paraId="06237415"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kern w:val="0"/>
                <w14:ligatures w14:val="none"/>
              </w:rPr>
              <w:t>Women with structural missing FGM status</w:t>
            </w:r>
          </w:p>
        </w:tc>
        <w:tc>
          <w:tcPr>
            <w:tcW w:w="0" w:type="auto"/>
            <w:vAlign w:val="center"/>
            <w:hideMark/>
          </w:tcPr>
          <w:p w14:paraId="1928F5FD"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b/>
                <w:bCs/>
                <w:kern w:val="0"/>
                <w14:ligatures w14:val="none"/>
              </w:rPr>
              <w:t>15,576</w:t>
            </w:r>
          </w:p>
        </w:tc>
        <w:tc>
          <w:tcPr>
            <w:tcW w:w="0" w:type="auto"/>
            <w:vAlign w:val="center"/>
            <w:hideMark/>
          </w:tcPr>
          <w:p w14:paraId="5371B2C4"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kern w:val="0"/>
                <w14:ligatures w14:val="none"/>
              </w:rPr>
              <w:t xml:space="preserve">Not asked the FGM status question because of the </w:t>
            </w:r>
            <w:r w:rsidRPr="003F40E5">
              <w:rPr>
                <w:rFonts w:ascii="Courier New" w:eastAsia="Times New Roman" w:hAnsi="Courier New" w:cs="Courier New"/>
                <w:kern w:val="0"/>
                <w:sz w:val="20"/>
                <w:szCs w:val="20"/>
                <w14:ligatures w14:val="none"/>
              </w:rPr>
              <w:t>g100</w:t>
            </w:r>
            <w:r w:rsidRPr="003F40E5">
              <w:rPr>
                <w:rFonts w:ascii="Times New Roman" w:eastAsia="Times New Roman" w:hAnsi="Times New Roman" w:cs="Times New Roman"/>
                <w:kern w:val="0"/>
                <w14:ligatures w14:val="none"/>
              </w:rPr>
              <w:t xml:space="preserve"> skip pattern</w:t>
            </w:r>
          </w:p>
        </w:tc>
      </w:tr>
      <w:tr w:rsidR="003F40E5" w:rsidRPr="003F40E5" w14:paraId="44CD6CAC" w14:textId="77777777">
        <w:trPr>
          <w:tblCellSpacing w:w="15" w:type="dxa"/>
        </w:trPr>
        <w:tc>
          <w:tcPr>
            <w:tcW w:w="0" w:type="auto"/>
            <w:vAlign w:val="center"/>
            <w:hideMark/>
          </w:tcPr>
          <w:p w14:paraId="01A681DE"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b/>
                <w:bCs/>
                <w:kern w:val="0"/>
                <w14:ligatures w14:val="none"/>
              </w:rPr>
              <w:t>Daughters aged 0–14 reconstructed</w:t>
            </w:r>
          </w:p>
        </w:tc>
        <w:tc>
          <w:tcPr>
            <w:tcW w:w="0" w:type="auto"/>
            <w:vAlign w:val="center"/>
            <w:hideMark/>
          </w:tcPr>
          <w:p w14:paraId="6BD0E2AF"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b/>
                <w:bCs/>
                <w:kern w:val="0"/>
                <w14:ligatures w14:val="none"/>
              </w:rPr>
              <w:t>23,683</w:t>
            </w:r>
          </w:p>
        </w:tc>
        <w:tc>
          <w:tcPr>
            <w:tcW w:w="0" w:type="auto"/>
            <w:vAlign w:val="center"/>
            <w:hideMark/>
          </w:tcPr>
          <w:p w14:paraId="479546E4"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kern w:val="0"/>
                <w14:ligatures w14:val="none"/>
              </w:rPr>
              <w:t>Daughters identified from the DHS daughters' roster; these are separate individuals from the interviewed women</w:t>
            </w:r>
          </w:p>
        </w:tc>
      </w:tr>
      <w:tr w:rsidR="003F40E5" w:rsidRPr="003F40E5" w14:paraId="15CE6BC9" w14:textId="77777777">
        <w:trPr>
          <w:tblCellSpacing w:w="15" w:type="dxa"/>
        </w:trPr>
        <w:tc>
          <w:tcPr>
            <w:tcW w:w="0" w:type="auto"/>
            <w:vAlign w:val="center"/>
            <w:hideMark/>
          </w:tcPr>
          <w:p w14:paraId="17CEE624"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b/>
                <w:bCs/>
                <w:kern w:val="0"/>
                <w14:ligatures w14:val="none"/>
              </w:rPr>
              <w:t>Total FGM event records (</w:t>
            </w:r>
            <w:r w:rsidRPr="003F40E5">
              <w:rPr>
                <w:rFonts w:ascii="Courier New" w:eastAsia="Times New Roman" w:hAnsi="Courier New" w:cs="Courier New"/>
                <w:b/>
                <w:bCs/>
                <w:kern w:val="0"/>
                <w:sz w:val="20"/>
                <w:szCs w:val="20"/>
                <w14:ligatures w14:val="none"/>
              </w:rPr>
              <w:t>fgm_events_all</w:t>
            </w:r>
            <w:r w:rsidRPr="003F40E5">
              <w:rPr>
                <w:rFonts w:ascii="Times New Roman" w:eastAsia="Times New Roman" w:hAnsi="Times New Roman" w:cs="Times New Roman"/>
                <w:b/>
                <w:bCs/>
                <w:kern w:val="0"/>
                <w14:ligatures w14:val="none"/>
              </w:rPr>
              <w:t>)</w:t>
            </w:r>
          </w:p>
        </w:tc>
        <w:tc>
          <w:tcPr>
            <w:tcW w:w="0" w:type="auto"/>
            <w:vAlign w:val="center"/>
            <w:hideMark/>
          </w:tcPr>
          <w:p w14:paraId="775FBCE1"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b/>
                <w:bCs/>
                <w:kern w:val="0"/>
                <w14:ligatures w14:val="none"/>
              </w:rPr>
              <w:t>47,157</w:t>
            </w:r>
          </w:p>
        </w:tc>
        <w:tc>
          <w:tcPr>
            <w:tcW w:w="0" w:type="auto"/>
            <w:vAlign w:val="center"/>
            <w:hideMark/>
          </w:tcPr>
          <w:p w14:paraId="2EDE00B8"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kern w:val="0"/>
                <w14:ligatures w14:val="none"/>
              </w:rPr>
              <w:t>23,474 women + 23,683 daughters</w:t>
            </w:r>
          </w:p>
        </w:tc>
      </w:tr>
      <w:tr w:rsidR="003F40E5" w:rsidRPr="003F40E5" w14:paraId="016B5A25" w14:textId="77777777">
        <w:trPr>
          <w:tblCellSpacing w:w="15" w:type="dxa"/>
        </w:trPr>
        <w:tc>
          <w:tcPr>
            <w:tcW w:w="0" w:type="auto"/>
            <w:vAlign w:val="center"/>
            <w:hideMark/>
          </w:tcPr>
          <w:p w14:paraId="2B09C8CD"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kern w:val="0"/>
                <w14:ligatures w14:val="none"/>
              </w:rPr>
              <w:t>Records with missing/invalid event time</w:t>
            </w:r>
          </w:p>
        </w:tc>
        <w:tc>
          <w:tcPr>
            <w:tcW w:w="0" w:type="auto"/>
            <w:vAlign w:val="center"/>
            <w:hideMark/>
          </w:tcPr>
          <w:p w14:paraId="31691E97"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b/>
                <w:bCs/>
                <w:kern w:val="0"/>
                <w14:ligatures w14:val="none"/>
              </w:rPr>
              <w:t>2,473</w:t>
            </w:r>
          </w:p>
        </w:tc>
        <w:tc>
          <w:tcPr>
            <w:tcW w:w="0" w:type="auto"/>
            <w:vAlign w:val="center"/>
            <w:hideMark/>
          </w:tcPr>
          <w:p w14:paraId="28C75096"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kern w:val="0"/>
                <w14:ligatures w14:val="none"/>
              </w:rPr>
              <w:t>Known FGM-positive cases without a valid age at cutting</w:t>
            </w:r>
          </w:p>
        </w:tc>
      </w:tr>
      <w:tr w:rsidR="003F40E5" w:rsidRPr="003F40E5" w14:paraId="27C63D0F" w14:textId="77777777">
        <w:trPr>
          <w:tblCellSpacing w:w="15" w:type="dxa"/>
        </w:trPr>
        <w:tc>
          <w:tcPr>
            <w:tcW w:w="0" w:type="auto"/>
            <w:vAlign w:val="center"/>
            <w:hideMark/>
          </w:tcPr>
          <w:p w14:paraId="0E6DF424"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kern w:val="0"/>
                <w14:ligatures w14:val="none"/>
              </w:rPr>
              <w:t>└─ Respondent records</w:t>
            </w:r>
          </w:p>
        </w:tc>
        <w:tc>
          <w:tcPr>
            <w:tcW w:w="0" w:type="auto"/>
            <w:vAlign w:val="center"/>
            <w:hideMark/>
          </w:tcPr>
          <w:p w14:paraId="2B3BD37C"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kern w:val="0"/>
                <w14:ligatures w14:val="none"/>
              </w:rPr>
              <w:t>2,443</w:t>
            </w:r>
          </w:p>
        </w:tc>
        <w:tc>
          <w:tcPr>
            <w:tcW w:w="0" w:type="auto"/>
            <w:vAlign w:val="center"/>
            <w:hideMark/>
          </w:tcPr>
          <w:p w14:paraId="312D0930"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kern w:val="0"/>
                <w14:ligatures w14:val="none"/>
              </w:rPr>
              <w:t>FGM-positive women with missing/invalid age at cutting</w:t>
            </w:r>
          </w:p>
        </w:tc>
      </w:tr>
      <w:tr w:rsidR="003F40E5" w:rsidRPr="003F40E5" w14:paraId="13BF2F95" w14:textId="77777777">
        <w:trPr>
          <w:tblCellSpacing w:w="15" w:type="dxa"/>
        </w:trPr>
        <w:tc>
          <w:tcPr>
            <w:tcW w:w="0" w:type="auto"/>
            <w:vAlign w:val="center"/>
            <w:hideMark/>
          </w:tcPr>
          <w:p w14:paraId="7B2136A2"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kern w:val="0"/>
                <w14:ligatures w14:val="none"/>
              </w:rPr>
              <w:t>└─ Daughter records</w:t>
            </w:r>
          </w:p>
        </w:tc>
        <w:tc>
          <w:tcPr>
            <w:tcW w:w="0" w:type="auto"/>
            <w:vAlign w:val="center"/>
            <w:hideMark/>
          </w:tcPr>
          <w:p w14:paraId="4439E6AA"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kern w:val="0"/>
                <w14:ligatures w14:val="none"/>
              </w:rPr>
              <w:t>30</w:t>
            </w:r>
          </w:p>
        </w:tc>
        <w:tc>
          <w:tcPr>
            <w:tcW w:w="0" w:type="auto"/>
            <w:vAlign w:val="center"/>
            <w:hideMark/>
          </w:tcPr>
          <w:p w14:paraId="7C52E8F0"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kern w:val="0"/>
                <w14:ligatures w14:val="none"/>
              </w:rPr>
              <w:t>FGM-positive daughters with missing/invalid age at cutting</w:t>
            </w:r>
          </w:p>
        </w:tc>
      </w:tr>
      <w:tr w:rsidR="003F40E5" w:rsidRPr="003F40E5" w14:paraId="39E6C87B" w14:textId="77777777">
        <w:trPr>
          <w:tblCellSpacing w:w="15" w:type="dxa"/>
        </w:trPr>
        <w:tc>
          <w:tcPr>
            <w:tcW w:w="0" w:type="auto"/>
            <w:vAlign w:val="center"/>
            <w:hideMark/>
          </w:tcPr>
          <w:p w14:paraId="28912C4A"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b/>
                <w:bCs/>
                <w:kern w:val="0"/>
                <w14:ligatures w14:val="none"/>
              </w:rPr>
              <w:t>Records retained for risk-incidence analysis</w:t>
            </w:r>
          </w:p>
        </w:tc>
        <w:tc>
          <w:tcPr>
            <w:tcW w:w="0" w:type="auto"/>
            <w:vAlign w:val="center"/>
            <w:hideMark/>
          </w:tcPr>
          <w:p w14:paraId="645CDF75"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b/>
                <w:bCs/>
                <w:kern w:val="0"/>
                <w14:ligatures w14:val="none"/>
              </w:rPr>
              <w:t>44,684</w:t>
            </w:r>
          </w:p>
        </w:tc>
        <w:tc>
          <w:tcPr>
            <w:tcW w:w="0" w:type="auto"/>
            <w:vAlign w:val="center"/>
            <w:hideMark/>
          </w:tcPr>
          <w:p w14:paraId="59F57DC5"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kern w:val="0"/>
                <w14:ligatures w14:val="none"/>
              </w:rPr>
              <w:t xml:space="preserve">Records with a valid </w:t>
            </w:r>
            <w:r w:rsidRPr="003F40E5">
              <w:rPr>
                <w:rFonts w:ascii="Courier New" w:eastAsia="Times New Roman" w:hAnsi="Courier New" w:cs="Courier New"/>
                <w:kern w:val="0"/>
                <w:sz w:val="20"/>
                <w:szCs w:val="20"/>
                <w14:ligatures w14:val="none"/>
              </w:rPr>
              <w:t>time</w:t>
            </w:r>
            <w:r w:rsidRPr="003F40E5">
              <w:rPr>
                <w:rFonts w:ascii="Times New Roman" w:eastAsia="Times New Roman" w:hAnsi="Times New Roman" w:cs="Times New Roman"/>
                <w:kern w:val="0"/>
                <w14:ligatures w14:val="none"/>
              </w:rPr>
              <w:t xml:space="preserve"> value (≤49 years)</w:t>
            </w:r>
          </w:p>
        </w:tc>
      </w:tr>
      <w:tr w:rsidR="003F40E5" w:rsidRPr="003F40E5" w14:paraId="48009AF9" w14:textId="77777777">
        <w:trPr>
          <w:tblCellSpacing w:w="15" w:type="dxa"/>
        </w:trPr>
        <w:tc>
          <w:tcPr>
            <w:tcW w:w="0" w:type="auto"/>
            <w:vAlign w:val="center"/>
            <w:hideMark/>
          </w:tcPr>
          <w:p w14:paraId="65A5EF52"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kern w:val="0"/>
                <w14:ligatures w14:val="none"/>
              </w:rPr>
              <w:t xml:space="preserve">└─ </w:t>
            </w:r>
            <w:r w:rsidRPr="003F40E5">
              <w:rPr>
                <w:rFonts w:ascii="Courier New" w:eastAsia="Times New Roman" w:hAnsi="Courier New" w:cs="Courier New"/>
                <w:kern w:val="0"/>
                <w:sz w:val="20"/>
                <w:szCs w:val="20"/>
                <w14:ligatures w14:val="none"/>
              </w:rPr>
              <w:t>fgm_event = 0</w:t>
            </w:r>
          </w:p>
        </w:tc>
        <w:tc>
          <w:tcPr>
            <w:tcW w:w="0" w:type="auto"/>
            <w:vAlign w:val="center"/>
            <w:hideMark/>
          </w:tcPr>
          <w:p w14:paraId="29DB186C"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b/>
                <w:bCs/>
                <w:kern w:val="0"/>
                <w14:ligatures w14:val="none"/>
              </w:rPr>
              <w:t>37,328</w:t>
            </w:r>
          </w:p>
        </w:tc>
        <w:tc>
          <w:tcPr>
            <w:tcW w:w="0" w:type="auto"/>
            <w:vAlign w:val="center"/>
            <w:hideMark/>
          </w:tcPr>
          <w:p w14:paraId="5544B5D5"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kern w:val="0"/>
                <w14:ligatures w14:val="none"/>
              </w:rPr>
              <w:t>No FGM event recorded</w:t>
            </w:r>
          </w:p>
        </w:tc>
      </w:tr>
      <w:tr w:rsidR="003F40E5" w:rsidRPr="003F40E5" w14:paraId="6DCB73A0" w14:textId="77777777">
        <w:trPr>
          <w:tblCellSpacing w:w="15" w:type="dxa"/>
        </w:trPr>
        <w:tc>
          <w:tcPr>
            <w:tcW w:w="0" w:type="auto"/>
            <w:vAlign w:val="center"/>
            <w:hideMark/>
          </w:tcPr>
          <w:p w14:paraId="5A462031"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kern w:val="0"/>
                <w14:ligatures w14:val="none"/>
              </w:rPr>
              <w:t xml:space="preserve">└─ </w:t>
            </w:r>
            <w:r w:rsidRPr="003F40E5">
              <w:rPr>
                <w:rFonts w:ascii="Courier New" w:eastAsia="Times New Roman" w:hAnsi="Courier New" w:cs="Courier New"/>
                <w:kern w:val="0"/>
                <w:sz w:val="20"/>
                <w:szCs w:val="20"/>
                <w14:ligatures w14:val="none"/>
              </w:rPr>
              <w:t>fgm_event = 1</w:t>
            </w:r>
          </w:p>
        </w:tc>
        <w:tc>
          <w:tcPr>
            <w:tcW w:w="0" w:type="auto"/>
            <w:vAlign w:val="center"/>
            <w:hideMark/>
          </w:tcPr>
          <w:p w14:paraId="4F4DDA8E"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b/>
                <w:bCs/>
                <w:kern w:val="0"/>
                <w14:ligatures w14:val="none"/>
              </w:rPr>
              <w:t>7,356</w:t>
            </w:r>
          </w:p>
        </w:tc>
        <w:tc>
          <w:tcPr>
            <w:tcW w:w="0" w:type="auto"/>
            <w:vAlign w:val="center"/>
            <w:hideMark/>
          </w:tcPr>
          <w:p w14:paraId="78C662DB"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kern w:val="0"/>
                <w14:ligatures w14:val="none"/>
              </w:rPr>
              <w:t>FGM event recorded</w:t>
            </w:r>
          </w:p>
        </w:tc>
      </w:tr>
      <w:tr w:rsidR="003F40E5" w:rsidRPr="003F40E5" w14:paraId="63E17D88" w14:textId="77777777">
        <w:trPr>
          <w:tblCellSpacing w:w="15" w:type="dxa"/>
        </w:trPr>
        <w:tc>
          <w:tcPr>
            <w:tcW w:w="0" w:type="auto"/>
            <w:vAlign w:val="center"/>
            <w:hideMark/>
          </w:tcPr>
          <w:p w14:paraId="311FBBEF"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b/>
                <w:bCs/>
                <w:kern w:val="0"/>
                <w14:ligatures w14:val="none"/>
              </w:rPr>
              <w:t>Attitudinal analysis population (</w:t>
            </w:r>
            <w:r w:rsidRPr="003F40E5">
              <w:rPr>
                <w:rFonts w:ascii="Courier New" w:eastAsia="Times New Roman" w:hAnsi="Courier New" w:cs="Courier New"/>
                <w:b/>
                <w:bCs/>
                <w:kern w:val="0"/>
                <w:sz w:val="20"/>
                <w:szCs w:val="20"/>
                <w14:ligatures w14:val="none"/>
              </w:rPr>
              <w:t>attitude_all</w:t>
            </w:r>
            <w:r w:rsidRPr="003F40E5">
              <w:rPr>
                <w:rFonts w:ascii="Times New Roman" w:eastAsia="Times New Roman" w:hAnsi="Times New Roman" w:cs="Times New Roman"/>
                <w:b/>
                <w:bCs/>
                <w:kern w:val="0"/>
                <w14:ligatures w14:val="none"/>
              </w:rPr>
              <w:t>)</w:t>
            </w:r>
          </w:p>
        </w:tc>
        <w:tc>
          <w:tcPr>
            <w:tcW w:w="0" w:type="auto"/>
            <w:vAlign w:val="center"/>
            <w:hideMark/>
          </w:tcPr>
          <w:p w14:paraId="29798E93"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b/>
                <w:bCs/>
                <w:kern w:val="0"/>
                <w14:ligatures w14:val="none"/>
              </w:rPr>
              <w:t>20,916</w:t>
            </w:r>
          </w:p>
        </w:tc>
        <w:tc>
          <w:tcPr>
            <w:tcW w:w="0" w:type="auto"/>
            <w:vAlign w:val="center"/>
            <w:hideMark/>
          </w:tcPr>
          <w:p w14:paraId="375F7392" w14:textId="77777777" w:rsidR="003F40E5" w:rsidRPr="003F40E5" w:rsidRDefault="003F40E5" w:rsidP="003F40E5">
            <w:pPr>
              <w:spacing w:after="0"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kern w:val="0"/>
                <w14:ligatures w14:val="none"/>
              </w:rPr>
              <w:t>Respondents with a usable response on whether FGM should continue</w:t>
            </w:r>
          </w:p>
        </w:tc>
      </w:tr>
    </w:tbl>
    <w:p w14:paraId="5C99ADE9" w14:textId="77777777" w:rsidR="003F40E5" w:rsidRPr="003F40E5" w:rsidRDefault="003F40E5" w:rsidP="003F40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40E5">
        <w:rPr>
          <w:rFonts w:ascii="Times New Roman" w:eastAsia="Times New Roman" w:hAnsi="Times New Roman" w:cs="Times New Roman"/>
          <w:b/>
          <w:bCs/>
          <w:kern w:val="0"/>
          <w:sz w:val="27"/>
          <w:szCs w:val="27"/>
          <w14:ligatures w14:val="none"/>
        </w:rPr>
        <w:t>Key figures to highlight</w:t>
      </w:r>
    </w:p>
    <w:p w14:paraId="0EB1A5E1" w14:textId="77777777" w:rsidR="003F40E5" w:rsidRPr="003F40E5" w:rsidRDefault="003F40E5" w:rsidP="003F40E5">
      <w:pPr>
        <w:spacing w:before="100" w:beforeAutospacing="1" w:after="100" w:afterAutospacing="1" w:line="240" w:lineRule="auto"/>
        <w:rPr>
          <w:rFonts w:ascii="Times New Roman" w:eastAsia="Times New Roman" w:hAnsi="Times New Roman" w:cs="Times New Roman"/>
          <w:kern w:val="0"/>
          <w14:ligatures w14:val="none"/>
        </w:rPr>
      </w:pPr>
      <w:r w:rsidRPr="003F40E5">
        <w:rPr>
          <w:rFonts w:ascii="Times New Roman" w:eastAsia="Times New Roman" w:hAnsi="Times New Roman" w:cs="Times New Roman"/>
          <w:b/>
          <w:bCs/>
          <w:kern w:val="0"/>
          <w14:ligatures w14:val="none"/>
        </w:rPr>
        <w:t>39,050</w:t>
      </w:r>
      <w:r w:rsidRPr="003F40E5">
        <w:rPr>
          <w:rFonts w:ascii="Times New Roman" w:eastAsia="Times New Roman" w:hAnsi="Times New Roman" w:cs="Times New Roman"/>
          <w:kern w:val="0"/>
          <w14:ligatures w14:val="none"/>
        </w:rPr>
        <w:t xml:space="preserve"> women were interviewed → </w:t>
      </w:r>
      <w:r w:rsidRPr="003F40E5">
        <w:rPr>
          <w:rFonts w:ascii="Times New Roman" w:eastAsia="Times New Roman" w:hAnsi="Times New Roman" w:cs="Times New Roman"/>
          <w:b/>
          <w:bCs/>
          <w:kern w:val="0"/>
          <w14:ligatures w14:val="none"/>
        </w:rPr>
        <w:t>47,157</w:t>
      </w:r>
      <w:r w:rsidRPr="003F40E5">
        <w:rPr>
          <w:rFonts w:ascii="Times New Roman" w:eastAsia="Times New Roman" w:hAnsi="Times New Roman" w:cs="Times New Roman"/>
          <w:kern w:val="0"/>
          <w14:ligatures w14:val="none"/>
        </w:rPr>
        <w:t xml:space="preserve"> combined woman/daughter FGM records → </w:t>
      </w:r>
      <w:r w:rsidRPr="003F40E5">
        <w:rPr>
          <w:rFonts w:ascii="Times New Roman" w:eastAsia="Times New Roman" w:hAnsi="Times New Roman" w:cs="Times New Roman"/>
          <w:b/>
          <w:bCs/>
          <w:kern w:val="0"/>
          <w14:ligatures w14:val="none"/>
        </w:rPr>
        <w:t>44,684</w:t>
      </w:r>
      <w:r w:rsidRPr="003F40E5">
        <w:rPr>
          <w:rFonts w:ascii="Times New Roman" w:eastAsia="Times New Roman" w:hAnsi="Times New Roman" w:cs="Times New Roman"/>
          <w:kern w:val="0"/>
          <w14:ligatures w14:val="none"/>
        </w:rPr>
        <w:t xml:space="preserve"> records were eligible for the time-to-event analysis after excluding </w:t>
      </w:r>
      <w:r w:rsidRPr="003F40E5">
        <w:rPr>
          <w:rFonts w:ascii="Times New Roman" w:eastAsia="Times New Roman" w:hAnsi="Times New Roman" w:cs="Times New Roman"/>
          <w:b/>
          <w:bCs/>
          <w:kern w:val="0"/>
          <w14:ligatures w14:val="none"/>
        </w:rPr>
        <w:t>2,473 known FGM-positive records with missing/invalid age at cutting</w:t>
      </w:r>
      <w:r w:rsidRPr="003F40E5">
        <w:rPr>
          <w:rFonts w:ascii="Times New Roman" w:eastAsia="Times New Roman" w:hAnsi="Times New Roman" w:cs="Times New Roman"/>
          <w:kern w:val="0"/>
          <w14:ligatures w14:val="none"/>
        </w:rPr>
        <w:t>.</w:t>
      </w:r>
    </w:p>
    <w:p w14:paraId="5035613C" w14:textId="77777777" w:rsidR="003F40E5" w:rsidRDefault="003F40E5" w:rsidP="003F40E5">
      <w:pPr>
        <w:spacing w:before="100" w:beforeAutospacing="1" w:after="100" w:afterAutospacing="1" w:line="240" w:lineRule="auto"/>
        <w:rPr>
          <w:rFonts w:ascii="Times New Roman" w:eastAsia="Times New Roman" w:hAnsi="Times New Roman" w:cs="Times New Roman"/>
          <w:b/>
          <w:bCs/>
          <w:kern w:val="0"/>
          <w14:ligatures w14:val="none"/>
        </w:rPr>
      </w:pPr>
      <w:r w:rsidRPr="003F40E5">
        <w:rPr>
          <w:rFonts w:ascii="Times New Roman" w:eastAsia="Times New Roman" w:hAnsi="Times New Roman" w:cs="Times New Roman"/>
          <w:kern w:val="0"/>
          <w14:ligatures w14:val="none"/>
        </w:rPr>
        <w:t xml:space="preserve">This distinction is important because </w:t>
      </w:r>
      <w:r w:rsidRPr="003F40E5">
        <w:rPr>
          <w:rFonts w:ascii="Times New Roman" w:eastAsia="Times New Roman" w:hAnsi="Times New Roman" w:cs="Times New Roman"/>
          <w:b/>
          <w:bCs/>
          <w:kern w:val="0"/>
          <w14:ligatures w14:val="none"/>
        </w:rPr>
        <w:t>47,157 is the size of the harmonized FGM event dataset, while 44,684 is the actual analytic sample used by the risk-incidence model.</w:t>
      </w:r>
    </w:p>
    <w:p w14:paraId="75EB17EC" w14:textId="77777777" w:rsidR="00E56214" w:rsidRDefault="00E56214" w:rsidP="003F40E5">
      <w:pPr>
        <w:spacing w:before="100" w:beforeAutospacing="1" w:after="100" w:afterAutospacing="1" w:line="240" w:lineRule="auto"/>
        <w:rPr>
          <w:rFonts w:ascii="Times New Roman" w:eastAsia="Times New Roman" w:hAnsi="Times New Roman" w:cs="Times New Roman"/>
          <w:b/>
          <w:bCs/>
          <w:kern w:val="0"/>
          <w14:ligatures w14:val="none"/>
        </w:rPr>
      </w:pPr>
    </w:p>
    <w:p w14:paraId="09E46915" w14:textId="6CCAB6B9" w:rsidR="00E56214" w:rsidRPr="00271B94" w:rsidRDefault="00E56214" w:rsidP="00271B94">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71B94">
        <w:rPr>
          <w:rFonts w:ascii="Times New Roman" w:eastAsia="Times New Roman" w:hAnsi="Times New Roman" w:cs="Times New Roman"/>
          <w:b/>
          <w:bCs/>
          <w:kern w:val="0"/>
          <w:sz w:val="36"/>
          <w:szCs w:val="36"/>
          <w14:ligatures w14:val="none"/>
        </w:rPr>
        <w:t>Hazard Model Specification</w:t>
      </w:r>
    </w:p>
    <w:p w14:paraId="591DF19B" w14:textId="4FC1CEAA" w:rsidR="00271B94" w:rsidRDefault="00271B94" w:rsidP="00271B9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Gg</w:t>
      </w:r>
    </w:p>
    <w:p w14:paraId="2B170026" w14:textId="77777777" w:rsidR="00271B94" w:rsidRPr="00271B94" w:rsidRDefault="00271B94" w:rsidP="00271B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71B94">
        <w:rPr>
          <w:rFonts w:ascii="Times New Roman" w:eastAsia="Times New Roman" w:hAnsi="Times New Roman" w:cs="Times New Roman"/>
          <w:b/>
          <w:bCs/>
          <w:kern w:val="36"/>
          <w:sz w:val="48"/>
          <w:szCs w:val="48"/>
          <w:highlight w:val="yellow"/>
          <w14:ligatures w14:val="none"/>
        </w:rPr>
        <w:lastRenderedPageBreak/>
        <w:t>Methodology</w:t>
      </w:r>
    </w:p>
    <w:p w14:paraId="2C6D87D3" w14:textId="77777777" w:rsidR="00271B94" w:rsidRPr="00271B94" w:rsidRDefault="00271B94" w:rsidP="00271B94">
      <w:pPr>
        <w:spacing w:before="100" w:beforeAutospacing="1" w:after="100" w:afterAutospacing="1" w:line="240" w:lineRule="auto"/>
        <w:rPr>
          <w:rFonts w:ascii="Times New Roman" w:eastAsia="Times New Roman" w:hAnsi="Times New Roman" w:cs="Times New Roman"/>
          <w:kern w:val="0"/>
          <w14:ligatures w14:val="none"/>
        </w:rPr>
      </w:pPr>
      <w:r w:rsidRPr="00271B94">
        <w:rPr>
          <w:rFonts w:ascii="Times New Roman" w:eastAsia="Times New Roman" w:hAnsi="Times New Roman" w:cs="Times New Roman"/>
          <w:kern w:val="0"/>
          <w14:ligatures w14:val="none"/>
        </w:rPr>
        <w:t>FGM data from the Nigeria DHS were cleaned and prepared using information on age at cutting, current age, birth cohort, region/state, residence, ethnicity, reporting type, survey cluster and sampling weight. Birth cohorts were grouped into five-year intervals, and records with unknown or invalid FGM information were excluded where necessary.</w:t>
      </w:r>
    </w:p>
    <w:p w14:paraId="01007137" w14:textId="77777777" w:rsidR="00271B94" w:rsidRPr="00271B94" w:rsidRDefault="00271B94" w:rsidP="00271B94">
      <w:pPr>
        <w:spacing w:before="100" w:beforeAutospacing="1" w:after="100" w:afterAutospacing="1" w:line="240" w:lineRule="auto"/>
        <w:rPr>
          <w:rFonts w:ascii="Times New Roman" w:eastAsia="Times New Roman" w:hAnsi="Times New Roman" w:cs="Times New Roman"/>
          <w:kern w:val="0"/>
          <w14:ligatures w14:val="none"/>
        </w:rPr>
      </w:pPr>
      <w:r w:rsidRPr="00271B94">
        <w:rPr>
          <w:rFonts w:ascii="Times New Roman" w:eastAsia="Times New Roman" w:hAnsi="Times New Roman" w:cs="Times New Roman"/>
          <w:kern w:val="0"/>
          <w14:ligatures w14:val="none"/>
        </w:rPr>
        <w:t>The data were expanded into person-year records, with one row representing each year of age during which an individual was observed and remained at risk. The event indicator was coded as 1 in the age-year when FGM occurred and 0 before the event or censoring. Individuals who had not experienced FGM by the survey were treated as right-censored.</w:t>
      </w:r>
    </w:p>
    <w:p w14:paraId="0903EA01" w14:textId="77777777" w:rsidR="00271B94" w:rsidRPr="00271B94" w:rsidRDefault="00271B94" w:rsidP="00271B94">
      <w:pPr>
        <w:spacing w:before="100" w:beforeAutospacing="1" w:after="100" w:afterAutospacing="1" w:line="240" w:lineRule="auto"/>
        <w:rPr>
          <w:rFonts w:ascii="Times New Roman" w:eastAsia="Times New Roman" w:hAnsi="Times New Roman" w:cs="Times New Roman"/>
          <w:kern w:val="0"/>
          <w14:ligatures w14:val="none"/>
        </w:rPr>
      </w:pPr>
      <w:r w:rsidRPr="00271B94">
        <w:rPr>
          <w:rFonts w:ascii="Times New Roman" w:eastAsia="Times New Roman" w:hAnsi="Times New Roman" w:cs="Times New Roman"/>
          <w:kern w:val="0"/>
          <w14:ligatures w14:val="none"/>
        </w:rPr>
        <w:t xml:space="preserve">A survey-weighted discrete-time hazard model was fitted using logistic regression. The model included age, birth cohort, residence, region, ethnicity and reporting type, while DHS weights, clusters and strata were incorporated through the </w:t>
      </w:r>
      <w:r w:rsidRPr="00271B94">
        <w:rPr>
          <w:rFonts w:ascii="Courier New" w:eastAsia="Times New Roman" w:hAnsi="Courier New" w:cs="Courier New"/>
          <w:kern w:val="0"/>
          <w:sz w:val="20"/>
          <w:szCs w:val="20"/>
          <w14:ligatures w14:val="none"/>
        </w:rPr>
        <w:t>survey</w:t>
      </w:r>
      <w:r w:rsidRPr="00271B94">
        <w:rPr>
          <w:rFonts w:ascii="Times New Roman" w:eastAsia="Times New Roman" w:hAnsi="Times New Roman" w:cs="Times New Roman"/>
          <w:kern w:val="0"/>
          <w14:ligatures w14:val="none"/>
        </w:rPr>
        <w:t xml:space="preserve"> package. Coefficients, odds ratios, standard errors and p-values were estimated to describe differences in FGM risk.</w:t>
      </w:r>
    </w:p>
    <w:p w14:paraId="7634E37B" w14:textId="77777777" w:rsidR="00271B94" w:rsidRPr="00271B94" w:rsidRDefault="00271B94" w:rsidP="00271B94">
      <w:pPr>
        <w:spacing w:before="100" w:beforeAutospacing="1" w:after="100" w:afterAutospacing="1" w:line="240" w:lineRule="auto"/>
        <w:rPr>
          <w:rFonts w:ascii="Times New Roman" w:eastAsia="Times New Roman" w:hAnsi="Times New Roman" w:cs="Times New Roman"/>
          <w:kern w:val="0"/>
          <w14:ligatures w14:val="none"/>
        </w:rPr>
      </w:pPr>
      <w:r w:rsidRPr="00271B94">
        <w:rPr>
          <w:rFonts w:ascii="Times New Roman" w:eastAsia="Times New Roman" w:hAnsi="Times New Roman" w:cs="Times New Roman"/>
          <w:kern w:val="0"/>
          <w14:ligatures w14:val="none"/>
        </w:rPr>
        <w:t>For mapping, the person-year data were grouped by region, birth cohort and reporting type. Survey-weighted regional risk estimates were calculated and joined to Nigeria’s geographic boundary data. Choropleth maps were then produced using a common colour scale, with darker colours representing higher estimated FGM risk.</w:t>
      </w:r>
    </w:p>
    <w:p w14:paraId="6607D716" w14:textId="77777777" w:rsidR="00271B94" w:rsidRPr="00271B94" w:rsidRDefault="00271B94" w:rsidP="00271B94">
      <w:pPr>
        <w:spacing w:before="100" w:beforeAutospacing="1" w:after="100" w:afterAutospacing="1" w:line="240" w:lineRule="auto"/>
        <w:rPr>
          <w:rFonts w:ascii="Times New Roman" w:eastAsia="Times New Roman" w:hAnsi="Times New Roman" w:cs="Times New Roman"/>
          <w:kern w:val="0"/>
          <w14:ligatures w14:val="none"/>
        </w:rPr>
      </w:pPr>
      <w:r w:rsidRPr="00271B94">
        <w:rPr>
          <w:rFonts w:ascii="Times New Roman" w:eastAsia="Times New Roman" w:hAnsi="Times New Roman" w:cs="Times New Roman"/>
          <w:kern w:val="0"/>
          <w14:ligatures w14:val="none"/>
        </w:rPr>
        <w:t xml:space="preserve">The main R packages used were </w:t>
      </w:r>
      <w:r w:rsidRPr="00271B94">
        <w:rPr>
          <w:rFonts w:ascii="Courier New" w:eastAsia="Times New Roman" w:hAnsi="Courier New" w:cs="Courier New"/>
          <w:kern w:val="0"/>
          <w:sz w:val="20"/>
          <w:szCs w:val="20"/>
          <w14:ligatures w14:val="none"/>
        </w:rPr>
        <w:t>dplyr</w:t>
      </w:r>
      <w:r w:rsidRPr="00271B94">
        <w:rPr>
          <w:rFonts w:ascii="Times New Roman" w:eastAsia="Times New Roman" w:hAnsi="Times New Roman" w:cs="Times New Roman"/>
          <w:kern w:val="0"/>
          <w14:ligatures w14:val="none"/>
        </w:rPr>
        <w:t xml:space="preserve">, </w:t>
      </w:r>
      <w:r w:rsidRPr="00271B94">
        <w:rPr>
          <w:rFonts w:ascii="Courier New" w:eastAsia="Times New Roman" w:hAnsi="Courier New" w:cs="Courier New"/>
          <w:kern w:val="0"/>
          <w:sz w:val="20"/>
          <w:szCs w:val="20"/>
          <w14:ligatures w14:val="none"/>
        </w:rPr>
        <w:t>tidyr</w:t>
      </w:r>
      <w:r w:rsidRPr="00271B94">
        <w:rPr>
          <w:rFonts w:ascii="Times New Roman" w:eastAsia="Times New Roman" w:hAnsi="Times New Roman" w:cs="Times New Roman"/>
          <w:kern w:val="0"/>
          <w14:ligatures w14:val="none"/>
        </w:rPr>
        <w:t xml:space="preserve">, </w:t>
      </w:r>
      <w:r w:rsidRPr="00271B94">
        <w:rPr>
          <w:rFonts w:ascii="Courier New" w:eastAsia="Times New Roman" w:hAnsi="Courier New" w:cs="Courier New"/>
          <w:kern w:val="0"/>
          <w:sz w:val="20"/>
          <w:szCs w:val="20"/>
          <w14:ligatures w14:val="none"/>
        </w:rPr>
        <w:t>survey</w:t>
      </w:r>
      <w:r w:rsidRPr="00271B94">
        <w:rPr>
          <w:rFonts w:ascii="Times New Roman" w:eastAsia="Times New Roman" w:hAnsi="Times New Roman" w:cs="Times New Roman"/>
          <w:kern w:val="0"/>
          <w14:ligatures w14:val="none"/>
        </w:rPr>
        <w:t xml:space="preserve">, </w:t>
      </w:r>
      <w:r w:rsidRPr="00271B94">
        <w:rPr>
          <w:rFonts w:ascii="Courier New" w:eastAsia="Times New Roman" w:hAnsi="Courier New" w:cs="Courier New"/>
          <w:kern w:val="0"/>
          <w:sz w:val="20"/>
          <w:szCs w:val="20"/>
          <w14:ligatures w14:val="none"/>
        </w:rPr>
        <w:t>ggplot2</w:t>
      </w:r>
      <w:r w:rsidRPr="00271B94">
        <w:rPr>
          <w:rFonts w:ascii="Times New Roman" w:eastAsia="Times New Roman" w:hAnsi="Times New Roman" w:cs="Times New Roman"/>
          <w:kern w:val="0"/>
          <w14:ligatures w14:val="none"/>
        </w:rPr>
        <w:t xml:space="preserve">, </w:t>
      </w:r>
      <w:r w:rsidRPr="00271B94">
        <w:rPr>
          <w:rFonts w:ascii="Courier New" w:eastAsia="Times New Roman" w:hAnsi="Courier New" w:cs="Courier New"/>
          <w:kern w:val="0"/>
          <w:sz w:val="20"/>
          <w:szCs w:val="20"/>
          <w14:ligatures w14:val="none"/>
        </w:rPr>
        <w:t>sf</w:t>
      </w:r>
      <w:r w:rsidRPr="00271B94">
        <w:rPr>
          <w:rFonts w:ascii="Times New Roman" w:eastAsia="Times New Roman" w:hAnsi="Times New Roman" w:cs="Times New Roman"/>
          <w:kern w:val="0"/>
          <w14:ligatures w14:val="none"/>
        </w:rPr>
        <w:t xml:space="preserve">, </w:t>
      </w:r>
      <w:r w:rsidRPr="00271B94">
        <w:rPr>
          <w:rFonts w:ascii="Courier New" w:eastAsia="Times New Roman" w:hAnsi="Courier New" w:cs="Courier New"/>
          <w:kern w:val="0"/>
          <w:sz w:val="20"/>
          <w:szCs w:val="20"/>
          <w14:ligatures w14:val="none"/>
        </w:rPr>
        <w:t>survival</w:t>
      </w:r>
      <w:r w:rsidRPr="00271B94">
        <w:rPr>
          <w:rFonts w:ascii="Times New Roman" w:eastAsia="Times New Roman" w:hAnsi="Times New Roman" w:cs="Times New Roman"/>
          <w:kern w:val="0"/>
          <w14:ligatures w14:val="none"/>
        </w:rPr>
        <w:t xml:space="preserve">, </w:t>
      </w:r>
      <w:r w:rsidRPr="00271B94">
        <w:rPr>
          <w:rFonts w:ascii="Courier New" w:eastAsia="Times New Roman" w:hAnsi="Courier New" w:cs="Courier New"/>
          <w:kern w:val="0"/>
          <w:sz w:val="20"/>
          <w:szCs w:val="20"/>
          <w14:ligatures w14:val="none"/>
        </w:rPr>
        <w:t>mgcv</w:t>
      </w:r>
      <w:r w:rsidRPr="00271B94">
        <w:rPr>
          <w:rFonts w:ascii="Times New Roman" w:eastAsia="Times New Roman" w:hAnsi="Times New Roman" w:cs="Times New Roman"/>
          <w:kern w:val="0"/>
          <w14:ligatures w14:val="none"/>
        </w:rPr>
        <w:t xml:space="preserve"> and </w:t>
      </w:r>
      <w:r w:rsidRPr="00271B94">
        <w:rPr>
          <w:rFonts w:ascii="Courier New" w:eastAsia="Times New Roman" w:hAnsi="Courier New" w:cs="Courier New"/>
          <w:kern w:val="0"/>
          <w:sz w:val="20"/>
          <w:szCs w:val="20"/>
          <w14:ligatures w14:val="none"/>
        </w:rPr>
        <w:t>INLA</w:t>
      </w:r>
      <w:r w:rsidRPr="00271B94">
        <w:rPr>
          <w:rFonts w:ascii="Times New Roman" w:eastAsia="Times New Roman" w:hAnsi="Times New Roman" w:cs="Times New Roman"/>
          <w:kern w:val="0"/>
          <w14:ligatures w14:val="none"/>
        </w:rPr>
        <w:t>.</w:t>
      </w:r>
    </w:p>
    <w:p w14:paraId="04067CCA" w14:textId="58D1FFE2" w:rsidR="00271B94" w:rsidRPr="00271B94" w:rsidRDefault="00E71CAF" w:rsidP="00271B9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1CAF">
        <w:rPr>
          <w:rFonts w:ascii="Times New Roman" w:eastAsia="Times New Roman" w:hAnsi="Times New Roman" w:cs="Times New Roman"/>
          <w:b/>
          <w:bCs/>
          <w:kern w:val="0"/>
          <w:sz w:val="36"/>
          <w:szCs w:val="36"/>
          <w14:ligatures w14:val="none"/>
        </w:rPr>
        <w:lastRenderedPageBreak/>
        <w:drawing>
          <wp:inline distT="0" distB="0" distL="0" distR="0" wp14:anchorId="0B5264E9" wp14:editId="7151E4AC">
            <wp:extent cx="5943600" cy="5730875"/>
            <wp:effectExtent l="0" t="0" r="0" b="0"/>
            <wp:docPr id="63317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72265" name=""/>
                    <pic:cNvPicPr/>
                  </pic:nvPicPr>
                  <pic:blipFill>
                    <a:blip r:embed="rId5"/>
                    <a:stretch>
                      <a:fillRect/>
                    </a:stretch>
                  </pic:blipFill>
                  <pic:spPr>
                    <a:xfrm>
                      <a:off x="0" y="0"/>
                      <a:ext cx="5943600" cy="5730875"/>
                    </a:xfrm>
                    <a:prstGeom prst="rect">
                      <a:avLst/>
                    </a:prstGeom>
                  </pic:spPr>
                </pic:pic>
              </a:graphicData>
            </a:graphic>
          </wp:inline>
        </w:drawing>
      </w:r>
    </w:p>
    <w:p w14:paraId="1A9FF172" w14:textId="77777777" w:rsidR="00E56214" w:rsidRPr="00E56214" w:rsidRDefault="00E56214" w:rsidP="00E562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6214">
        <w:rPr>
          <w:rFonts w:ascii="Times New Roman" w:eastAsia="Times New Roman" w:hAnsi="Times New Roman" w:cs="Times New Roman"/>
          <w:b/>
          <w:bCs/>
          <w:kern w:val="0"/>
          <w:sz w:val="27"/>
          <w:szCs w:val="27"/>
          <w14:ligatures w14:val="none"/>
        </w:rPr>
        <w:t>8.1 Overview</w:t>
      </w:r>
    </w:p>
    <w:p w14:paraId="04FE5957"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Two hazard models were specified to examine the timing and risk of female genital mutilation (FGM) across the life course. Both models use the same substantive predictors, with additional covariates included conditionally depending on the number of distinct categories observed in the combined dataset.</w:t>
      </w:r>
    </w:p>
    <w:p w14:paraId="2CB6178D"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The models incorporate age-specific exposure time, birth cohort, geographical and demographic characteristics, and reporting source. This specification enables the analysis to assess differences in FGM risk across age groups and generations while accounting for individual and contextual characteristics.</w:t>
      </w:r>
    </w:p>
    <w:p w14:paraId="60B257DC" w14:textId="77777777" w:rsidR="00E56214" w:rsidRPr="00E56214" w:rsidRDefault="00E56214" w:rsidP="00E562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6214">
        <w:rPr>
          <w:rFonts w:ascii="Times New Roman" w:eastAsia="Times New Roman" w:hAnsi="Times New Roman" w:cs="Times New Roman"/>
          <w:b/>
          <w:bCs/>
          <w:kern w:val="0"/>
          <w:sz w:val="27"/>
          <w:szCs w:val="27"/>
          <w14:ligatures w14:val="none"/>
        </w:rPr>
        <w:lastRenderedPageBreak/>
        <w:t>8.2 Predictor Variables</w:t>
      </w:r>
    </w:p>
    <w:p w14:paraId="08CAA542" w14:textId="77777777" w:rsidR="00271B9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The core predictors included in both hazard model</w:t>
      </w:r>
    </w:p>
    <w:p w14:paraId="6A6D3E87" w14:textId="77777777" w:rsidR="00271B94" w:rsidRDefault="00271B94" w:rsidP="00E56214">
      <w:pPr>
        <w:spacing w:before="100" w:beforeAutospacing="1" w:after="100" w:afterAutospacing="1" w:line="240" w:lineRule="auto"/>
        <w:rPr>
          <w:rFonts w:ascii="Times New Roman" w:eastAsia="Times New Roman" w:hAnsi="Times New Roman" w:cs="Times New Roman"/>
          <w:kern w:val="0"/>
          <w14:ligatures w14:val="none"/>
        </w:rPr>
      </w:pPr>
    </w:p>
    <w:p w14:paraId="34E17262" w14:textId="613286E1"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s are presented in Table 1.</w:t>
      </w:r>
    </w:p>
    <w:p w14:paraId="47EDDCD0"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b/>
          <w:bCs/>
          <w:kern w:val="0"/>
          <w14:ligatures w14:val="none"/>
        </w:rPr>
        <w:t>Table 1. Core Predictors Included in the Hazard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44"/>
      </w:tblGrid>
      <w:tr w:rsidR="00E56214" w:rsidRPr="00E56214" w14:paraId="321FA793" w14:textId="77777777">
        <w:trPr>
          <w:tblHeader/>
          <w:tblCellSpacing w:w="15" w:type="dxa"/>
        </w:trPr>
        <w:tc>
          <w:tcPr>
            <w:tcW w:w="0" w:type="auto"/>
            <w:vAlign w:val="center"/>
            <w:hideMark/>
          </w:tcPr>
          <w:p w14:paraId="0B3CEEC8" w14:textId="77777777" w:rsidR="00E56214" w:rsidRPr="00E56214" w:rsidRDefault="00E56214" w:rsidP="00E56214">
            <w:pPr>
              <w:spacing w:after="0" w:line="240" w:lineRule="auto"/>
              <w:jc w:val="center"/>
              <w:rPr>
                <w:rFonts w:ascii="Times New Roman" w:eastAsia="Times New Roman" w:hAnsi="Times New Roman" w:cs="Times New Roman"/>
                <w:b/>
                <w:bCs/>
                <w:kern w:val="0"/>
                <w14:ligatures w14:val="none"/>
              </w:rPr>
            </w:pPr>
            <w:r w:rsidRPr="00E56214">
              <w:rPr>
                <w:rFonts w:ascii="Times New Roman" w:eastAsia="Times New Roman" w:hAnsi="Times New Roman" w:cs="Times New Roman"/>
                <w:b/>
                <w:bCs/>
                <w:kern w:val="0"/>
                <w14:ligatures w14:val="none"/>
              </w:rPr>
              <w:t>Predictor</w:t>
            </w:r>
          </w:p>
        </w:tc>
        <w:tc>
          <w:tcPr>
            <w:tcW w:w="0" w:type="auto"/>
            <w:vAlign w:val="center"/>
            <w:hideMark/>
          </w:tcPr>
          <w:p w14:paraId="3BA1329E" w14:textId="77777777" w:rsidR="00E56214" w:rsidRPr="00E56214" w:rsidRDefault="00E56214" w:rsidP="00E56214">
            <w:pPr>
              <w:spacing w:after="0" w:line="240" w:lineRule="auto"/>
              <w:jc w:val="center"/>
              <w:rPr>
                <w:rFonts w:ascii="Times New Roman" w:eastAsia="Times New Roman" w:hAnsi="Times New Roman" w:cs="Times New Roman"/>
                <w:b/>
                <w:bCs/>
                <w:kern w:val="0"/>
                <w14:ligatures w14:val="none"/>
              </w:rPr>
            </w:pPr>
            <w:r w:rsidRPr="00E56214">
              <w:rPr>
                <w:rFonts w:ascii="Times New Roman" w:eastAsia="Times New Roman" w:hAnsi="Times New Roman" w:cs="Times New Roman"/>
                <w:b/>
                <w:bCs/>
                <w:kern w:val="0"/>
                <w14:ligatures w14:val="none"/>
              </w:rPr>
              <w:t>Description and analytical role</w:t>
            </w:r>
          </w:p>
        </w:tc>
      </w:tr>
      <w:tr w:rsidR="00E56214" w:rsidRPr="00E56214" w14:paraId="5B15EFA2" w14:textId="77777777">
        <w:trPr>
          <w:tblCellSpacing w:w="15" w:type="dxa"/>
        </w:trPr>
        <w:tc>
          <w:tcPr>
            <w:tcW w:w="0" w:type="auto"/>
            <w:vAlign w:val="center"/>
            <w:hideMark/>
          </w:tcPr>
          <w:p w14:paraId="036C7385"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Courier New" w:eastAsia="Times New Roman" w:hAnsi="Courier New" w:cs="Courier New"/>
                <w:kern w:val="0"/>
                <w:sz w:val="20"/>
                <w:szCs w:val="20"/>
                <w14:ligatures w14:val="none"/>
              </w:rPr>
              <w:t>age_year</w:t>
            </w:r>
          </w:p>
        </w:tc>
        <w:tc>
          <w:tcPr>
            <w:tcW w:w="0" w:type="auto"/>
            <w:vAlign w:val="center"/>
            <w:hideMark/>
          </w:tcPr>
          <w:p w14:paraId="729862DF"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Age in completed years at risk of experiencing FGM. This is the time scale used in the discrete-time hazard model.</w:t>
            </w:r>
          </w:p>
        </w:tc>
      </w:tr>
      <w:tr w:rsidR="00E56214" w:rsidRPr="00E56214" w14:paraId="6A6F7D2B" w14:textId="77777777">
        <w:trPr>
          <w:tblCellSpacing w:w="15" w:type="dxa"/>
        </w:trPr>
        <w:tc>
          <w:tcPr>
            <w:tcW w:w="0" w:type="auto"/>
            <w:vAlign w:val="center"/>
            <w:hideMark/>
          </w:tcPr>
          <w:p w14:paraId="739705F8"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Courier New" w:eastAsia="Times New Roman" w:hAnsi="Courier New" w:cs="Courier New"/>
                <w:kern w:val="0"/>
                <w:sz w:val="20"/>
                <w:szCs w:val="20"/>
                <w14:ligatures w14:val="none"/>
              </w:rPr>
              <w:t>birth_cohort</w:t>
            </w:r>
          </w:p>
        </w:tc>
        <w:tc>
          <w:tcPr>
            <w:tcW w:w="0" w:type="auto"/>
            <w:vAlign w:val="center"/>
            <w:hideMark/>
          </w:tcPr>
          <w:p w14:paraId="03CCFF6C"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Five-year birth-year bands used to capture changes in FGM risk across generations and assess whether the risk of FGM is declining over time.</w:t>
            </w:r>
          </w:p>
        </w:tc>
      </w:tr>
      <w:tr w:rsidR="00E56214" w:rsidRPr="00E56214" w14:paraId="4FD7510A" w14:textId="77777777">
        <w:trPr>
          <w:tblCellSpacing w:w="15" w:type="dxa"/>
        </w:trPr>
        <w:tc>
          <w:tcPr>
            <w:tcW w:w="0" w:type="auto"/>
            <w:vAlign w:val="center"/>
            <w:hideMark/>
          </w:tcPr>
          <w:p w14:paraId="5221B788"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Courier New" w:eastAsia="Times New Roman" w:hAnsi="Courier New" w:cs="Courier New"/>
                <w:kern w:val="0"/>
                <w:sz w:val="20"/>
                <w:szCs w:val="20"/>
                <w14:ligatures w14:val="none"/>
              </w:rPr>
              <w:t>urban_rural</w:t>
            </w:r>
          </w:p>
        </w:tc>
        <w:tc>
          <w:tcPr>
            <w:tcW w:w="0" w:type="auto"/>
            <w:vAlign w:val="center"/>
            <w:hideMark/>
          </w:tcPr>
          <w:p w14:paraId="728ABF3C"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Type of residence, distinguishing urban and rural populations.</w:t>
            </w:r>
          </w:p>
        </w:tc>
      </w:tr>
      <w:tr w:rsidR="00E56214" w:rsidRPr="00E56214" w14:paraId="5DAB6569" w14:textId="77777777">
        <w:trPr>
          <w:tblCellSpacing w:w="15" w:type="dxa"/>
        </w:trPr>
        <w:tc>
          <w:tcPr>
            <w:tcW w:w="0" w:type="auto"/>
            <w:vAlign w:val="center"/>
            <w:hideMark/>
          </w:tcPr>
          <w:p w14:paraId="124CCA39"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Courier New" w:eastAsia="Times New Roman" w:hAnsi="Courier New" w:cs="Courier New"/>
                <w:kern w:val="0"/>
                <w:sz w:val="20"/>
                <w:szCs w:val="20"/>
                <w14:ligatures w14:val="none"/>
              </w:rPr>
              <w:t>region</w:t>
            </w:r>
          </w:p>
        </w:tc>
        <w:tc>
          <w:tcPr>
            <w:tcW w:w="0" w:type="auto"/>
            <w:vAlign w:val="center"/>
            <w:hideMark/>
          </w:tcPr>
          <w:p w14:paraId="26F69B2A"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Geographical location, represented by state or zone depending on the survey round. This variable is obtained through the geography-file join.</w:t>
            </w:r>
          </w:p>
        </w:tc>
      </w:tr>
      <w:tr w:rsidR="00E56214" w:rsidRPr="00E56214" w14:paraId="7367A058" w14:textId="77777777">
        <w:trPr>
          <w:tblCellSpacing w:w="15" w:type="dxa"/>
        </w:trPr>
        <w:tc>
          <w:tcPr>
            <w:tcW w:w="0" w:type="auto"/>
            <w:vAlign w:val="center"/>
            <w:hideMark/>
          </w:tcPr>
          <w:p w14:paraId="135E4E1B"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Courier New" w:eastAsia="Times New Roman" w:hAnsi="Courier New" w:cs="Courier New"/>
                <w:kern w:val="0"/>
                <w:sz w:val="20"/>
                <w:szCs w:val="20"/>
                <w14:ligatures w14:val="none"/>
              </w:rPr>
              <w:t>ethnicity</w:t>
            </w:r>
          </w:p>
        </w:tc>
        <w:tc>
          <w:tcPr>
            <w:tcW w:w="0" w:type="auto"/>
            <w:vAlign w:val="center"/>
            <w:hideMark/>
          </w:tcPr>
          <w:p w14:paraId="23E716EF"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Grouped ethnic categories, consisting of the eight largest ethnic groups and an “Other” category, as constructed in Section 11.</w:t>
            </w:r>
          </w:p>
        </w:tc>
      </w:tr>
    </w:tbl>
    <w:p w14:paraId="697F41C8" w14:textId="77777777" w:rsidR="00E56214" w:rsidRPr="00E56214" w:rsidRDefault="00E56214" w:rsidP="00E562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6214">
        <w:rPr>
          <w:rFonts w:ascii="Times New Roman" w:eastAsia="Times New Roman" w:hAnsi="Times New Roman" w:cs="Times New Roman"/>
          <w:b/>
          <w:bCs/>
          <w:kern w:val="0"/>
          <w:sz w:val="27"/>
          <w:szCs w:val="27"/>
          <w14:ligatures w14:val="none"/>
        </w:rPr>
        <w:t>8.3 Conditional Predictors</w:t>
      </w:r>
    </w:p>
    <w:p w14:paraId="520B9290"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Two additional variables are included only when the combined dataset contains at least two distinct categories. This approach prevents the inclusion of single-level factors that cannot contribute meaningful contrasts to the model.</w:t>
      </w:r>
    </w:p>
    <w:p w14:paraId="21027049" w14:textId="77777777" w:rsidR="00E56214" w:rsidRPr="00E56214" w:rsidRDefault="00E56214" w:rsidP="00E5621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b/>
          <w:bCs/>
          <w:kern w:val="0"/>
          <w14:ligatures w14:val="none"/>
        </w:rPr>
        <w:t>Survey type (</w:t>
      </w:r>
      <w:r w:rsidRPr="00E56214">
        <w:rPr>
          <w:rFonts w:ascii="Courier New" w:eastAsia="Times New Roman" w:hAnsi="Courier New" w:cs="Courier New"/>
          <w:b/>
          <w:bCs/>
          <w:kern w:val="0"/>
          <w:sz w:val="20"/>
          <w:szCs w:val="20"/>
          <w14:ligatures w14:val="none"/>
        </w:rPr>
        <w:t>survey_type</w:t>
      </w:r>
      <w:r w:rsidRPr="00E56214">
        <w:rPr>
          <w:rFonts w:ascii="Times New Roman" w:eastAsia="Times New Roman" w:hAnsi="Times New Roman" w:cs="Times New Roman"/>
          <w:b/>
          <w:bCs/>
          <w:kern w:val="0"/>
          <w14:ligatures w14:val="none"/>
        </w:rPr>
        <w:t>):</w:t>
      </w:r>
      <w:r w:rsidRPr="00E56214">
        <w:rPr>
          <w:rFonts w:ascii="Times New Roman" w:eastAsia="Times New Roman" w:hAnsi="Times New Roman" w:cs="Times New Roman"/>
          <w:kern w:val="0"/>
          <w14:ligatures w14:val="none"/>
        </w:rPr>
        <w:t xml:space="preserve"> This variable distinguishes between DHS and MICS survey rounds. It is relevant when multiple survey programmes are combined for a country. For the current Nigeria 2024 analysis, only one DHS round is included; consequently, </w:t>
      </w:r>
      <w:r w:rsidRPr="00E56214">
        <w:rPr>
          <w:rFonts w:ascii="Courier New" w:eastAsia="Times New Roman" w:hAnsi="Courier New" w:cs="Courier New"/>
          <w:kern w:val="0"/>
          <w:sz w:val="20"/>
          <w:szCs w:val="20"/>
          <w14:ligatures w14:val="none"/>
        </w:rPr>
        <w:t>survey_type</w:t>
      </w:r>
      <w:r w:rsidRPr="00E56214">
        <w:rPr>
          <w:rFonts w:ascii="Times New Roman" w:eastAsia="Times New Roman" w:hAnsi="Times New Roman" w:cs="Times New Roman"/>
          <w:kern w:val="0"/>
          <w14:ligatures w14:val="none"/>
        </w:rPr>
        <w:t xml:space="preserve"> is constant and is excluded from the model.</w:t>
      </w:r>
    </w:p>
    <w:p w14:paraId="759A6F6B" w14:textId="77777777" w:rsidR="00E56214" w:rsidRPr="00E56214" w:rsidRDefault="00E56214" w:rsidP="00E5621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b/>
          <w:bCs/>
          <w:kern w:val="0"/>
          <w14:ligatures w14:val="none"/>
        </w:rPr>
        <w:t>Record type (</w:t>
      </w:r>
      <w:r w:rsidRPr="00E56214">
        <w:rPr>
          <w:rFonts w:ascii="Courier New" w:eastAsia="Times New Roman" w:hAnsi="Courier New" w:cs="Courier New"/>
          <w:b/>
          <w:bCs/>
          <w:kern w:val="0"/>
          <w:sz w:val="20"/>
          <w:szCs w:val="20"/>
          <w14:ligatures w14:val="none"/>
        </w:rPr>
        <w:t>record_type</w:t>
      </w:r>
      <w:r w:rsidRPr="00E56214">
        <w:rPr>
          <w:rFonts w:ascii="Times New Roman" w:eastAsia="Times New Roman" w:hAnsi="Times New Roman" w:cs="Times New Roman"/>
          <w:b/>
          <w:bCs/>
          <w:kern w:val="0"/>
          <w14:ligatures w14:val="none"/>
        </w:rPr>
        <w:t>):</w:t>
      </w:r>
      <w:r w:rsidRPr="00E56214">
        <w:rPr>
          <w:rFonts w:ascii="Times New Roman" w:eastAsia="Times New Roman" w:hAnsi="Times New Roman" w:cs="Times New Roman"/>
          <w:kern w:val="0"/>
          <w14:ligatures w14:val="none"/>
        </w:rPr>
        <w:t xml:space="preserve"> This variable distinguishes between respondent self-reports and reconstructed daughter records. It is included in the current analysis because both reporting sources are present in the dataset. In the earlier model run, </w:t>
      </w:r>
      <w:r w:rsidRPr="00E56214">
        <w:rPr>
          <w:rFonts w:ascii="Courier New" w:eastAsia="Times New Roman" w:hAnsi="Courier New" w:cs="Courier New"/>
          <w:kern w:val="0"/>
          <w:sz w:val="20"/>
          <w:szCs w:val="20"/>
          <w14:ligatures w14:val="none"/>
        </w:rPr>
        <w:t>record_type</w:t>
      </w:r>
      <w:r w:rsidRPr="00E56214">
        <w:rPr>
          <w:rFonts w:ascii="Times New Roman" w:eastAsia="Times New Roman" w:hAnsi="Times New Roman" w:cs="Times New Roman"/>
          <w:kern w:val="0"/>
          <w14:ligatures w14:val="none"/>
        </w:rPr>
        <w:t xml:space="preserve"> was statistically significant (p = 0.002), indicating a difference in FGM reporting or recording patterns between the two sources. Its inclusion therefore helps account for potential reporting-source differences in the estimated hazard.</w:t>
      </w:r>
    </w:p>
    <w:p w14:paraId="40B13FFA" w14:textId="77777777" w:rsidR="00E56214" w:rsidRPr="00E56214" w:rsidRDefault="00E56214" w:rsidP="00E562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6214">
        <w:rPr>
          <w:rFonts w:ascii="Times New Roman" w:eastAsia="Times New Roman" w:hAnsi="Times New Roman" w:cs="Times New Roman"/>
          <w:b/>
          <w:bCs/>
          <w:kern w:val="0"/>
          <w:sz w:val="27"/>
          <w:szCs w:val="27"/>
          <w14:ligatures w14:val="none"/>
        </w:rPr>
        <w:t>8.4 Model Specification for Nigeria 2024</w:t>
      </w:r>
    </w:p>
    <w:p w14:paraId="6AF02712"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For the Nigeria 2024 dataset, the active model specification is:</w:t>
      </w:r>
    </w:p>
    <w:p w14:paraId="1A17C1CC"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6214">
        <w:rPr>
          <w:rFonts w:ascii="Courier New" w:eastAsia="Times New Roman" w:hAnsi="Courier New" w:cs="Courier New"/>
          <w:kern w:val="0"/>
          <w:sz w:val="20"/>
          <w:szCs w:val="20"/>
          <w14:ligatures w14:val="none"/>
        </w:rPr>
        <w:t>event ~ age_year + birth_cohort + urban_rural +</w:t>
      </w:r>
    </w:p>
    <w:p w14:paraId="1C7263F0"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6214">
        <w:rPr>
          <w:rFonts w:ascii="Courier New" w:eastAsia="Times New Roman" w:hAnsi="Courier New" w:cs="Courier New"/>
          <w:kern w:val="0"/>
          <w:sz w:val="20"/>
          <w:szCs w:val="20"/>
          <w14:ligatures w14:val="none"/>
        </w:rPr>
        <w:t xml:space="preserve">        region + ethnicity + record_type</w:t>
      </w:r>
    </w:p>
    <w:p w14:paraId="6B70A3D5"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lastRenderedPageBreak/>
        <w:t>The model includes the occurrence of FGM as the event outcome, with age in years serving as the discrete time scale. The Cox proportional hazards version additionally incorporates a cluster-level frailty term to account for unobserved heterogeneity among individuals residing within the same sampling cluster.</w:t>
      </w:r>
    </w:p>
    <w:p w14:paraId="5B4A24AE" w14:textId="77777777" w:rsidR="00E56214" w:rsidRPr="00E56214" w:rsidRDefault="00E56214" w:rsidP="00E562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6214">
        <w:rPr>
          <w:rFonts w:ascii="Times New Roman" w:eastAsia="Times New Roman" w:hAnsi="Times New Roman" w:cs="Times New Roman"/>
          <w:b/>
          <w:bCs/>
          <w:kern w:val="0"/>
          <w:sz w:val="27"/>
          <w:szCs w:val="27"/>
          <w14:ligatures w14:val="none"/>
        </w:rPr>
        <w:t>8.5 Survey Design and Clustering</w:t>
      </w:r>
    </w:p>
    <w:p w14:paraId="466DFC41"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The analysis distinguishes between substantive predictors and statistical design components.</w:t>
      </w:r>
    </w:p>
    <w:p w14:paraId="047329AD" w14:textId="77777777" w:rsidR="00E56214" w:rsidRPr="00E56214" w:rsidRDefault="00E56214" w:rsidP="00E562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b/>
          <w:bCs/>
          <w:kern w:val="0"/>
          <w14:ligatures w14:val="none"/>
        </w:rPr>
        <w:t>Cluster-level frailty (</w:t>
      </w:r>
      <w:r w:rsidRPr="00E56214">
        <w:rPr>
          <w:rFonts w:ascii="Courier New" w:eastAsia="Times New Roman" w:hAnsi="Courier New" w:cs="Courier New"/>
          <w:b/>
          <w:bCs/>
          <w:kern w:val="0"/>
          <w:sz w:val="20"/>
          <w:szCs w:val="20"/>
          <w14:ligatures w14:val="none"/>
        </w:rPr>
        <w:t>cluster</w:t>
      </w:r>
      <w:r w:rsidRPr="00E56214">
        <w:rPr>
          <w:rFonts w:ascii="Times New Roman" w:eastAsia="Times New Roman" w:hAnsi="Times New Roman" w:cs="Times New Roman"/>
          <w:b/>
          <w:bCs/>
          <w:kern w:val="0"/>
          <w14:ligatures w14:val="none"/>
        </w:rPr>
        <w:t>):</w:t>
      </w:r>
      <w:r w:rsidRPr="00E56214">
        <w:rPr>
          <w:rFonts w:ascii="Times New Roman" w:eastAsia="Times New Roman" w:hAnsi="Times New Roman" w:cs="Times New Roman"/>
          <w:kern w:val="0"/>
          <w14:ligatures w14:val="none"/>
        </w:rPr>
        <w:t xml:space="preserve"> Included in the Cox model as a random effect to account for unobserved cluster-level influences, such as shared local exposure and contextual factors. It is not interpreted as a conventional fixed-effect predictor.</w:t>
      </w:r>
    </w:p>
    <w:p w14:paraId="51128014" w14:textId="77777777" w:rsidR="00E56214" w:rsidRPr="00E56214" w:rsidRDefault="00E56214" w:rsidP="00E562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b/>
          <w:bCs/>
          <w:kern w:val="0"/>
          <w14:ligatures w14:val="none"/>
        </w:rPr>
        <w:t>Primary sampling unit (</w:t>
      </w:r>
      <w:r w:rsidRPr="00E56214">
        <w:rPr>
          <w:rFonts w:ascii="Courier New" w:eastAsia="Times New Roman" w:hAnsi="Courier New" w:cs="Courier New"/>
          <w:b/>
          <w:bCs/>
          <w:kern w:val="0"/>
          <w:sz w:val="20"/>
          <w:szCs w:val="20"/>
          <w14:ligatures w14:val="none"/>
        </w:rPr>
        <w:t>psu</w:t>
      </w:r>
      <w:r w:rsidRPr="00E56214">
        <w:rPr>
          <w:rFonts w:ascii="Times New Roman" w:eastAsia="Times New Roman" w:hAnsi="Times New Roman" w:cs="Times New Roman"/>
          <w:b/>
          <w:bCs/>
          <w:kern w:val="0"/>
          <w14:ligatures w14:val="none"/>
        </w:rPr>
        <w:t>), strata (</w:t>
      </w:r>
      <w:r w:rsidRPr="00E56214">
        <w:rPr>
          <w:rFonts w:ascii="Courier New" w:eastAsia="Times New Roman" w:hAnsi="Courier New" w:cs="Courier New"/>
          <w:b/>
          <w:bCs/>
          <w:kern w:val="0"/>
          <w:sz w:val="20"/>
          <w:szCs w:val="20"/>
          <w14:ligatures w14:val="none"/>
        </w:rPr>
        <w:t>strata</w:t>
      </w:r>
      <w:r w:rsidRPr="00E56214">
        <w:rPr>
          <w:rFonts w:ascii="Times New Roman" w:eastAsia="Times New Roman" w:hAnsi="Times New Roman" w:cs="Times New Roman"/>
          <w:b/>
          <w:bCs/>
          <w:kern w:val="0"/>
          <w14:ligatures w14:val="none"/>
        </w:rPr>
        <w:t>), and survey weights (</w:t>
      </w:r>
      <w:r w:rsidRPr="00E56214">
        <w:rPr>
          <w:rFonts w:ascii="Courier New" w:eastAsia="Times New Roman" w:hAnsi="Courier New" w:cs="Courier New"/>
          <w:b/>
          <w:bCs/>
          <w:kern w:val="0"/>
          <w:sz w:val="20"/>
          <w:szCs w:val="20"/>
          <w14:ligatures w14:val="none"/>
        </w:rPr>
        <w:t>weight</w:t>
      </w:r>
      <w:r w:rsidRPr="00E56214">
        <w:rPr>
          <w:rFonts w:ascii="Times New Roman" w:eastAsia="Times New Roman" w:hAnsi="Times New Roman" w:cs="Times New Roman"/>
          <w:b/>
          <w:bCs/>
          <w:kern w:val="0"/>
          <w14:ligatures w14:val="none"/>
        </w:rPr>
        <w:t>):</w:t>
      </w:r>
      <w:r w:rsidRPr="00E56214">
        <w:rPr>
          <w:rFonts w:ascii="Times New Roman" w:eastAsia="Times New Roman" w:hAnsi="Times New Roman" w:cs="Times New Roman"/>
          <w:kern w:val="0"/>
          <w14:ligatures w14:val="none"/>
        </w:rPr>
        <w:t xml:space="preserve"> These variables are used to construct the survey design object (</w:t>
      </w:r>
      <w:r w:rsidRPr="00E56214">
        <w:rPr>
          <w:rFonts w:ascii="Courier New" w:eastAsia="Times New Roman" w:hAnsi="Courier New" w:cs="Courier New"/>
          <w:kern w:val="0"/>
          <w:sz w:val="20"/>
          <w:szCs w:val="20"/>
          <w14:ligatures w14:val="none"/>
        </w:rPr>
        <w:t>hazard_design</w:t>
      </w:r>
      <w:r w:rsidRPr="00E56214">
        <w:rPr>
          <w:rFonts w:ascii="Times New Roman" w:eastAsia="Times New Roman" w:hAnsi="Times New Roman" w:cs="Times New Roman"/>
          <w:kern w:val="0"/>
          <w14:ligatures w14:val="none"/>
        </w:rPr>
        <w:t>). They account for the complex survey sampling design and contribute to the estimation of appropriate standard errors and population-representative estimates. They do not form part of the substantive mean structure of the model.</w:t>
      </w:r>
    </w:p>
    <w:p w14:paraId="4DC85BE0"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This distinction ensures that the hazard models account for both individual-level and contextual factors while appropriately incorporating the survey design.</w:t>
      </w:r>
    </w:p>
    <w:p w14:paraId="1A798DB3" w14:textId="77777777" w:rsidR="00E56214" w:rsidRPr="00E56214" w:rsidRDefault="0075541E" w:rsidP="00E56214">
      <w:pPr>
        <w:spacing w:after="0" w:line="240" w:lineRule="auto"/>
        <w:rPr>
          <w:rFonts w:ascii="Times New Roman" w:eastAsia="Times New Roman" w:hAnsi="Times New Roman" w:cs="Times New Roman"/>
          <w:kern w:val="0"/>
          <w14:ligatures w14:val="none"/>
        </w:rPr>
      </w:pPr>
      <w:r>
        <w:pict w14:anchorId="74FE4F64">
          <v:rect id="Horizontal Line 1"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3DC007" w14:textId="77777777" w:rsidR="00E56214" w:rsidRPr="00E56214" w:rsidRDefault="00E56214" w:rsidP="00E562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6214">
        <w:rPr>
          <w:rFonts w:ascii="Times New Roman" w:eastAsia="Times New Roman" w:hAnsi="Times New Roman" w:cs="Times New Roman"/>
          <w:b/>
          <w:bCs/>
          <w:kern w:val="0"/>
          <w:sz w:val="36"/>
          <w:szCs w:val="36"/>
          <w14:ligatures w14:val="none"/>
        </w:rPr>
        <w:t>9. Treatment of FGM Age at Cutting in Time-to-Event Analysis</w:t>
      </w:r>
    </w:p>
    <w:p w14:paraId="0FFCA8A2" w14:textId="77777777" w:rsidR="00E56214" w:rsidRPr="00E56214" w:rsidRDefault="00E56214" w:rsidP="00E562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6214">
        <w:rPr>
          <w:rFonts w:ascii="Times New Roman" w:eastAsia="Times New Roman" w:hAnsi="Times New Roman" w:cs="Times New Roman"/>
          <w:b/>
          <w:bCs/>
          <w:kern w:val="0"/>
          <w:sz w:val="27"/>
          <w:szCs w:val="27"/>
          <w14:ligatures w14:val="none"/>
        </w:rPr>
        <w:t>9.1 Overview</w:t>
      </w:r>
    </w:p>
    <w:p w14:paraId="6ADE0B64"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The time-to-event analysis requires the age at which FGM occurred to be identified for individuals who experienced the event. The data processing distinguishes between valid age-at-cutting values, including age zero, and missing or unrecorded ages. These cases have different implications for the construction of the event time.</w:t>
      </w:r>
    </w:p>
    <w:p w14:paraId="6367F28A" w14:textId="77777777" w:rsidR="00E56214" w:rsidRPr="00E56214" w:rsidRDefault="00E56214" w:rsidP="00E562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6214">
        <w:rPr>
          <w:rFonts w:ascii="Times New Roman" w:eastAsia="Times New Roman" w:hAnsi="Times New Roman" w:cs="Times New Roman"/>
          <w:b/>
          <w:bCs/>
          <w:kern w:val="0"/>
          <w:sz w:val="27"/>
          <w:szCs w:val="27"/>
          <w14:ligatures w14:val="none"/>
        </w:rPr>
        <w:t>9.2 Treatment of Age at Cutting Equal to Zero</w:t>
      </w:r>
    </w:p>
    <w:p w14:paraId="25D071AD"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An age-at-cutting value of zero is treated as a valid observation rather than missing data. In the data preparation stage, the age at cutting is retained when it falls within the inclusive range of 0 to 49 years:</w:t>
      </w:r>
    </w:p>
    <w:p w14:paraId="48A5AFA5"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6214">
        <w:rPr>
          <w:rFonts w:ascii="Courier New" w:eastAsia="Times New Roman" w:hAnsi="Courier New" w:cs="Courier New"/>
          <w:kern w:val="0"/>
          <w:sz w:val="20"/>
          <w:szCs w:val="20"/>
          <w14:ligatures w14:val="none"/>
        </w:rPr>
        <w:t>fgm_age_raw = as.numeric(g106)</w:t>
      </w:r>
    </w:p>
    <w:p w14:paraId="175036D1"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53BCA6"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6214">
        <w:rPr>
          <w:rFonts w:ascii="Courier New" w:eastAsia="Times New Roman" w:hAnsi="Courier New" w:cs="Courier New"/>
          <w:kern w:val="0"/>
          <w:sz w:val="20"/>
          <w:szCs w:val="20"/>
          <w14:ligatures w14:val="none"/>
        </w:rPr>
        <w:t>fgm_age = if_else(</w:t>
      </w:r>
    </w:p>
    <w:p w14:paraId="56792C82"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6214">
        <w:rPr>
          <w:rFonts w:ascii="Courier New" w:eastAsia="Times New Roman" w:hAnsi="Courier New" w:cs="Courier New"/>
          <w:kern w:val="0"/>
          <w:sz w:val="20"/>
          <w:szCs w:val="20"/>
          <w14:ligatures w14:val="none"/>
        </w:rPr>
        <w:t xml:space="preserve">  fgm_age_raw %in% 0:49,</w:t>
      </w:r>
    </w:p>
    <w:p w14:paraId="01AD48FA"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6214">
        <w:rPr>
          <w:rFonts w:ascii="Courier New" w:eastAsia="Times New Roman" w:hAnsi="Courier New" w:cs="Courier New"/>
          <w:kern w:val="0"/>
          <w:sz w:val="20"/>
          <w:szCs w:val="20"/>
          <w14:ligatures w14:val="none"/>
        </w:rPr>
        <w:t xml:space="preserve">  fgm_age_raw,</w:t>
      </w:r>
    </w:p>
    <w:p w14:paraId="6FD558D0"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6214">
        <w:rPr>
          <w:rFonts w:ascii="Courier New" w:eastAsia="Times New Roman" w:hAnsi="Courier New" w:cs="Courier New"/>
          <w:kern w:val="0"/>
          <w:sz w:val="20"/>
          <w:szCs w:val="20"/>
          <w14:ligatures w14:val="none"/>
        </w:rPr>
        <w:t xml:space="preserve">  NA_real_</w:t>
      </w:r>
    </w:p>
    <w:p w14:paraId="66BD1408"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6214">
        <w:rPr>
          <w:rFonts w:ascii="Courier New" w:eastAsia="Times New Roman" w:hAnsi="Courier New" w:cs="Courier New"/>
          <w:kern w:val="0"/>
          <w:sz w:val="20"/>
          <w:szCs w:val="20"/>
          <w14:ligatures w14:val="none"/>
        </w:rPr>
        <w:t>)</w:t>
      </w:r>
    </w:p>
    <w:p w14:paraId="7EB65A08"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lastRenderedPageBreak/>
        <w:t>The inclusion of zero is important because FGM reported as occurring before the first birthday is coded as age zero in the relevant DHS data. Such observations are therefore retained in the analysis.</w:t>
      </w:r>
    </w:p>
    <w:p w14:paraId="34A8F106"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For individuals who experienced FGM, the event time is assigned as the recorded age at cutting:</w:t>
      </w:r>
    </w:p>
    <w:p w14:paraId="50334048"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6214">
        <w:rPr>
          <w:rFonts w:ascii="Courier New" w:eastAsia="Times New Roman" w:hAnsi="Courier New" w:cs="Courier New"/>
          <w:kern w:val="0"/>
          <w:sz w:val="20"/>
          <w:szCs w:val="20"/>
          <w14:ligatures w14:val="none"/>
        </w:rPr>
        <w:t>time = if_else(</w:t>
      </w:r>
    </w:p>
    <w:p w14:paraId="5935E079"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6214">
        <w:rPr>
          <w:rFonts w:ascii="Courier New" w:eastAsia="Times New Roman" w:hAnsi="Courier New" w:cs="Courier New"/>
          <w:kern w:val="0"/>
          <w:sz w:val="20"/>
          <w:szCs w:val="20"/>
          <w14:ligatures w14:val="none"/>
        </w:rPr>
        <w:t xml:space="preserve">  fgm_event == 1,</w:t>
      </w:r>
    </w:p>
    <w:p w14:paraId="02F16564"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6214">
        <w:rPr>
          <w:rFonts w:ascii="Courier New" w:eastAsia="Times New Roman" w:hAnsi="Courier New" w:cs="Courier New"/>
          <w:kern w:val="0"/>
          <w:sz w:val="20"/>
          <w:szCs w:val="20"/>
          <w14:ligatures w14:val="none"/>
        </w:rPr>
        <w:t xml:space="preserve">  fgm_age,</w:t>
      </w:r>
    </w:p>
    <w:p w14:paraId="01CB623B"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6214">
        <w:rPr>
          <w:rFonts w:ascii="Courier New" w:eastAsia="Times New Roman" w:hAnsi="Courier New" w:cs="Courier New"/>
          <w:kern w:val="0"/>
          <w:sz w:val="20"/>
          <w:szCs w:val="20"/>
          <w14:ligatures w14:val="none"/>
        </w:rPr>
        <w:t xml:space="preserve">  pmin(age, max_age_years)</w:t>
      </w:r>
    </w:p>
    <w:p w14:paraId="72842E0D"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6214">
        <w:rPr>
          <w:rFonts w:ascii="Courier New" w:eastAsia="Times New Roman" w:hAnsi="Courier New" w:cs="Courier New"/>
          <w:kern w:val="0"/>
          <w:sz w:val="20"/>
          <w:szCs w:val="20"/>
          <w14:ligatures w14:val="none"/>
        </w:rPr>
        <w:t>)</w:t>
      </w:r>
    </w:p>
    <w:p w14:paraId="53E79789"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Consequently, an individual cut in infancy has:</w:t>
      </w:r>
    </w:p>
    <w:p w14:paraId="76AD4DD7" w14:textId="77777777" w:rsidR="00E56214" w:rsidRPr="00E56214" w:rsidRDefault="00E56214" w:rsidP="00E5621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Courier New" w:eastAsia="Times New Roman" w:hAnsi="Courier New" w:cs="Courier New"/>
          <w:kern w:val="0"/>
          <w:sz w:val="20"/>
          <w:szCs w:val="20"/>
          <w14:ligatures w14:val="none"/>
        </w:rPr>
        <w:t>fgm_event = 1</w:t>
      </w:r>
    </w:p>
    <w:p w14:paraId="71902099" w14:textId="77777777" w:rsidR="00E56214" w:rsidRPr="00E56214" w:rsidRDefault="00E56214" w:rsidP="00E5621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Courier New" w:eastAsia="Times New Roman" w:hAnsi="Courier New" w:cs="Courier New"/>
          <w:kern w:val="0"/>
          <w:sz w:val="20"/>
          <w:szCs w:val="20"/>
          <w14:ligatures w14:val="none"/>
        </w:rPr>
        <w:t>time = 0</w:t>
      </w:r>
    </w:p>
    <w:p w14:paraId="413F7236"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When the data are subsequently expanded into person-time records, the event is assigned to age zero:</w:t>
      </w:r>
    </w:p>
    <w:p w14:paraId="3A0D595C"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6214">
        <w:rPr>
          <w:rFonts w:ascii="Courier New" w:eastAsia="Times New Roman" w:hAnsi="Courier New" w:cs="Courier New"/>
          <w:kern w:val="0"/>
          <w:sz w:val="20"/>
          <w:szCs w:val="20"/>
          <w14:ligatures w14:val="none"/>
        </w:rPr>
        <w:t>age_year = 0:floor(time)</w:t>
      </w:r>
    </w:p>
    <w:p w14:paraId="2D29ECCC"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6E27CD"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6214">
        <w:rPr>
          <w:rFonts w:ascii="Courier New" w:eastAsia="Times New Roman" w:hAnsi="Courier New" w:cs="Courier New"/>
          <w:kern w:val="0"/>
          <w:sz w:val="20"/>
          <w:szCs w:val="20"/>
          <w14:ligatures w14:val="none"/>
        </w:rPr>
        <w:t>event = dplyr::if_else(</w:t>
      </w:r>
    </w:p>
    <w:p w14:paraId="68F9A735"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6214">
        <w:rPr>
          <w:rFonts w:ascii="Courier New" w:eastAsia="Times New Roman" w:hAnsi="Courier New" w:cs="Courier New"/>
          <w:kern w:val="0"/>
          <w:sz w:val="20"/>
          <w:szCs w:val="20"/>
          <w14:ligatures w14:val="none"/>
        </w:rPr>
        <w:t xml:space="preserve">  age_year == floor(time) &amp; fgm_event == 1,</w:t>
      </w:r>
    </w:p>
    <w:p w14:paraId="4C907DE3"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6214">
        <w:rPr>
          <w:rFonts w:ascii="Courier New" w:eastAsia="Times New Roman" w:hAnsi="Courier New" w:cs="Courier New"/>
          <w:kern w:val="0"/>
          <w:sz w:val="20"/>
          <w:szCs w:val="20"/>
          <w14:ligatures w14:val="none"/>
        </w:rPr>
        <w:t xml:space="preserve">  1L,</w:t>
      </w:r>
    </w:p>
    <w:p w14:paraId="5E3A3AF0"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6214">
        <w:rPr>
          <w:rFonts w:ascii="Courier New" w:eastAsia="Times New Roman" w:hAnsi="Courier New" w:cs="Courier New"/>
          <w:kern w:val="0"/>
          <w:sz w:val="20"/>
          <w:szCs w:val="20"/>
          <w14:ligatures w14:val="none"/>
        </w:rPr>
        <w:t xml:space="preserve">  0L</w:t>
      </w:r>
    </w:p>
    <w:p w14:paraId="7AF40258"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6214">
        <w:rPr>
          <w:rFonts w:ascii="Courier New" w:eastAsia="Times New Roman" w:hAnsi="Courier New" w:cs="Courier New"/>
          <w:kern w:val="0"/>
          <w:sz w:val="20"/>
          <w:szCs w:val="20"/>
          <w14:ligatures w14:val="none"/>
        </w:rPr>
        <w:t>)</w:t>
      </w:r>
    </w:p>
    <w:p w14:paraId="7E0ADF27"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 xml:space="preserve">For an individual with </w:t>
      </w:r>
      <w:r w:rsidRPr="00E56214">
        <w:rPr>
          <w:rFonts w:ascii="Courier New" w:eastAsia="Times New Roman" w:hAnsi="Courier New" w:cs="Courier New"/>
          <w:kern w:val="0"/>
          <w:sz w:val="20"/>
          <w:szCs w:val="20"/>
          <w14:ligatures w14:val="none"/>
        </w:rPr>
        <w:t>time = 0</w:t>
      </w:r>
      <w:r w:rsidRPr="00E56214">
        <w:rPr>
          <w:rFonts w:ascii="Times New Roman" w:eastAsia="Times New Roman" w:hAnsi="Times New Roman" w:cs="Times New Roman"/>
          <w:kern w:val="0"/>
          <w14:ligatures w14:val="none"/>
        </w:rPr>
        <w:t>, the resulting person-time record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622"/>
      </w:tblGrid>
      <w:tr w:rsidR="00E56214" w:rsidRPr="00E56214" w14:paraId="00CB0088" w14:textId="77777777">
        <w:trPr>
          <w:tblHeader/>
          <w:tblCellSpacing w:w="15" w:type="dxa"/>
        </w:trPr>
        <w:tc>
          <w:tcPr>
            <w:tcW w:w="0" w:type="auto"/>
            <w:vAlign w:val="center"/>
            <w:hideMark/>
          </w:tcPr>
          <w:p w14:paraId="021FDEAC" w14:textId="77777777" w:rsidR="00E56214" w:rsidRPr="00E56214" w:rsidRDefault="00E56214" w:rsidP="00E56214">
            <w:pPr>
              <w:spacing w:after="0" w:line="240" w:lineRule="auto"/>
              <w:jc w:val="center"/>
              <w:rPr>
                <w:rFonts w:ascii="Times New Roman" w:eastAsia="Times New Roman" w:hAnsi="Times New Roman" w:cs="Times New Roman"/>
                <w:b/>
                <w:bCs/>
                <w:kern w:val="0"/>
                <w14:ligatures w14:val="none"/>
              </w:rPr>
            </w:pPr>
            <w:r w:rsidRPr="00E56214">
              <w:rPr>
                <w:rFonts w:ascii="Times New Roman" w:eastAsia="Times New Roman" w:hAnsi="Times New Roman" w:cs="Times New Roman"/>
                <w:b/>
                <w:bCs/>
                <w:kern w:val="0"/>
                <w14:ligatures w14:val="none"/>
              </w:rPr>
              <w:t>age_year</w:t>
            </w:r>
          </w:p>
        </w:tc>
        <w:tc>
          <w:tcPr>
            <w:tcW w:w="0" w:type="auto"/>
            <w:vAlign w:val="center"/>
            <w:hideMark/>
          </w:tcPr>
          <w:p w14:paraId="1BAE1792" w14:textId="77777777" w:rsidR="00E56214" w:rsidRPr="00E56214" w:rsidRDefault="00E56214" w:rsidP="00E56214">
            <w:pPr>
              <w:spacing w:after="0" w:line="240" w:lineRule="auto"/>
              <w:jc w:val="center"/>
              <w:rPr>
                <w:rFonts w:ascii="Times New Roman" w:eastAsia="Times New Roman" w:hAnsi="Times New Roman" w:cs="Times New Roman"/>
                <w:b/>
                <w:bCs/>
                <w:kern w:val="0"/>
                <w14:ligatures w14:val="none"/>
              </w:rPr>
            </w:pPr>
            <w:r w:rsidRPr="00E56214">
              <w:rPr>
                <w:rFonts w:ascii="Times New Roman" w:eastAsia="Times New Roman" w:hAnsi="Times New Roman" w:cs="Times New Roman"/>
                <w:b/>
                <w:bCs/>
                <w:kern w:val="0"/>
                <w14:ligatures w14:val="none"/>
              </w:rPr>
              <w:t>event</w:t>
            </w:r>
          </w:p>
        </w:tc>
      </w:tr>
      <w:tr w:rsidR="00E56214" w:rsidRPr="00E56214" w14:paraId="2A2B2F25" w14:textId="77777777">
        <w:trPr>
          <w:tblCellSpacing w:w="15" w:type="dxa"/>
        </w:trPr>
        <w:tc>
          <w:tcPr>
            <w:tcW w:w="0" w:type="auto"/>
            <w:vAlign w:val="center"/>
            <w:hideMark/>
          </w:tcPr>
          <w:p w14:paraId="06E00646"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0</w:t>
            </w:r>
          </w:p>
        </w:tc>
        <w:tc>
          <w:tcPr>
            <w:tcW w:w="0" w:type="auto"/>
            <w:vAlign w:val="center"/>
            <w:hideMark/>
          </w:tcPr>
          <w:p w14:paraId="5B5D6CFE"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1</w:t>
            </w:r>
          </w:p>
        </w:tc>
      </w:tr>
    </w:tbl>
    <w:p w14:paraId="55BC58A9"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 xml:space="preserve">This is the intended representation of an event occurring at age zero. Therefore, </w:t>
      </w:r>
      <w:r w:rsidRPr="00E56214">
        <w:rPr>
          <w:rFonts w:ascii="Times New Roman" w:eastAsia="Times New Roman" w:hAnsi="Times New Roman" w:cs="Times New Roman"/>
          <w:b/>
          <w:bCs/>
          <w:kern w:val="0"/>
          <w14:ligatures w14:val="none"/>
        </w:rPr>
        <w:t>age zero is retained and correctly modeled as a valid event time.</w:t>
      </w:r>
    </w:p>
    <w:p w14:paraId="35A22A68" w14:textId="77777777" w:rsidR="00E56214" w:rsidRPr="00E56214" w:rsidRDefault="00E56214" w:rsidP="00E562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6214">
        <w:rPr>
          <w:rFonts w:ascii="Times New Roman" w:eastAsia="Times New Roman" w:hAnsi="Times New Roman" w:cs="Times New Roman"/>
          <w:b/>
          <w:bCs/>
          <w:kern w:val="0"/>
          <w:sz w:val="27"/>
          <w:szCs w:val="27"/>
          <w14:ligatures w14:val="none"/>
        </w:rPr>
        <w:t>9.3 Treatment of Missing Age at Cutting</w:t>
      </w:r>
    </w:p>
    <w:p w14:paraId="2941978C"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 xml:space="preserve">Missing age-at-cutting values are treated differently from age zero. The data preparation step converts values outside the valid range of 0 to 49 years to </w:t>
      </w:r>
      <w:r w:rsidRPr="00E56214">
        <w:rPr>
          <w:rFonts w:ascii="Courier New" w:eastAsia="Times New Roman" w:hAnsi="Courier New" w:cs="Courier New"/>
          <w:kern w:val="0"/>
          <w:sz w:val="20"/>
          <w:szCs w:val="20"/>
          <w14:ligatures w14:val="none"/>
        </w:rPr>
        <w:t>NA</w:t>
      </w:r>
      <w:r w:rsidRPr="00E56214">
        <w:rPr>
          <w:rFonts w:ascii="Times New Roman" w:eastAsia="Times New Roman" w:hAnsi="Times New Roman" w:cs="Times New Roman"/>
          <w:kern w:val="0"/>
          <w14:ligatures w14:val="none"/>
        </w:rPr>
        <w:t>. These may include survey-specific codes for unknown age at cutting, such as 98, or genuine non-response.</w:t>
      </w:r>
    </w:p>
    <w:p w14:paraId="545F9F70"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For individuals who are known to have experienced FGM but whose exact age at cutting is unavailable, the resulting values are:</w:t>
      </w:r>
    </w:p>
    <w:p w14:paraId="737473C3" w14:textId="77777777" w:rsidR="00E56214" w:rsidRPr="00E56214" w:rsidRDefault="00E56214" w:rsidP="00E562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Courier New" w:eastAsia="Times New Roman" w:hAnsi="Courier New" w:cs="Courier New"/>
          <w:kern w:val="0"/>
          <w:sz w:val="20"/>
          <w:szCs w:val="20"/>
          <w14:ligatures w14:val="none"/>
        </w:rPr>
        <w:t>fgm_event = 1</w:t>
      </w:r>
    </w:p>
    <w:p w14:paraId="5589E524" w14:textId="77777777" w:rsidR="00E56214" w:rsidRPr="00E56214" w:rsidRDefault="00E56214" w:rsidP="00E562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Courier New" w:eastAsia="Times New Roman" w:hAnsi="Courier New" w:cs="Courier New"/>
          <w:kern w:val="0"/>
          <w:sz w:val="20"/>
          <w:szCs w:val="20"/>
          <w14:ligatures w14:val="none"/>
        </w:rPr>
        <w:t>fgm_age = NA</w:t>
      </w:r>
    </w:p>
    <w:p w14:paraId="26288619" w14:textId="77777777" w:rsidR="00E56214" w:rsidRPr="00E56214" w:rsidRDefault="00E56214" w:rsidP="00E562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Courier New" w:eastAsia="Times New Roman" w:hAnsi="Courier New" w:cs="Courier New"/>
          <w:kern w:val="0"/>
          <w:sz w:val="20"/>
          <w:szCs w:val="20"/>
          <w14:ligatures w14:val="none"/>
        </w:rPr>
        <w:t>time = NA</w:t>
      </w:r>
    </w:p>
    <w:p w14:paraId="7BAD35C2"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lastRenderedPageBreak/>
        <w:t>The event is therefore known to have occurred, but its timing cannot be determined from the available data.</w:t>
      </w:r>
    </w:p>
    <w:p w14:paraId="3EF45B06" w14:textId="77777777" w:rsidR="00E56214" w:rsidRPr="00E56214" w:rsidRDefault="00E56214" w:rsidP="00E562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6214">
        <w:rPr>
          <w:rFonts w:ascii="Times New Roman" w:eastAsia="Times New Roman" w:hAnsi="Times New Roman" w:cs="Times New Roman"/>
          <w:b/>
          <w:bCs/>
          <w:kern w:val="0"/>
          <w:sz w:val="27"/>
          <w:szCs w:val="27"/>
          <w14:ligatures w14:val="none"/>
        </w:rPr>
        <w:t>9.4 Implications for the Current Hazard Analysis</w:t>
      </w:r>
    </w:p>
    <w:p w14:paraId="3F54BF49"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The current hazard-model workflow requires a numeric event time. The subsequent filtering step is:</w:t>
      </w:r>
    </w:p>
    <w:p w14:paraId="313B1FA6" w14:textId="77777777" w:rsidR="00E56214" w:rsidRPr="00E56214" w:rsidRDefault="00E56214" w:rsidP="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6214">
        <w:rPr>
          <w:rFonts w:ascii="Courier New" w:eastAsia="Times New Roman" w:hAnsi="Courier New" w:cs="Courier New"/>
          <w:kern w:val="0"/>
          <w:sz w:val="20"/>
          <w:szCs w:val="20"/>
          <w14:ligatures w14:val="none"/>
        </w:rPr>
        <w:t>filter(time &lt;= max_age_years)</w:t>
      </w:r>
    </w:p>
    <w:p w14:paraId="4439EBC3"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 xml:space="preserve">Records with </w:t>
      </w:r>
      <w:r w:rsidRPr="00E56214">
        <w:rPr>
          <w:rFonts w:ascii="Courier New" w:eastAsia="Times New Roman" w:hAnsi="Courier New" w:cs="Courier New"/>
          <w:kern w:val="0"/>
          <w:sz w:val="20"/>
          <w:szCs w:val="20"/>
          <w14:ligatures w14:val="none"/>
        </w:rPr>
        <w:t>time = NA</w:t>
      </w:r>
      <w:r w:rsidRPr="00E56214">
        <w:rPr>
          <w:rFonts w:ascii="Times New Roman" w:eastAsia="Times New Roman" w:hAnsi="Times New Roman" w:cs="Times New Roman"/>
          <w:kern w:val="0"/>
          <w14:ligatures w14:val="none"/>
        </w:rPr>
        <w:t xml:space="preserve"> do not satisfy this condition and are consequently excluded from the hazard dataset.</w:t>
      </w:r>
    </w:p>
    <w:p w14:paraId="7D16641D"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This means that respondents who are known to have experienced FGM but have an unknown age at cutting are currently omitted from the time-to-event analysis. They are not treated as non-events; rather, they are excluded because the model cannot assign their event to a specific age.</w:t>
      </w:r>
    </w:p>
    <w:p w14:paraId="5F0BA94A"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 xml:space="preserve">In the earlier analysis, </w:t>
      </w:r>
      <w:r w:rsidRPr="00E56214">
        <w:rPr>
          <w:rFonts w:ascii="Times New Roman" w:eastAsia="Times New Roman" w:hAnsi="Times New Roman" w:cs="Times New Roman"/>
          <w:b/>
          <w:bCs/>
          <w:kern w:val="0"/>
          <w14:ligatures w14:val="none"/>
        </w:rPr>
        <w:t>2,473 records</w:t>
      </w:r>
      <w:r w:rsidRPr="00E56214">
        <w:rPr>
          <w:rFonts w:ascii="Times New Roman" w:eastAsia="Times New Roman" w:hAnsi="Times New Roman" w:cs="Times New Roman"/>
          <w:kern w:val="0"/>
          <w14:ligatures w14:val="none"/>
        </w:rPr>
        <w:t xml:space="preserve"> were identified as known FGM-positive cases with missing age at cutting. These records represent a potential source of information loss in the current hazard-model implementation.</w:t>
      </w:r>
    </w:p>
    <w:p w14:paraId="5D6A665B" w14:textId="77777777" w:rsidR="00E56214" w:rsidRPr="00E56214" w:rsidRDefault="00E56214" w:rsidP="00E562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6214">
        <w:rPr>
          <w:rFonts w:ascii="Times New Roman" w:eastAsia="Times New Roman" w:hAnsi="Times New Roman" w:cs="Times New Roman"/>
          <w:b/>
          <w:bCs/>
          <w:kern w:val="0"/>
          <w:sz w:val="27"/>
          <w:szCs w:val="27"/>
          <w14:ligatures w14:val="none"/>
        </w:rPr>
        <w:t>9.5 Summary of Age-at-Cutting Treatment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3605"/>
        <w:gridCol w:w="3842"/>
      </w:tblGrid>
      <w:tr w:rsidR="00E56214" w:rsidRPr="00E56214" w14:paraId="57BC7DA6" w14:textId="77777777">
        <w:trPr>
          <w:tblHeader/>
          <w:tblCellSpacing w:w="15" w:type="dxa"/>
        </w:trPr>
        <w:tc>
          <w:tcPr>
            <w:tcW w:w="0" w:type="auto"/>
            <w:vAlign w:val="center"/>
            <w:hideMark/>
          </w:tcPr>
          <w:p w14:paraId="55E58F2B" w14:textId="77777777" w:rsidR="00E56214" w:rsidRPr="00E56214" w:rsidRDefault="00E56214" w:rsidP="00E56214">
            <w:pPr>
              <w:spacing w:after="0" w:line="240" w:lineRule="auto"/>
              <w:jc w:val="center"/>
              <w:rPr>
                <w:rFonts w:ascii="Times New Roman" w:eastAsia="Times New Roman" w:hAnsi="Times New Roman" w:cs="Times New Roman"/>
                <w:b/>
                <w:bCs/>
                <w:kern w:val="0"/>
                <w14:ligatures w14:val="none"/>
              </w:rPr>
            </w:pPr>
            <w:r w:rsidRPr="00E56214">
              <w:rPr>
                <w:rFonts w:ascii="Times New Roman" w:eastAsia="Times New Roman" w:hAnsi="Times New Roman" w:cs="Times New Roman"/>
                <w:b/>
                <w:bCs/>
                <w:kern w:val="0"/>
                <w14:ligatures w14:val="none"/>
              </w:rPr>
              <w:t>Age-at-cutting category</w:t>
            </w:r>
          </w:p>
        </w:tc>
        <w:tc>
          <w:tcPr>
            <w:tcW w:w="0" w:type="auto"/>
            <w:vAlign w:val="center"/>
            <w:hideMark/>
          </w:tcPr>
          <w:p w14:paraId="62B243DA" w14:textId="77777777" w:rsidR="00E56214" w:rsidRPr="00E56214" w:rsidRDefault="00E56214" w:rsidP="00E56214">
            <w:pPr>
              <w:spacing w:after="0" w:line="240" w:lineRule="auto"/>
              <w:jc w:val="center"/>
              <w:rPr>
                <w:rFonts w:ascii="Times New Roman" w:eastAsia="Times New Roman" w:hAnsi="Times New Roman" w:cs="Times New Roman"/>
                <w:b/>
                <w:bCs/>
                <w:kern w:val="0"/>
                <w14:ligatures w14:val="none"/>
              </w:rPr>
            </w:pPr>
            <w:r w:rsidRPr="00E56214">
              <w:rPr>
                <w:rFonts w:ascii="Times New Roman" w:eastAsia="Times New Roman" w:hAnsi="Times New Roman" w:cs="Times New Roman"/>
                <w:b/>
                <w:bCs/>
                <w:kern w:val="0"/>
                <w14:ligatures w14:val="none"/>
              </w:rPr>
              <w:t>Treatment in the current workflow</w:t>
            </w:r>
          </w:p>
        </w:tc>
        <w:tc>
          <w:tcPr>
            <w:tcW w:w="0" w:type="auto"/>
            <w:vAlign w:val="center"/>
            <w:hideMark/>
          </w:tcPr>
          <w:p w14:paraId="6BE1FD3A" w14:textId="77777777" w:rsidR="00E56214" w:rsidRPr="00E56214" w:rsidRDefault="00E56214" w:rsidP="00E56214">
            <w:pPr>
              <w:spacing w:after="0" w:line="240" w:lineRule="auto"/>
              <w:jc w:val="center"/>
              <w:rPr>
                <w:rFonts w:ascii="Times New Roman" w:eastAsia="Times New Roman" w:hAnsi="Times New Roman" w:cs="Times New Roman"/>
                <w:b/>
                <w:bCs/>
                <w:kern w:val="0"/>
                <w14:ligatures w14:val="none"/>
              </w:rPr>
            </w:pPr>
            <w:r w:rsidRPr="00E56214">
              <w:rPr>
                <w:rFonts w:ascii="Times New Roman" w:eastAsia="Times New Roman" w:hAnsi="Times New Roman" w:cs="Times New Roman"/>
                <w:b/>
                <w:bCs/>
                <w:kern w:val="0"/>
                <w14:ligatures w14:val="none"/>
              </w:rPr>
              <w:t>Implication</w:t>
            </w:r>
          </w:p>
        </w:tc>
      </w:tr>
      <w:tr w:rsidR="00E56214" w:rsidRPr="00E56214" w14:paraId="3E6B5D18" w14:textId="77777777">
        <w:trPr>
          <w:tblCellSpacing w:w="15" w:type="dxa"/>
        </w:trPr>
        <w:tc>
          <w:tcPr>
            <w:tcW w:w="0" w:type="auto"/>
            <w:vAlign w:val="center"/>
            <w:hideMark/>
          </w:tcPr>
          <w:p w14:paraId="752D3293"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Valid age, 1–49 years</w:t>
            </w:r>
          </w:p>
        </w:tc>
        <w:tc>
          <w:tcPr>
            <w:tcW w:w="0" w:type="auto"/>
            <w:vAlign w:val="center"/>
            <w:hideMark/>
          </w:tcPr>
          <w:p w14:paraId="61FA3978"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Retained</w:t>
            </w:r>
          </w:p>
        </w:tc>
        <w:tc>
          <w:tcPr>
            <w:tcW w:w="0" w:type="auto"/>
            <w:vAlign w:val="center"/>
            <w:hideMark/>
          </w:tcPr>
          <w:p w14:paraId="577BAB66"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Event assigned to the recorded age.</w:t>
            </w:r>
          </w:p>
        </w:tc>
      </w:tr>
      <w:tr w:rsidR="00E56214" w:rsidRPr="00E56214" w14:paraId="4A99A09A" w14:textId="77777777">
        <w:trPr>
          <w:tblCellSpacing w:w="15" w:type="dxa"/>
        </w:trPr>
        <w:tc>
          <w:tcPr>
            <w:tcW w:w="0" w:type="auto"/>
            <w:vAlign w:val="center"/>
            <w:hideMark/>
          </w:tcPr>
          <w:p w14:paraId="37DF30EB"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Age zero</w:t>
            </w:r>
          </w:p>
        </w:tc>
        <w:tc>
          <w:tcPr>
            <w:tcW w:w="0" w:type="auto"/>
            <w:vAlign w:val="center"/>
            <w:hideMark/>
          </w:tcPr>
          <w:p w14:paraId="086480FD"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Retained as valid</w:t>
            </w:r>
          </w:p>
        </w:tc>
        <w:tc>
          <w:tcPr>
            <w:tcW w:w="0" w:type="auto"/>
            <w:vAlign w:val="center"/>
            <w:hideMark/>
          </w:tcPr>
          <w:p w14:paraId="12B526AE"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Event assigned to age zero.</w:t>
            </w:r>
          </w:p>
        </w:tc>
      </w:tr>
      <w:tr w:rsidR="00E56214" w:rsidRPr="00E56214" w14:paraId="5E6F5D0F" w14:textId="77777777">
        <w:trPr>
          <w:tblCellSpacing w:w="15" w:type="dxa"/>
        </w:trPr>
        <w:tc>
          <w:tcPr>
            <w:tcW w:w="0" w:type="auto"/>
            <w:vAlign w:val="center"/>
            <w:hideMark/>
          </w:tcPr>
          <w:p w14:paraId="02B3010D"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Missing or unknown age (</w:t>
            </w:r>
            <w:r w:rsidRPr="00E56214">
              <w:rPr>
                <w:rFonts w:ascii="Courier New" w:eastAsia="Times New Roman" w:hAnsi="Courier New" w:cs="Courier New"/>
                <w:kern w:val="0"/>
                <w:sz w:val="20"/>
                <w:szCs w:val="20"/>
                <w14:ligatures w14:val="none"/>
              </w:rPr>
              <w:t>NA</w:t>
            </w:r>
            <w:r w:rsidRPr="00E56214">
              <w:rPr>
                <w:rFonts w:ascii="Times New Roman" w:eastAsia="Times New Roman" w:hAnsi="Times New Roman" w:cs="Times New Roman"/>
                <w:kern w:val="0"/>
                <w14:ligatures w14:val="none"/>
              </w:rPr>
              <w:t>)</w:t>
            </w:r>
          </w:p>
        </w:tc>
        <w:tc>
          <w:tcPr>
            <w:tcW w:w="0" w:type="auto"/>
            <w:vAlign w:val="center"/>
            <w:hideMark/>
          </w:tcPr>
          <w:p w14:paraId="283BFFAE"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Excluded by the time filter</w:t>
            </w:r>
          </w:p>
        </w:tc>
        <w:tc>
          <w:tcPr>
            <w:tcW w:w="0" w:type="auto"/>
            <w:vAlign w:val="center"/>
            <w:hideMark/>
          </w:tcPr>
          <w:p w14:paraId="20CC7348"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Known FGM-positive cases are omitted because event timing is unavailable.</w:t>
            </w:r>
          </w:p>
        </w:tc>
      </w:tr>
      <w:tr w:rsidR="00E56214" w:rsidRPr="00E56214" w14:paraId="03DDA733" w14:textId="77777777">
        <w:trPr>
          <w:tblCellSpacing w:w="15" w:type="dxa"/>
        </w:trPr>
        <w:tc>
          <w:tcPr>
            <w:tcW w:w="0" w:type="auto"/>
            <w:vAlign w:val="center"/>
            <w:hideMark/>
          </w:tcPr>
          <w:p w14:paraId="7151E25C"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Valid non-event observation</w:t>
            </w:r>
          </w:p>
        </w:tc>
        <w:tc>
          <w:tcPr>
            <w:tcW w:w="0" w:type="auto"/>
            <w:vAlign w:val="center"/>
            <w:hideMark/>
          </w:tcPr>
          <w:p w14:paraId="6D65E26C"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Follow-up time assigned using the available age and maximum age limit</w:t>
            </w:r>
          </w:p>
        </w:tc>
        <w:tc>
          <w:tcPr>
            <w:tcW w:w="0" w:type="auto"/>
            <w:vAlign w:val="center"/>
            <w:hideMark/>
          </w:tcPr>
          <w:p w14:paraId="78AC44F0" w14:textId="77777777" w:rsidR="00E56214" w:rsidRPr="00E56214" w:rsidRDefault="00E56214" w:rsidP="00E56214">
            <w:pPr>
              <w:spacing w:after="0"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Individual contributes person-time up to the observed follow-up limit.</w:t>
            </w:r>
          </w:p>
        </w:tc>
      </w:tr>
    </w:tbl>
    <w:p w14:paraId="6963F451" w14:textId="77777777" w:rsidR="00E56214" w:rsidRPr="00E56214" w:rsidRDefault="00E56214" w:rsidP="00E562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6214">
        <w:rPr>
          <w:rFonts w:ascii="Times New Roman" w:eastAsia="Times New Roman" w:hAnsi="Times New Roman" w:cs="Times New Roman"/>
          <w:b/>
          <w:bCs/>
          <w:kern w:val="0"/>
          <w:sz w:val="27"/>
          <w:szCs w:val="27"/>
          <w14:ligatures w14:val="none"/>
        </w:rPr>
        <w:t>9.6 Methodological Consideration</w:t>
      </w:r>
    </w:p>
    <w:p w14:paraId="3AA0A862"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The exclusion of known FGM-positive cases with missing age at cutting should be explicitly acknowledged as a limitation of the current analysis. Although these observations cannot be assigned an exact event time, their exclusion may affect the estimated age-specific hazard if the missingness is associated with the timing of FGM or with characteristics of the affected individuals.</w:t>
      </w:r>
    </w:p>
    <w:p w14:paraId="40689317" w14:textId="77777777" w:rsidR="00E56214" w:rsidRPr="00E56214" w:rsidRDefault="00E56214" w:rsidP="00E56214">
      <w:pPr>
        <w:spacing w:before="100" w:beforeAutospacing="1" w:after="100" w:afterAutospacing="1" w:line="240" w:lineRule="auto"/>
        <w:rPr>
          <w:rFonts w:ascii="Times New Roman" w:eastAsia="Times New Roman" w:hAnsi="Times New Roman" w:cs="Times New Roman"/>
          <w:kern w:val="0"/>
          <w14:ligatures w14:val="none"/>
        </w:rPr>
      </w:pPr>
      <w:r w:rsidRPr="00E56214">
        <w:rPr>
          <w:rFonts w:ascii="Times New Roman" w:eastAsia="Times New Roman" w:hAnsi="Times New Roman" w:cs="Times New Roman"/>
          <w:kern w:val="0"/>
          <w14:ligatures w14:val="none"/>
        </w:rPr>
        <w:t xml:space="preserve">A potential methodological improvement would be to investigate an appropriate strategy for handling unknown event times, such as interval-censoring methods or sensitivity analyses, </w:t>
      </w:r>
      <w:r w:rsidRPr="00E56214">
        <w:rPr>
          <w:rFonts w:ascii="Times New Roman" w:eastAsia="Times New Roman" w:hAnsi="Times New Roman" w:cs="Times New Roman"/>
          <w:kern w:val="0"/>
          <w14:ligatures w14:val="none"/>
        </w:rPr>
        <w:lastRenderedPageBreak/>
        <w:t>subject to the available survey information and the assumptions of the selected model. Any such approach should preserve the distinction between individuals who experienced FGM and those who did not, while appropriately representing uncertainty in the age at which the event occurred.</w:t>
      </w:r>
    </w:p>
    <w:p w14:paraId="37454B9A" w14:textId="77777777" w:rsidR="00E56214" w:rsidRDefault="00E56214" w:rsidP="003F40E5">
      <w:pPr>
        <w:spacing w:before="100" w:beforeAutospacing="1" w:after="100" w:afterAutospacing="1" w:line="240" w:lineRule="auto"/>
        <w:rPr>
          <w:rFonts w:ascii="Times New Roman" w:eastAsia="Times New Roman" w:hAnsi="Times New Roman" w:cs="Times New Roman"/>
          <w:b/>
          <w:bCs/>
          <w:kern w:val="0"/>
          <w14:ligatures w14:val="none"/>
        </w:rPr>
      </w:pPr>
    </w:p>
    <w:p w14:paraId="53C640BB" w14:textId="77777777" w:rsidR="00FF15A3" w:rsidRPr="00FF15A3" w:rsidRDefault="00FF15A3" w:rsidP="00FF15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15A3">
        <w:rPr>
          <w:rFonts w:ascii="Times New Roman" w:eastAsia="Times New Roman" w:hAnsi="Times New Roman" w:cs="Times New Roman"/>
          <w:b/>
          <w:bCs/>
          <w:kern w:val="0"/>
          <w:sz w:val="36"/>
          <w:szCs w:val="36"/>
          <w14:ligatures w14:val="none"/>
        </w:rPr>
        <w:t>10. Data Files and Their Roles in the Analysis</w:t>
      </w:r>
    </w:p>
    <w:p w14:paraId="77AE1C9F" w14:textId="77777777" w:rsidR="00FF15A3" w:rsidRPr="00FF15A3" w:rsidRDefault="00FF15A3" w:rsidP="00FF15A3">
      <w:pPr>
        <w:spacing w:before="100" w:beforeAutospacing="1" w:after="100" w:afterAutospacing="1"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 xml:space="preserve">The analysis uses three distinct datasets: </w:t>
      </w:r>
      <w:r w:rsidRPr="00FF15A3">
        <w:rPr>
          <w:rFonts w:ascii="Courier New" w:eastAsia="Times New Roman" w:hAnsi="Courier New" w:cs="Courier New"/>
          <w:kern w:val="0"/>
          <w:sz w:val="20"/>
          <w:szCs w:val="20"/>
          <w14:ligatures w14:val="none"/>
        </w:rPr>
        <w:t>person_level.rds</w:t>
      </w:r>
      <w:r w:rsidRPr="00FF15A3">
        <w:rPr>
          <w:rFonts w:ascii="Times New Roman" w:eastAsia="Times New Roman" w:hAnsi="Times New Roman" w:cs="Times New Roman"/>
          <w:kern w:val="0"/>
          <w14:ligatures w14:val="none"/>
        </w:rPr>
        <w:t xml:space="preserve">, </w:t>
      </w:r>
      <w:r w:rsidRPr="00FF15A3">
        <w:rPr>
          <w:rFonts w:ascii="Courier New" w:eastAsia="Times New Roman" w:hAnsi="Courier New" w:cs="Courier New"/>
          <w:kern w:val="0"/>
          <w:sz w:val="20"/>
          <w:szCs w:val="20"/>
          <w14:ligatures w14:val="none"/>
        </w:rPr>
        <w:t>combined/NGA_fgm_events.rds</w:t>
      </w:r>
      <w:r w:rsidRPr="00FF15A3">
        <w:rPr>
          <w:rFonts w:ascii="Times New Roman" w:eastAsia="Times New Roman" w:hAnsi="Times New Roman" w:cs="Times New Roman"/>
          <w:kern w:val="0"/>
          <w14:ligatures w14:val="none"/>
        </w:rPr>
        <w:t xml:space="preserve">, and </w:t>
      </w:r>
      <w:r w:rsidRPr="00FF15A3">
        <w:rPr>
          <w:rFonts w:ascii="Courier New" w:eastAsia="Times New Roman" w:hAnsi="Courier New" w:cs="Courier New"/>
          <w:kern w:val="0"/>
          <w:sz w:val="20"/>
          <w:szCs w:val="20"/>
          <w14:ligatures w14:val="none"/>
        </w:rPr>
        <w:t>combined/NGA_attitude.rds</w:t>
      </w:r>
      <w:r w:rsidRPr="00FF15A3">
        <w:rPr>
          <w:rFonts w:ascii="Times New Roman" w:eastAsia="Times New Roman" w:hAnsi="Times New Roman" w:cs="Times New Roman"/>
          <w:kern w:val="0"/>
          <w14:ligatures w14:val="none"/>
        </w:rPr>
        <w:t>. Although these datasets originate from the same harmonized survey data, they differ in their structure, population coverage, filtering criteria, and analytical purpose.</w:t>
      </w:r>
    </w:p>
    <w:p w14:paraId="6D8D0608" w14:textId="77777777" w:rsidR="00FF15A3" w:rsidRPr="00FF15A3" w:rsidRDefault="00FF15A3" w:rsidP="00FF15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15A3">
        <w:rPr>
          <w:rFonts w:ascii="Times New Roman" w:eastAsia="Times New Roman" w:hAnsi="Times New Roman" w:cs="Times New Roman"/>
          <w:b/>
          <w:bCs/>
          <w:kern w:val="0"/>
          <w:sz w:val="27"/>
          <w:szCs w:val="27"/>
          <w14:ligatures w14:val="none"/>
        </w:rPr>
        <w:t>Table 1. Comparison of the Analytical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1747"/>
        <w:gridCol w:w="2906"/>
        <w:gridCol w:w="3343"/>
      </w:tblGrid>
      <w:tr w:rsidR="00FF15A3" w:rsidRPr="00FF15A3" w14:paraId="7167CC4B" w14:textId="77777777">
        <w:trPr>
          <w:tblHeader/>
          <w:tblCellSpacing w:w="15" w:type="dxa"/>
        </w:trPr>
        <w:tc>
          <w:tcPr>
            <w:tcW w:w="0" w:type="auto"/>
            <w:vAlign w:val="center"/>
            <w:hideMark/>
          </w:tcPr>
          <w:p w14:paraId="562D4DED" w14:textId="77777777" w:rsidR="00FF15A3" w:rsidRPr="00FF15A3" w:rsidRDefault="00FF15A3" w:rsidP="00FF15A3">
            <w:pPr>
              <w:spacing w:after="0" w:line="240" w:lineRule="auto"/>
              <w:jc w:val="center"/>
              <w:rPr>
                <w:rFonts w:ascii="Times New Roman" w:eastAsia="Times New Roman" w:hAnsi="Times New Roman" w:cs="Times New Roman"/>
                <w:b/>
                <w:bCs/>
                <w:kern w:val="0"/>
                <w14:ligatures w14:val="none"/>
              </w:rPr>
            </w:pPr>
            <w:r w:rsidRPr="00FF15A3">
              <w:rPr>
                <w:rFonts w:ascii="Times New Roman" w:eastAsia="Times New Roman" w:hAnsi="Times New Roman" w:cs="Times New Roman"/>
                <w:b/>
                <w:bCs/>
                <w:kern w:val="0"/>
                <w14:ligatures w14:val="none"/>
              </w:rPr>
              <w:t>Characteristic</w:t>
            </w:r>
          </w:p>
        </w:tc>
        <w:tc>
          <w:tcPr>
            <w:tcW w:w="0" w:type="auto"/>
            <w:vAlign w:val="center"/>
            <w:hideMark/>
          </w:tcPr>
          <w:p w14:paraId="23136207" w14:textId="77777777" w:rsidR="00FF15A3" w:rsidRPr="00FF15A3" w:rsidRDefault="00FF15A3" w:rsidP="00FF15A3">
            <w:pPr>
              <w:spacing w:after="0" w:line="240" w:lineRule="auto"/>
              <w:jc w:val="center"/>
              <w:rPr>
                <w:rFonts w:ascii="Times New Roman" w:eastAsia="Times New Roman" w:hAnsi="Times New Roman" w:cs="Times New Roman"/>
                <w:b/>
                <w:bCs/>
                <w:kern w:val="0"/>
                <w14:ligatures w14:val="none"/>
              </w:rPr>
            </w:pPr>
            <w:r w:rsidRPr="00FF15A3">
              <w:rPr>
                <w:rFonts w:ascii="Courier New" w:eastAsia="Times New Roman" w:hAnsi="Courier New" w:cs="Courier New"/>
                <w:b/>
                <w:bCs/>
                <w:kern w:val="0"/>
                <w:sz w:val="20"/>
                <w:szCs w:val="20"/>
                <w14:ligatures w14:val="none"/>
              </w:rPr>
              <w:t>person_level.rds</w:t>
            </w:r>
            <w:r w:rsidRPr="00FF15A3">
              <w:rPr>
                <w:rFonts w:ascii="Times New Roman" w:eastAsia="Times New Roman" w:hAnsi="Times New Roman" w:cs="Times New Roman"/>
                <w:b/>
                <w:bCs/>
                <w:kern w:val="0"/>
                <w14:ligatures w14:val="none"/>
              </w:rPr>
              <w:t xml:space="preserve"> (per-year)</w:t>
            </w:r>
          </w:p>
        </w:tc>
        <w:tc>
          <w:tcPr>
            <w:tcW w:w="0" w:type="auto"/>
            <w:vAlign w:val="center"/>
            <w:hideMark/>
          </w:tcPr>
          <w:p w14:paraId="39A473B8" w14:textId="77777777" w:rsidR="00FF15A3" w:rsidRPr="00FF15A3" w:rsidRDefault="00FF15A3" w:rsidP="00FF15A3">
            <w:pPr>
              <w:spacing w:after="0" w:line="240" w:lineRule="auto"/>
              <w:jc w:val="center"/>
              <w:rPr>
                <w:rFonts w:ascii="Times New Roman" w:eastAsia="Times New Roman" w:hAnsi="Times New Roman" w:cs="Times New Roman"/>
                <w:b/>
                <w:bCs/>
                <w:kern w:val="0"/>
                <w14:ligatures w14:val="none"/>
              </w:rPr>
            </w:pPr>
            <w:r w:rsidRPr="00FF15A3">
              <w:rPr>
                <w:rFonts w:ascii="Courier New" w:eastAsia="Times New Roman" w:hAnsi="Courier New" w:cs="Courier New"/>
                <w:b/>
                <w:bCs/>
                <w:kern w:val="0"/>
                <w:sz w:val="20"/>
                <w:szCs w:val="20"/>
                <w14:ligatures w14:val="none"/>
              </w:rPr>
              <w:t>combined/NGA_fgm_events.rds</w:t>
            </w:r>
          </w:p>
        </w:tc>
        <w:tc>
          <w:tcPr>
            <w:tcW w:w="0" w:type="auto"/>
            <w:vAlign w:val="center"/>
            <w:hideMark/>
          </w:tcPr>
          <w:p w14:paraId="74F83720" w14:textId="77777777" w:rsidR="00FF15A3" w:rsidRPr="00FF15A3" w:rsidRDefault="00FF15A3" w:rsidP="00FF15A3">
            <w:pPr>
              <w:spacing w:after="0" w:line="240" w:lineRule="auto"/>
              <w:jc w:val="center"/>
              <w:rPr>
                <w:rFonts w:ascii="Times New Roman" w:eastAsia="Times New Roman" w:hAnsi="Times New Roman" w:cs="Times New Roman"/>
                <w:b/>
                <w:bCs/>
                <w:kern w:val="0"/>
                <w14:ligatures w14:val="none"/>
              </w:rPr>
            </w:pPr>
            <w:r w:rsidRPr="00FF15A3">
              <w:rPr>
                <w:rFonts w:ascii="Courier New" w:eastAsia="Times New Roman" w:hAnsi="Courier New" w:cs="Courier New"/>
                <w:b/>
                <w:bCs/>
                <w:kern w:val="0"/>
                <w:sz w:val="20"/>
                <w:szCs w:val="20"/>
                <w14:ligatures w14:val="none"/>
              </w:rPr>
              <w:t>combined/NGA_attitude.rds</w:t>
            </w:r>
          </w:p>
        </w:tc>
      </w:tr>
      <w:tr w:rsidR="00FF15A3" w:rsidRPr="00FF15A3" w14:paraId="31001BA5" w14:textId="77777777">
        <w:trPr>
          <w:tblCellSpacing w:w="15" w:type="dxa"/>
        </w:trPr>
        <w:tc>
          <w:tcPr>
            <w:tcW w:w="0" w:type="auto"/>
            <w:vAlign w:val="center"/>
            <w:hideMark/>
          </w:tcPr>
          <w:p w14:paraId="36155B3F"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Rows</w:t>
            </w:r>
          </w:p>
        </w:tc>
        <w:tc>
          <w:tcPr>
            <w:tcW w:w="0" w:type="auto"/>
            <w:vAlign w:val="center"/>
            <w:hideMark/>
          </w:tcPr>
          <w:p w14:paraId="6C5A5F6B"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39,050</w:t>
            </w:r>
          </w:p>
        </w:tc>
        <w:tc>
          <w:tcPr>
            <w:tcW w:w="0" w:type="auto"/>
            <w:vAlign w:val="center"/>
            <w:hideMark/>
          </w:tcPr>
          <w:p w14:paraId="620B7C69"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47,157 (23,474 self + 23,683 daughters)</w:t>
            </w:r>
          </w:p>
        </w:tc>
        <w:tc>
          <w:tcPr>
            <w:tcW w:w="0" w:type="auto"/>
            <w:vAlign w:val="center"/>
            <w:hideMark/>
          </w:tcPr>
          <w:p w14:paraId="6DB0C19A"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20,916</w:t>
            </w:r>
          </w:p>
        </w:tc>
      </w:tr>
      <w:tr w:rsidR="00FF15A3" w:rsidRPr="00FF15A3" w14:paraId="41D05B09" w14:textId="77777777">
        <w:trPr>
          <w:tblCellSpacing w:w="15" w:type="dxa"/>
        </w:trPr>
        <w:tc>
          <w:tcPr>
            <w:tcW w:w="0" w:type="auto"/>
            <w:vAlign w:val="center"/>
            <w:hideMark/>
          </w:tcPr>
          <w:p w14:paraId="6C315597"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Columns</w:t>
            </w:r>
          </w:p>
        </w:tc>
        <w:tc>
          <w:tcPr>
            <w:tcW w:w="0" w:type="auto"/>
            <w:vAlign w:val="center"/>
            <w:hideMark/>
          </w:tcPr>
          <w:p w14:paraId="3BAD7B17"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36</w:t>
            </w:r>
          </w:p>
        </w:tc>
        <w:tc>
          <w:tcPr>
            <w:tcW w:w="0" w:type="auto"/>
            <w:vAlign w:val="center"/>
            <w:hideMark/>
          </w:tcPr>
          <w:p w14:paraId="0957F727"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20</w:t>
            </w:r>
          </w:p>
        </w:tc>
        <w:tc>
          <w:tcPr>
            <w:tcW w:w="0" w:type="auto"/>
            <w:vAlign w:val="center"/>
            <w:hideMark/>
          </w:tcPr>
          <w:p w14:paraId="0EB145D3"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19</w:t>
            </w:r>
          </w:p>
        </w:tc>
      </w:tr>
      <w:tr w:rsidR="00FF15A3" w:rsidRPr="00FF15A3" w14:paraId="78A7066B" w14:textId="77777777">
        <w:trPr>
          <w:tblCellSpacing w:w="15" w:type="dxa"/>
        </w:trPr>
        <w:tc>
          <w:tcPr>
            <w:tcW w:w="0" w:type="auto"/>
            <w:vAlign w:val="center"/>
            <w:hideMark/>
          </w:tcPr>
          <w:p w14:paraId="714148A0"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Population covered</w:t>
            </w:r>
          </w:p>
        </w:tc>
        <w:tc>
          <w:tcPr>
            <w:tcW w:w="0" w:type="auto"/>
            <w:vAlign w:val="center"/>
            <w:hideMark/>
          </w:tcPr>
          <w:p w14:paraId="708C1297"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Survey respondents only</w:t>
            </w:r>
          </w:p>
        </w:tc>
        <w:tc>
          <w:tcPr>
            <w:tcW w:w="0" w:type="auto"/>
            <w:vAlign w:val="center"/>
            <w:hideMark/>
          </w:tcPr>
          <w:p w14:paraId="48B21D6C"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Respondents and reconstructed daughters</w:t>
            </w:r>
          </w:p>
        </w:tc>
        <w:tc>
          <w:tcPr>
            <w:tcW w:w="0" w:type="auto"/>
            <w:vAlign w:val="center"/>
            <w:hideMark/>
          </w:tcPr>
          <w:p w14:paraId="741F87BB"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Survey respondents only</w:t>
            </w:r>
          </w:p>
        </w:tc>
      </w:tr>
      <w:tr w:rsidR="00FF15A3" w:rsidRPr="00FF15A3" w14:paraId="5B9376FD" w14:textId="77777777">
        <w:trPr>
          <w:tblCellSpacing w:w="15" w:type="dxa"/>
        </w:trPr>
        <w:tc>
          <w:tcPr>
            <w:tcW w:w="0" w:type="auto"/>
            <w:vAlign w:val="center"/>
            <w:hideMark/>
          </w:tcPr>
          <w:p w14:paraId="3AAE2FE2"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Filtering</w:t>
            </w:r>
          </w:p>
        </w:tc>
        <w:tc>
          <w:tcPr>
            <w:tcW w:w="0" w:type="auto"/>
            <w:vAlign w:val="center"/>
            <w:hideMark/>
          </w:tcPr>
          <w:p w14:paraId="476FB210"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Unfiltered; includes all respondents</w:t>
            </w:r>
          </w:p>
        </w:tc>
        <w:tc>
          <w:tcPr>
            <w:tcW w:w="0" w:type="auto"/>
            <w:vAlign w:val="center"/>
            <w:hideMark/>
          </w:tcPr>
          <w:p w14:paraId="230EFC29"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 xml:space="preserve">Filtered to records with known </w:t>
            </w:r>
            <w:r w:rsidRPr="00FF15A3">
              <w:rPr>
                <w:rFonts w:ascii="Courier New" w:eastAsia="Times New Roman" w:hAnsi="Courier New" w:cs="Courier New"/>
                <w:kern w:val="0"/>
                <w:sz w:val="20"/>
                <w:szCs w:val="20"/>
                <w14:ligatures w14:val="none"/>
              </w:rPr>
              <w:t>fgm_event</w:t>
            </w:r>
          </w:p>
        </w:tc>
        <w:tc>
          <w:tcPr>
            <w:tcW w:w="0" w:type="auto"/>
            <w:vAlign w:val="center"/>
            <w:hideMark/>
          </w:tcPr>
          <w:p w14:paraId="10EC7D66"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 xml:space="preserve">Filtered to records with known </w:t>
            </w:r>
            <w:r w:rsidRPr="00FF15A3">
              <w:rPr>
                <w:rFonts w:ascii="Courier New" w:eastAsia="Times New Roman" w:hAnsi="Courier New" w:cs="Courier New"/>
                <w:kern w:val="0"/>
                <w:sz w:val="20"/>
                <w:szCs w:val="20"/>
                <w14:ligatures w14:val="none"/>
              </w:rPr>
              <w:t>supports_continuation</w:t>
            </w:r>
          </w:p>
        </w:tc>
      </w:tr>
      <w:tr w:rsidR="00FF15A3" w:rsidRPr="00FF15A3" w14:paraId="52E3B91C" w14:textId="77777777">
        <w:trPr>
          <w:tblCellSpacing w:w="15" w:type="dxa"/>
        </w:trPr>
        <w:tc>
          <w:tcPr>
            <w:tcW w:w="0" w:type="auto"/>
            <w:vAlign w:val="center"/>
            <w:hideMark/>
          </w:tcPr>
          <w:p w14:paraId="4348A5F2"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Ethnicity variable</w:t>
            </w:r>
          </w:p>
        </w:tc>
        <w:tc>
          <w:tcPr>
            <w:tcW w:w="0" w:type="auto"/>
            <w:vAlign w:val="center"/>
            <w:hideMark/>
          </w:tcPr>
          <w:p w14:paraId="55130D2E"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Courier New" w:eastAsia="Times New Roman" w:hAnsi="Courier New" w:cs="Courier New"/>
                <w:kern w:val="0"/>
                <w:sz w:val="20"/>
                <w:szCs w:val="20"/>
                <w14:ligatures w14:val="none"/>
              </w:rPr>
              <w:t>ethnicity_raw</w:t>
            </w:r>
            <w:r w:rsidRPr="00FF15A3">
              <w:rPr>
                <w:rFonts w:ascii="Times New Roman" w:eastAsia="Times New Roman" w:hAnsi="Times New Roman" w:cs="Times New Roman"/>
                <w:kern w:val="0"/>
                <w14:ligatures w14:val="none"/>
              </w:rPr>
              <w:t xml:space="preserve"> (raw categories)</w:t>
            </w:r>
          </w:p>
        </w:tc>
        <w:tc>
          <w:tcPr>
            <w:tcW w:w="0" w:type="auto"/>
            <w:vAlign w:val="center"/>
            <w:hideMark/>
          </w:tcPr>
          <w:p w14:paraId="56ED7680"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Courier New" w:eastAsia="Times New Roman" w:hAnsi="Courier New" w:cs="Courier New"/>
                <w:kern w:val="0"/>
                <w:sz w:val="20"/>
                <w:szCs w:val="20"/>
                <w14:ligatures w14:val="none"/>
              </w:rPr>
              <w:t>ethnicity</w:t>
            </w:r>
            <w:r w:rsidRPr="00FF15A3">
              <w:rPr>
                <w:rFonts w:ascii="Times New Roman" w:eastAsia="Times New Roman" w:hAnsi="Times New Roman" w:cs="Times New Roman"/>
                <w:kern w:val="0"/>
                <w14:ligatures w14:val="none"/>
              </w:rPr>
              <w:t xml:space="preserve"> (top 8 groups + “Other”)</w:t>
            </w:r>
          </w:p>
        </w:tc>
        <w:tc>
          <w:tcPr>
            <w:tcW w:w="0" w:type="auto"/>
            <w:vAlign w:val="center"/>
            <w:hideMark/>
          </w:tcPr>
          <w:p w14:paraId="6EE7EFB4"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Courier New" w:eastAsia="Times New Roman" w:hAnsi="Courier New" w:cs="Courier New"/>
                <w:kern w:val="0"/>
                <w:sz w:val="20"/>
                <w:szCs w:val="20"/>
                <w14:ligatures w14:val="none"/>
              </w:rPr>
              <w:t>ethnicity</w:t>
            </w:r>
            <w:r w:rsidRPr="00FF15A3">
              <w:rPr>
                <w:rFonts w:ascii="Times New Roman" w:eastAsia="Times New Roman" w:hAnsi="Times New Roman" w:cs="Times New Roman"/>
                <w:kern w:val="0"/>
                <w14:ligatures w14:val="none"/>
              </w:rPr>
              <w:t xml:space="preserve"> (grouped categories)</w:t>
            </w:r>
          </w:p>
        </w:tc>
      </w:tr>
      <w:tr w:rsidR="00FF15A3" w:rsidRPr="00FF15A3" w14:paraId="0A94E16C" w14:textId="77777777">
        <w:trPr>
          <w:tblCellSpacing w:w="15" w:type="dxa"/>
        </w:trPr>
        <w:tc>
          <w:tcPr>
            <w:tcW w:w="0" w:type="auto"/>
            <w:vAlign w:val="center"/>
            <w:hideMark/>
          </w:tcPr>
          <w:p w14:paraId="05415698"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Temporal coverage</w:t>
            </w:r>
          </w:p>
        </w:tc>
        <w:tc>
          <w:tcPr>
            <w:tcW w:w="0" w:type="auto"/>
            <w:vAlign w:val="center"/>
            <w:hideMark/>
          </w:tcPr>
          <w:p w14:paraId="36A3BC84"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One specific survey year</w:t>
            </w:r>
          </w:p>
        </w:tc>
        <w:tc>
          <w:tcPr>
            <w:tcW w:w="0" w:type="auto"/>
            <w:vAlign w:val="center"/>
            <w:hideMark/>
          </w:tcPr>
          <w:p w14:paraId="4283EFBE"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All available survey years, stacked</w:t>
            </w:r>
          </w:p>
        </w:tc>
        <w:tc>
          <w:tcPr>
            <w:tcW w:w="0" w:type="auto"/>
            <w:vAlign w:val="center"/>
            <w:hideMark/>
          </w:tcPr>
          <w:p w14:paraId="5A91130E"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All available survey years, stacked</w:t>
            </w:r>
          </w:p>
        </w:tc>
      </w:tr>
      <w:tr w:rsidR="00FF15A3" w:rsidRPr="00FF15A3" w14:paraId="0D3BE410" w14:textId="77777777">
        <w:trPr>
          <w:tblCellSpacing w:w="15" w:type="dxa"/>
        </w:trPr>
        <w:tc>
          <w:tcPr>
            <w:tcW w:w="0" w:type="auto"/>
            <w:vAlign w:val="center"/>
            <w:hideMark/>
          </w:tcPr>
          <w:p w14:paraId="0C989DD7"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Analytical purpose</w:t>
            </w:r>
          </w:p>
        </w:tc>
        <w:tc>
          <w:tcPr>
            <w:tcW w:w="0" w:type="auto"/>
            <w:vAlign w:val="center"/>
            <w:hideMark/>
          </w:tcPr>
          <w:p w14:paraId="55EBFE05"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Per-year audit and reference dataset</w:t>
            </w:r>
          </w:p>
        </w:tc>
        <w:tc>
          <w:tcPr>
            <w:tcW w:w="0" w:type="auto"/>
            <w:vAlign w:val="center"/>
            <w:hideMark/>
          </w:tcPr>
          <w:p w14:paraId="597CF981"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FGM risk and incidence analysis</w:t>
            </w:r>
          </w:p>
        </w:tc>
        <w:tc>
          <w:tcPr>
            <w:tcW w:w="0" w:type="auto"/>
            <w:vAlign w:val="center"/>
            <w:hideMark/>
          </w:tcPr>
          <w:p w14:paraId="2A7CB516"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FGM attitudinal analysis</w:t>
            </w:r>
          </w:p>
        </w:tc>
      </w:tr>
      <w:tr w:rsidR="00FF15A3" w:rsidRPr="00FF15A3" w14:paraId="1E5368A9" w14:textId="77777777">
        <w:trPr>
          <w:tblCellSpacing w:w="15" w:type="dxa"/>
        </w:trPr>
        <w:tc>
          <w:tcPr>
            <w:tcW w:w="0" w:type="auto"/>
            <w:vAlign w:val="center"/>
            <w:hideMark/>
          </w:tcPr>
          <w:p w14:paraId="4DA8EFD6"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Downstream notebook</w:t>
            </w:r>
          </w:p>
        </w:tc>
        <w:tc>
          <w:tcPr>
            <w:tcW w:w="0" w:type="auto"/>
            <w:vAlign w:val="center"/>
            <w:hideMark/>
          </w:tcPr>
          <w:p w14:paraId="6505BD28"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None</w:t>
            </w:r>
          </w:p>
        </w:tc>
        <w:tc>
          <w:tcPr>
            <w:tcW w:w="0" w:type="auto"/>
            <w:vAlign w:val="center"/>
            <w:hideMark/>
          </w:tcPr>
          <w:p w14:paraId="28368E42"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Courier New" w:eastAsia="Times New Roman" w:hAnsi="Courier New" w:cs="Courier New"/>
                <w:kern w:val="0"/>
                <w:sz w:val="20"/>
                <w:szCs w:val="20"/>
                <w14:ligatures w14:val="none"/>
              </w:rPr>
              <w:t>FGM_Risk_Incidence.ipynb</w:t>
            </w:r>
          </w:p>
        </w:tc>
        <w:tc>
          <w:tcPr>
            <w:tcW w:w="0" w:type="auto"/>
            <w:vAlign w:val="center"/>
            <w:hideMark/>
          </w:tcPr>
          <w:p w14:paraId="4FFC54F0" w14:textId="77777777" w:rsidR="00FF15A3" w:rsidRPr="00FF15A3" w:rsidRDefault="00FF15A3" w:rsidP="00FF15A3">
            <w:pPr>
              <w:spacing w:after="0" w:line="240" w:lineRule="auto"/>
              <w:rPr>
                <w:rFonts w:ascii="Times New Roman" w:eastAsia="Times New Roman" w:hAnsi="Times New Roman" w:cs="Times New Roman"/>
                <w:kern w:val="0"/>
                <w14:ligatures w14:val="none"/>
              </w:rPr>
            </w:pPr>
            <w:r w:rsidRPr="00FF15A3">
              <w:rPr>
                <w:rFonts w:ascii="Courier New" w:eastAsia="Times New Roman" w:hAnsi="Courier New" w:cs="Courier New"/>
                <w:kern w:val="0"/>
                <w:sz w:val="20"/>
                <w:szCs w:val="20"/>
                <w14:ligatures w14:val="none"/>
              </w:rPr>
              <w:t>FGM_Attitudinal_Incidence.ipynb</w:t>
            </w:r>
          </w:p>
        </w:tc>
      </w:tr>
    </w:tbl>
    <w:p w14:paraId="00E2DD56" w14:textId="77777777" w:rsidR="00FF15A3" w:rsidRPr="00FF15A3" w:rsidRDefault="00FF15A3" w:rsidP="00FF15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15A3">
        <w:rPr>
          <w:rFonts w:ascii="Times New Roman" w:eastAsia="Times New Roman" w:hAnsi="Times New Roman" w:cs="Times New Roman"/>
          <w:b/>
          <w:bCs/>
          <w:kern w:val="0"/>
          <w:sz w:val="27"/>
          <w:szCs w:val="27"/>
          <w14:ligatures w14:val="none"/>
        </w:rPr>
        <w:t>10.1 Description of the Datasets</w:t>
      </w:r>
    </w:p>
    <w:p w14:paraId="1A51D9BA" w14:textId="77777777" w:rsidR="00FF15A3" w:rsidRPr="00FF15A3" w:rsidRDefault="00FF15A3" w:rsidP="00FF15A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F15A3">
        <w:rPr>
          <w:rFonts w:ascii="Times New Roman" w:eastAsia="Times New Roman" w:hAnsi="Times New Roman" w:cs="Times New Roman"/>
          <w:b/>
          <w:bCs/>
          <w:kern w:val="0"/>
          <w14:ligatures w14:val="none"/>
        </w:rPr>
        <w:t xml:space="preserve">10.1.1 </w:t>
      </w:r>
      <w:r w:rsidRPr="00FF15A3">
        <w:rPr>
          <w:rFonts w:ascii="Courier New" w:eastAsia="Times New Roman" w:hAnsi="Courier New" w:cs="Courier New"/>
          <w:b/>
          <w:bCs/>
          <w:kern w:val="0"/>
          <w:sz w:val="20"/>
          <w:szCs w:val="20"/>
          <w14:ligatures w14:val="none"/>
        </w:rPr>
        <w:t>person_level.rds</w:t>
      </w:r>
      <w:r w:rsidRPr="00FF15A3">
        <w:rPr>
          <w:rFonts w:ascii="Times New Roman" w:eastAsia="Times New Roman" w:hAnsi="Times New Roman" w:cs="Times New Roman"/>
          <w:b/>
          <w:bCs/>
          <w:kern w:val="0"/>
          <w14:ligatures w14:val="none"/>
        </w:rPr>
        <w:t xml:space="preserve"> — Per-year Reference Dataset</w:t>
      </w:r>
    </w:p>
    <w:p w14:paraId="511A71DD" w14:textId="77777777" w:rsidR="00FF15A3" w:rsidRPr="00FF15A3" w:rsidRDefault="00FF15A3" w:rsidP="00FF15A3">
      <w:pPr>
        <w:spacing w:before="100" w:beforeAutospacing="1" w:after="100" w:afterAutospacing="1"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This dataset contains the complete, unfiltered records of respondents interviewed in a specific survey year. It comprises 39,050 rows and 36 columns, including harmonized demographic, geographical, FGM-related, and attitudinal variables.</w:t>
      </w:r>
    </w:p>
    <w:p w14:paraId="7E8F0096" w14:textId="77777777" w:rsidR="00FF15A3" w:rsidRPr="00FF15A3" w:rsidRDefault="00FF15A3" w:rsidP="00FF15A3">
      <w:pPr>
        <w:spacing w:before="100" w:beforeAutospacing="1" w:after="100" w:afterAutospacing="1"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lastRenderedPageBreak/>
        <w:t xml:space="preserve">The dataset preserves the original respondent-level information, including raw regional labels and raw ethnicity categories, and is intended primarily for data auditing, quality assessment, and reference. It provides a means of examining the structure and content of a particular year's data without returning to the original </w:t>
      </w:r>
      <w:r w:rsidRPr="00FF15A3">
        <w:rPr>
          <w:rFonts w:ascii="Courier New" w:eastAsia="Times New Roman" w:hAnsi="Courier New" w:cs="Courier New"/>
          <w:kern w:val="0"/>
          <w:sz w:val="20"/>
          <w:szCs w:val="20"/>
          <w14:ligatures w14:val="none"/>
        </w:rPr>
        <w:t>.dta</w:t>
      </w:r>
      <w:r w:rsidRPr="00FF15A3">
        <w:rPr>
          <w:rFonts w:ascii="Times New Roman" w:eastAsia="Times New Roman" w:hAnsi="Times New Roman" w:cs="Times New Roman"/>
          <w:kern w:val="0"/>
          <w14:ligatures w14:val="none"/>
        </w:rPr>
        <w:t xml:space="preserve"> file.</w:t>
      </w:r>
    </w:p>
    <w:p w14:paraId="4F168628" w14:textId="77777777" w:rsidR="00FF15A3" w:rsidRPr="00FF15A3" w:rsidRDefault="00FF15A3" w:rsidP="00FF15A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F15A3">
        <w:rPr>
          <w:rFonts w:ascii="Times New Roman" w:eastAsia="Times New Roman" w:hAnsi="Times New Roman" w:cs="Times New Roman"/>
          <w:b/>
          <w:bCs/>
          <w:kern w:val="0"/>
          <w14:ligatures w14:val="none"/>
        </w:rPr>
        <w:t xml:space="preserve">10.1.2 </w:t>
      </w:r>
      <w:r w:rsidRPr="00FF15A3">
        <w:rPr>
          <w:rFonts w:ascii="Courier New" w:eastAsia="Times New Roman" w:hAnsi="Courier New" w:cs="Courier New"/>
          <w:b/>
          <w:bCs/>
          <w:kern w:val="0"/>
          <w:sz w:val="20"/>
          <w:szCs w:val="20"/>
          <w14:ligatures w14:val="none"/>
        </w:rPr>
        <w:t>combined/NGA_fgm_events.rds</w:t>
      </w:r>
      <w:r w:rsidRPr="00FF15A3">
        <w:rPr>
          <w:rFonts w:ascii="Times New Roman" w:eastAsia="Times New Roman" w:hAnsi="Times New Roman" w:cs="Times New Roman"/>
          <w:b/>
          <w:bCs/>
          <w:kern w:val="0"/>
          <w14:ligatures w14:val="none"/>
        </w:rPr>
        <w:t xml:space="preserve"> — FGM Risk and Incidence Dataset</w:t>
      </w:r>
    </w:p>
    <w:p w14:paraId="2E259C8D" w14:textId="77777777" w:rsidR="00FF15A3" w:rsidRPr="00FF15A3" w:rsidRDefault="00FF15A3" w:rsidP="00FF15A3">
      <w:pPr>
        <w:spacing w:before="100" w:beforeAutospacing="1" w:after="100" w:afterAutospacing="1"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This is a narrow, purpose-built dataset for the FGM hazard and incidence analysis. It contains 47,157 records and 20 columns, with only the variables required by the risk-incidence model.</w:t>
      </w:r>
    </w:p>
    <w:p w14:paraId="73F395E6" w14:textId="77777777" w:rsidR="00FF15A3" w:rsidRPr="00FF15A3" w:rsidRDefault="00FF15A3" w:rsidP="00FF15A3">
      <w:pPr>
        <w:spacing w:before="100" w:beforeAutospacing="1" w:after="100" w:afterAutospacing="1"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Unlike the per-year respondent dataset, it includes both respondent self-reports and reconstructed daughter records. Of the 47,157 observations, 23,474 are self records and 23,683 are daughter records. The daughter records are reconstructed from the household roster variables (</w:t>
      </w:r>
      <w:r w:rsidRPr="00FF15A3">
        <w:rPr>
          <w:rFonts w:ascii="Courier New" w:eastAsia="Times New Roman" w:hAnsi="Courier New" w:cs="Courier New"/>
          <w:kern w:val="0"/>
          <w:sz w:val="20"/>
          <w:szCs w:val="20"/>
          <w14:ligatures w14:val="none"/>
        </w:rPr>
        <w:t>g121</w:t>
      </w:r>
      <w:r w:rsidRPr="00FF15A3">
        <w:rPr>
          <w:rFonts w:ascii="Times New Roman" w:eastAsia="Times New Roman" w:hAnsi="Times New Roman" w:cs="Times New Roman"/>
          <w:kern w:val="0"/>
          <w14:ligatures w14:val="none"/>
        </w:rPr>
        <w:t>–</w:t>
      </w:r>
      <w:r w:rsidRPr="00FF15A3">
        <w:rPr>
          <w:rFonts w:ascii="Courier New" w:eastAsia="Times New Roman" w:hAnsi="Courier New" w:cs="Courier New"/>
          <w:kern w:val="0"/>
          <w:sz w:val="20"/>
          <w:szCs w:val="20"/>
          <w14:ligatures w14:val="none"/>
        </w:rPr>
        <w:t>g124</w:t>
      </w:r>
      <w:r w:rsidRPr="00FF15A3">
        <w:rPr>
          <w:rFonts w:ascii="Times New Roman" w:eastAsia="Times New Roman" w:hAnsi="Times New Roman" w:cs="Times New Roman"/>
          <w:kern w:val="0"/>
          <w14:ligatures w14:val="none"/>
        </w:rPr>
        <w:t>) and do not represent respondents who were directly interviewed.</w:t>
      </w:r>
    </w:p>
    <w:p w14:paraId="62CAA019" w14:textId="77777777" w:rsidR="00FF15A3" w:rsidRPr="00FF15A3" w:rsidRDefault="00FF15A3" w:rsidP="00FF15A3">
      <w:pPr>
        <w:spacing w:before="100" w:beforeAutospacing="1" w:after="100" w:afterAutospacing="1"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 xml:space="preserve">The dataset is filtered to retain records with a known </w:t>
      </w:r>
      <w:r w:rsidRPr="00FF15A3">
        <w:rPr>
          <w:rFonts w:ascii="Courier New" w:eastAsia="Times New Roman" w:hAnsi="Courier New" w:cs="Courier New"/>
          <w:kern w:val="0"/>
          <w:sz w:val="20"/>
          <w:szCs w:val="20"/>
          <w14:ligatures w14:val="none"/>
        </w:rPr>
        <w:t>fgm_event</w:t>
      </w:r>
      <w:r w:rsidRPr="00FF15A3">
        <w:rPr>
          <w:rFonts w:ascii="Times New Roman" w:eastAsia="Times New Roman" w:hAnsi="Times New Roman" w:cs="Times New Roman"/>
          <w:kern w:val="0"/>
          <w14:ligatures w14:val="none"/>
        </w:rPr>
        <w:t xml:space="preserve"> and combines all available survey years into a single analytical file. Ethnicity is represented using grouped categories consisting of the eight largest ethnic groups and an “Other” category.</w:t>
      </w:r>
    </w:p>
    <w:p w14:paraId="126CCF8D" w14:textId="77777777" w:rsidR="00FF15A3" w:rsidRPr="00FF15A3" w:rsidRDefault="00FF15A3" w:rsidP="00FF15A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F15A3">
        <w:rPr>
          <w:rFonts w:ascii="Times New Roman" w:eastAsia="Times New Roman" w:hAnsi="Times New Roman" w:cs="Times New Roman"/>
          <w:b/>
          <w:bCs/>
          <w:kern w:val="0"/>
          <w14:ligatures w14:val="none"/>
        </w:rPr>
        <w:t xml:space="preserve">10.1.3 </w:t>
      </w:r>
      <w:r w:rsidRPr="00FF15A3">
        <w:rPr>
          <w:rFonts w:ascii="Courier New" w:eastAsia="Times New Roman" w:hAnsi="Courier New" w:cs="Courier New"/>
          <w:b/>
          <w:bCs/>
          <w:kern w:val="0"/>
          <w:sz w:val="20"/>
          <w:szCs w:val="20"/>
          <w14:ligatures w14:val="none"/>
        </w:rPr>
        <w:t>combined/NGA_attitude.rds</w:t>
      </w:r>
      <w:r w:rsidRPr="00FF15A3">
        <w:rPr>
          <w:rFonts w:ascii="Times New Roman" w:eastAsia="Times New Roman" w:hAnsi="Times New Roman" w:cs="Times New Roman"/>
          <w:b/>
          <w:bCs/>
          <w:kern w:val="0"/>
          <w14:ligatures w14:val="none"/>
        </w:rPr>
        <w:t xml:space="preserve"> — FGM Attitudinal Dataset</w:t>
      </w:r>
    </w:p>
    <w:p w14:paraId="73632059" w14:textId="77777777" w:rsidR="00FF15A3" w:rsidRPr="00FF15A3" w:rsidRDefault="00FF15A3" w:rsidP="00FF15A3">
      <w:pPr>
        <w:spacing w:before="100" w:beforeAutospacing="1" w:after="100" w:afterAutospacing="1"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This dataset is designed specifically for the attitudinal analysis of FGM. It contains 20,916 records and 19 columns, retaining only variables required by the attitudinal model.</w:t>
      </w:r>
    </w:p>
    <w:p w14:paraId="3CDCE527" w14:textId="77777777" w:rsidR="00FF15A3" w:rsidRPr="00FF15A3" w:rsidRDefault="00FF15A3" w:rsidP="00FF15A3">
      <w:pPr>
        <w:spacing w:before="100" w:beforeAutospacing="1" w:after="100" w:afterAutospacing="1"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 xml:space="preserve">The dataset includes respondents only and is filtered to retain observations with a known </w:t>
      </w:r>
      <w:r w:rsidRPr="00FF15A3">
        <w:rPr>
          <w:rFonts w:ascii="Courier New" w:eastAsia="Times New Roman" w:hAnsi="Courier New" w:cs="Courier New"/>
          <w:kern w:val="0"/>
          <w:sz w:val="20"/>
          <w:szCs w:val="20"/>
          <w14:ligatures w14:val="none"/>
        </w:rPr>
        <w:t>supports_continuation</w:t>
      </w:r>
      <w:r w:rsidRPr="00FF15A3">
        <w:rPr>
          <w:rFonts w:ascii="Times New Roman" w:eastAsia="Times New Roman" w:hAnsi="Times New Roman" w:cs="Times New Roman"/>
          <w:kern w:val="0"/>
          <w14:ligatures w14:val="none"/>
        </w:rPr>
        <w:t xml:space="preserve"> response. It combines all available survey years and uses the grouped ethnicity variable to ensure consistency with the analytical framework.</w:t>
      </w:r>
    </w:p>
    <w:p w14:paraId="014FD586" w14:textId="77777777" w:rsidR="00FF15A3" w:rsidRPr="00FF15A3" w:rsidRDefault="00FF15A3" w:rsidP="00FF15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15A3">
        <w:rPr>
          <w:rFonts w:ascii="Times New Roman" w:eastAsia="Times New Roman" w:hAnsi="Times New Roman" w:cs="Times New Roman"/>
          <w:b/>
          <w:bCs/>
          <w:kern w:val="0"/>
          <w:sz w:val="27"/>
          <w:szCs w:val="27"/>
          <w14:ligatures w14:val="none"/>
        </w:rPr>
        <w:t>10.2 Key Differences Between the Datasets</w:t>
      </w:r>
    </w:p>
    <w:p w14:paraId="6EBF2CAD" w14:textId="77777777" w:rsidR="00FF15A3" w:rsidRPr="00FF15A3" w:rsidRDefault="00FF15A3" w:rsidP="00FF15A3">
      <w:pPr>
        <w:spacing w:before="100" w:beforeAutospacing="1" w:after="100" w:afterAutospacing="1"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The three datasets differ in three principal ways:</w:t>
      </w:r>
    </w:p>
    <w:p w14:paraId="3721CF20" w14:textId="77777777" w:rsidR="00FF15A3" w:rsidRPr="00FF15A3" w:rsidRDefault="00FF15A3" w:rsidP="00FF15A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b/>
          <w:bCs/>
          <w:kern w:val="0"/>
          <w14:ligatures w14:val="none"/>
        </w:rPr>
        <w:t>Population coverage:</w:t>
      </w:r>
      <w:r w:rsidRPr="00FF15A3">
        <w:rPr>
          <w:rFonts w:ascii="Times New Roman" w:eastAsia="Times New Roman" w:hAnsi="Times New Roman" w:cs="Times New Roman"/>
          <w:kern w:val="0"/>
          <w14:ligatures w14:val="none"/>
        </w:rPr>
        <w:t xml:space="preserve"> </w:t>
      </w:r>
      <w:r w:rsidRPr="00FF15A3">
        <w:rPr>
          <w:rFonts w:ascii="Courier New" w:eastAsia="Times New Roman" w:hAnsi="Courier New" w:cs="Courier New"/>
          <w:kern w:val="0"/>
          <w:sz w:val="20"/>
          <w:szCs w:val="20"/>
          <w14:ligatures w14:val="none"/>
        </w:rPr>
        <w:t>person_level.rds</w:t>
      </w:r>
      <w:r w:rsidRPr="00FF15A3">
        <w:rPr>
          <w:rFonts w:ascii="Times New Roman" w:eastAsia="Times New Roman" w:hAnsi="Times New Roman" w:cs="Times New Roman"/>
          <w:kern w:val="0"/>
          <w14:ligatures w14:val="none"/>
        </w:rPr>
        <w:t xml:space="preserve"> and </w:t>
      </w:r>
      <w:r w:rsidRPr="00FF15A3">
        <w:rPr>
          <w:rFonts w:ascii="Courier New" w:eastAsia="Times New Roman" w:hAnsi="Courier New" w:cs="Courier New"/>
          <w:kern w:val="0"/>
          <w:sz w:val="20"/>
          <w:szCs w:val="20"/>
          <w14:ligatures w14:val="none"/>
        </w:rPr>
        <w:t>NGA_attitude.rds</w:t>
      </w:r>
      <w:r w:rsidRPr="00FF15A3">
        <w:rPr>
          <w:rFonts w:ascii="Times New Roman" w:eastAsia="Times New Roman" w:hAnsi="Times New Roman" w:cs="Times New Roman"/>
          <w:kern w:val="0"/>
          <w14:ligatures w14:val="none"/>
        </w:rPr>
        <w:t xml:space="preserve"> contain respondents only, whereas </w:t>
      </w:r>
      <w:r w:rsidRPr="00FF15A3">
        <w:rPr>
          <w:rFonts w:ascii="Courier New" w:eastAsia="Times New Roman" w:hAnsi="Courier New" w:cs="Courier New"/>
          <w:kern w:val="0"/>
          <w:sz w:val="20"/>
          <w:szCs w:val="20"/>
          <w14:ligatures w14:val="none"/>
        </w:rPr>
        <w:t>NGA_fgm_events.rds</w:t>
      </w:r>
      <w:r w:rsidRPr="00FF15A3">
        <w:rPr>
          <w:rFonts w:ascii="Times New Roman" w:eastAsia="Times New Roman" w:hAnsi="Times New Roman" w:cs="Times New Roman"/>
          <w:kern w:val="0"/>
          <w14:ligatures w14:val="none"/>
        </w:rPr>
        <w:t xml:space="preserve"> includes both respondents and reconstructed daughters.</w:t>
      </w:r>
    </w:p>
    <w:p w14:paraId="2713E19B" w14:textId="77777777" w:rsidR="00FF15A3" w:rsidRPr="00FF15A3" w:rsidRDefault="00FF15A3" w:rsidP="00FF15A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b/>
          <w:bCs/>
          <w:kern w:val="0"/>
          <w14:ligatures w14:val="none"/>
        </w:rPr>
        <w:t>Data processing:</w:t>
      </w:r>
      <w:r w:rsidRPr="00FF15A3">
        <w:rPr>
          <w:rFonts w:ascii="Times New Roman" w:eastAsia="Times New Roman" w:hAnsi="Times New Roman" w:cs="Times New Roman"/>
          <w:kern w:val="0"/>
          <w14:ligatures w14:val="none"/>
        </w:rPr>
        <w:t xml:space="preserve"> </w:t>
      </w:r>
      <w:r w:rsidRPr="00FF15A3">
        <w:rPr>
          <w:rFonts w:ascii="Courier New" w:eastAsia="Times New Roman" w:hAnsi="Courier New" w:cs="Courier New"/>
          <w:kern w:val="0"/>
          <w:sz w:val="20"/>
          <w:szCs w:val="20"/>
          <w14:ligatures w14:val="none"/>
        </w:rPr>
        <w:t>person_level.rds</w:t>
      </w:r>
      <w:r w:rsidRPr="00FF15A3">
        <w:rPr>
          <w:rFonts w:ascii="Times New Roman" w:eastAsia="Times New Roman" w:hAnsi="Times New Roman" w:cs="Times New Roman"/>
          <w:kern w:val="0"/>
          <w14:ligatures w14:val="none"/>
        </w:rPr>
        <w:t xml:space="preserve"> is unfiltered and retains the broader set of harmonized variables. The two combined datasets are filtered extracts designed for their respective models.</w:t>
      </w:r>
    </w:p>
    <w:p w14:paraId="40C2CF20" w14:textId="77777777" w:rsidR="00FF15A3" w:rsidRPr="00FF15A3" w:rsidRDefault="00FF15A3" w:rsidP="00FF15A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b/>
          <w:bCs/>
          <w:kern w:val="0"/>
          <w14:ligatures w14:val="none"/>
        </w:rPr>
        <w:t>Analytical purpose:</w:t>
      </w:r>
      <w:r w:rsidRPr="00FF15A3">
        <w:rPr>
          <w:rFonts w:ascii="Times New Roman" w:eastAsia="Times New Roman" w:hAnsi="Times New Roman" w:cs="Times New Roman"/>
          <w:kern w:val="0"/>
          <w14:ligatures w14:val="none"/>
        </w:rPr>
        <w:t xml:space="preserve"> The per-year dataset serves as an audit and reference file, while the combined datasets provide the model-ready data required for FGM risk-incidence and attitudinal analyses.</w:t>
      </w:r>
    </w:p>
    <w:p w14:paraId="0C90D3F9" w14:textId="77777777" w:rsidR="00FF15A3" w:rsidRPr="00FF15A3" w:rsidRDefault="00FF15A3" w:rsidP="00FF15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15A3">
        <w:rPr>
          <w:rFonts w:ascii="Times New Roman" w:eastAsia="Times New Roman" w:hAnsi="Times New Roman" w:cs="Times New Roman"/>
          <w:b/>
          <w:bCs/>
          <w:kern w:val="0"/>
          <w:sz w:val="27"/>
          <w:szCs w:val="27"/>
          <w14:ligatures w14:val="none"/>
        </w:rPr>
        <w:t>10.3 Summary</w:t>
      </w:r>
    </w:p>
    <w:p w14:paraId="2B20A6AA" w14:textId="77777777" w:rsidR="00FF15A3" w:rsidRPr="00FF15A3" w:rsidRDefault="00FF15A3" w:rsidP="00FF15A3">
      <w:pPr>
        <w:spacing w:before="100" w:beforeAutospacing="1" w:after="100" w:afterAutospacing="1" w:line="240" w:lineRule="auto"/>
        <w:rPr>
          <w:rFonts w:ascii="Times New Roman" w:eastAsia="Times New Roman" w:hAnsi="Times New Roman" w:cs="Times New Roman"/>
          <w:kern w:val="0"/>
          <w14:ligatures w14:val="none"/>
        </w:rPr>
      </w:pPr>
      <w:r w:rsidRPr="00FF15A3">
        <w:rPr>
          <w:rFonts w:ascii="Times New Roman" w:eastAsia="Times New Roman" w:hAnsi="Times New Roman" w:cs="Times New Roman"/>
          <w:kern w:val="0"/>
          <w14:ligatures w14:val="none"/>
        </w:rPr>
        <w:t xml:space="preserve">In summary, </w:t>
      </w:r>
      <w:r w:rsidRPr="00FF15A3">
        <w:rPr>
          <w:rFonts w:ascii="Courier New" w:eastAsia="Times New Roman" w:hAnsi="Courier New" w:cs="Courier New"/>
          <w:kern w:val="0"/>
          <w:sz w:val="20"/>
          <w:szCs w:val="20"/>
          <w14:ligatures w14:val="none"/>
        </w:rPr>
        <w:t>person_level.rds</w:t>
      </w:r>
      <w:r w:rsidRPr="00FF15A3">
        <w:rPr>
          <w:rFonts w:ascii="Times New Roman" w:eastAsia="Times New Roman" w:hAnsi="Times New Roman" w:cs="Times New Roman"/>
          <w:kern w:val="0"/>
          <w14:ligatures w14:val="none"/>
        </w:rPr>
        <w:t xml:space="preserve"> represents the complete respondent-level data for a particular survey year, whereas the combined datasets are analytical extracts tailored to specific modeling </w:t>
      </w:r>
      <w:r w:rsidRPr="00FF15A3">
        <w:rPr>
          <w:rFonts w:ascii="Times New Roman" w:eastAsia="Times New Roman" w:hAnsi="Times New Roman" w:cs="Times New Roman"/>
          <w:kern w:val="0"/>
          <w14:ligatures w14:val="none"/>
        </w:rPr>
        <w:lastRenderedPageBreak/>
        <w:t>objectives. The FGM risk-incidence dataset is further augmented with reconstructed daughter records, allowing the analysis to incorporate additional information on FGM events that is not present in the per-year respondent dataset.</w:t>
      </w:r>
    </w:p>
    <w:p w14:paraId="0A03E188" w14:textId="77777777" w:rsidR="00A049B3" w:rsidRPr="00A049B3" w:rsidRDefault="00A049B3" w:rsidP="00A049B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049B3">
        <w:rPr>
          <w:rFonts w:ascii="Times New Roman" w:eastAsia="Times New Roman" w:hAnsi="Times New Roman" w:cs="Times New Roman"/>
          <w:b/>
          <w:bCs/>
          <w:kern w:val="36"/>
          <w:sz w:val="48"/>
          <w:szCs w:val="48"/>
          <w14:ligatures w14:val="none"/>
        </w:rPr>
        <w:t>FGM Risk Incidence Methodology — Brief Overview</w:t>
      </w:r>
    </w:p>
    <w:p w14:paraId="51EFD9F9" w14:textId="77777777" w:rsidR="00A049B3" w:rsidRPr="00A049B3" w:rsidRDefault="00A049B3" w:rsidP="00A049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49B3">
        <w:rPr>
          <w:rFonts w:ascii="Times New Roman" w:eastAsia="Times New Roman" w:hAnsi="Times New Roman" w:cs="Times New Roman"/>
          <w:b/>
          <w:bCs/>
          <w:kern w:val="0"/>
          <w:sz w:val="36"/>
          <w:szCs w:val="36"/>
          <w14:ligatures w14:val="none"/>
        </w:rPr>
        <w:t>Core Concept</w:t>
      </w:r>
    </w:p>
    <w:p w14:paraId="798A0ECE"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The Demographic and Health Survey (DHS) is a cross-sectional survey in which each woman is interviewed once. However, because FGM usually occurs early in life and is generally irreversible, the survey can provide retrospective information about FGM experiences across several decades. Each woman’s FGM status and age at cutting provide information about the experience of her birth cohort.</w:t>
      </w:r>
    </w:p>
    <w:p w14:paraId="4066DD83"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The methodology therefore uses retrospective FGM histories to estimate the age-specific risk of undergoing FGM, rather than relying only on overall prevalence.</w:t>
      </w:r>
    </w:p>
    <w:p w14:paraId="454CBAFD" w14:textId="77777777" w:rsidR="00A049B3" w:rsidRPr="00A049B3" w:rsidRDefault="00A049B3" w:rsidP="00A049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49B3">
        <w:rPr>
          <w:rFonts w:ascii="Times New Roman" w:eastAsia="Times New Roman" w:hAnsi="Times New Roman" w:cs="Times New Roman"/>
          <w:b/>
          <w:bCs/>
          <w:kern w:val="0"/>
          <w:sz w:val="36"/>
          <w:szCs w:val="36"/>
          <w14:ligatures w14:val="none"/>
        </w:rPr>
        <w:t>1. Time-to-Event Framework</w:t>
      </w:r>
    </w:p>
    <w:p w14:paraId="2BAE51EE"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The analysis treats each individual as a survival or time-to-event record. The main variables are:</w:t>
      </w:r>
    </w:p>
    <w:p w14:paraId="5989DF04" w14:textId="77777777" w:rsidR="00A049B3" w:rsidRPr="00A049B3" w:rsidRDefault="00A049B3" w:rsidP="00A049B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Courier New" w:eastAsia="Times New Roman" w:hAnsi="Courier New" w:cs="Courier New"/>
          <w:kern w:val="0"/>
          <w:sz w:val="20"/>
          <w:szCs w:val="20"/>
          <w14:ligatures w14:val="none"/>
        </w:rPr>
        <w:t>fgm_event</w:t>
      </w:r>
      <w:r w:rsidRPr="00A049B3">
        <w:rPr>
          <w:rFonts w:ascii="Times New Roman" w:eastAsia="Times New Roman" w:hAnsi="Times New Roman" w:cs="Times New Roman"/>
          <w:kern w:val="0"/>
          <w14:ligatures w14:val="none"/>
        </w:rPr>
        <w:t>: whether the individual experienced FGM, coded as 1 for an event and 0 for no recorded event.</w:t>
      </w:r>
    </w:p>
    <w:p w14:paraId="193D8834" w14:textId="77777777" w:rsidR="00A049B3" w:rsidRPr="00A049B3" w:rsidRDefault="00A049B3" w:rsidP="00A049B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Courier New" w:eastAsia="Times New Roman" w:hAnsi="Courier New" w:cs="Courier New"/>
          <w:kern w:val="0"/>
          <w:sz w:val="20"/>
          <w:szCs w:val="20"/>
          <w14:ligatures w14:val="none"/>
        </w:rPr>
        <w:t>time</w:t>
      </w:r>
      <w:r w:rsidRPr="00A049B3">
        <w:rPr>
          <w:rFonts w:ascii="Times New Roman" w:eastAsia="Times New Roman" w:hAnsi="Times New Roman" w:cs="Times New Roman"/>
          <w:kern w:val="0"/>
          <w14:ligatures w14:val="none"/>
        </w:rPr>
        <w:t>: age at cutting for individuals who experienced FGM, or current age for individuals who had not experienced FGM.</w:t>
      </w:r>
    </w:p>
    <w:p w14:paraId="689EEE02"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For individuals who have not experienced FGM, their current age represents the point at which observation ends. These records are treated as right-censored because the individual may experience FGM later.</w:t>
      </w:r>
    </w:p>
    <w:p w14:paraId="341DA8A1"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This framework estimates the risk of undergoing FGM at each age, conditional on not having experienced FGM previously. This is different from estimating simple prevalence, which only measures the proportion of individuals who have already experienced FGM.</w:t>
      </w:r>
    </w:p>
    <w:p w14:paraId="70DB0386" w14:textId="77777777" w:rsidR="00A049B3" w:rsidRPr="00A049B3" w:rsidRDefault="00A049B3" w:rsidP="00A049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49B3">
        <w:rPr>
          <w:rFonts w:ascii="Times New Roman" w:eastAsia="Times New Roman" w:hAnsi="Times New Roman" w:cs="Times New Roman"/>
          <w:b/>
          <w:bCs/>
          <w:kern w:val="0"/>
          <w:sz w:val="36"/>
          <w:szCs w:val="36"/>
          <w14:ligatures w14:val="none"/>
        </w:rPr>
        <w:t>2. Person-Time Expansion</w:t>
      </w:r>
    </w:p>
    <w:p w14:paraId="1D23201F"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Each individual is expanded into a series of age-specific records representing the years during which they were at risk of experiencing FGM.</w:t>
      </w:r>
    </w:p>
    <w:p w14:paraId="67940313"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For example:</w:t>
      </w:r>
    </w:p>
    <w:p w14:paraId="3446EA7C" w14:textId="77777777" w:rsidR="00A049B3" w:rsidRPr="00A049B3" w:rsidRDefault="00A049B3" w:rsidP="00A049B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An individual cut at age 5 contributes records up to the age of cutting.</w:t>
      </w:r>
    </w:p>
    <w:p w14:paraId="1F9E772F" w14:textId="77777777" w:rsidR="00A049B3" w:rsidRPr="00A049B3" w:rsidRDefault="00A049B3" w:rsidP="00A049B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lastRenderedPageBreak/>
        <w:t>An individual who has not been cut and is currently aged 20 contributes records up to age 20 and is right-censored at that age.</w:t>
      </w:r>
    </w:p>
    <w:p w14:paraId="1D4EFB47"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 xml:space="preserve">This process is implemented through </w:t>
      </w:r>
      <w:r w:rsidRPr="00A049B3">
        <w:rPr>
          <w:rFonts w:ascii="Courier New" w:eastAsia="Times New Roman" w:hAnsi="Courier New" w:cs="Courier New"/>
          <w:kern w:val="0"/>
          <w:sz w:val="20"/>
          <w:szCs w:val="20"/>
          <w14:ligatures w14:val="none"/>
        </w:rPr>
        <w:t>make_person_time()</w:t>
      </w:r>
      <w:r w:rsidRPr="00A049B3">
        <w:rPr>
          <w:rFonts w:ascii="Times New Roman" w:eastAsia="Times New Roman" w:hAnsi="Times New Roman" w:cs="Times New Roman"/>
          <w:kern w:val="0"/>
          <w14:ligatures w14:val="none"/>
        </w:rPr>
        <w:t>. The resulting dataset supports discrete-time hazard modelling by creating one observation for each year of exposure or risk.</w:t>
      </w:r>
    </w:p>
    <w:p w14:paraId="7A0A84EB" w14:textId="77777777" w:rsidR="00A049B3" w:rsidRPr="00A049B3" w:rsidRDefault="00A049B3" w:rsidP="00A049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49B3">
        <w:rPr>
          <w:rFonts w:ascii="Times New Roman" w:eastAsia="Times New Roman" w:hAnsi="Times New Roman" w:cs="Times New Roman"/>
          <w:b/>
          <w:bCs/>
          <w:kern w:val="0"/>
          <w:sz w:val="36"/>
          <w:szCs w:val="36"/>
          <w14:ligatures w14:val="none"/>
        </w:rPr>
        <w:t>3. Complementary Modelling Approaches</w:t>
      </w:r>
    </w:p>
    <w:p w14:paraId="009A1912"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The methodology uses several modelling approaches to assess the robustness and consistency of the findings.</w:t>
      </w:r>
    </w:p>
    <w:p w14:paraId="32C07805" w14:textId="77777777" w:rsidR="00A049B3" w:rsidRPr="00A049B3" w:rsidRDefault="00A049B3" w:rsidP="00A049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49B3">
        <w:rPr>
          <w:rFonts w:ascii="Times New Roman" w:eastAsia="Times New Roman" w:hAnsi="Times New Roman" w:cs="Times New Roman"/>
          <w:b/>
          <w:bCs/>
          <w:kern w:val="0"/>
          <w:sz w:val="27"/>
          <w:szCs w:val="27"/>
          <w14:ligatures w14:val="none"/>
        </w:rPr>
        <w:t>3.1 Kaplan–Meier Survival Analysis</w:t>
      </w:r>
    </w:p>
    <w:p w14:paraId="1CC91F4D"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Kaplan–Meier survival curves provide the baseline analysis. They estimate the probability of remaining free from FGM across age and allow comparisons between birth cohorts.</w:t>
      </w:r>
    </w:p>
    <w:p w14:paraId="6AC296E3"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This represents the simplest and original UNFPA analytical approach and is retained as a reference against which the other models are compared.</w:t>
      </w:r>
    </w:p>
    <w:p w14:paraId="462376B7" w14:textId="77777777" w:rsidR="00A049B3" w:rsidRPr="00A049B3" w:rsidRDefault="00A049B3" w:rsidP="00A049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49B3">
        <w:rPr>
          <w:rFonts w:ascii="Times New Roman" w:eastAsia="Times New Roman" w:hAnsi="Times New Roman" w:cs="Times New Roman"/>
          <w:b/>
          <w:bCs/>
          <w:kern w:val="0"/>
          <w:sz w:val="27"/>
          <w:szCs w:val="27"/>
          <w14:ligatures w14:val="none"/>
        </w:rPr>
        <w:t>3.2 Discrete-Time Hazard and Cox Models</w:t>
      </w:r>
    </w:p>
    <w:p w14:paraId="598E3075"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The discrete-time hazard model estimates the probability of experiencing FGM at a given age, conditional on not having experienced it previously. The model is estimated using DHS sampling weights and survey design information.</w:t>
      </w:r>
    </w:p>
    <w:p w14:paraId="3EE5DA83" w14:textId="77777777" w:rsid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A Cox proportional hazards model with cluster-level frailty is also used. The frailty term represents unobserved factors shared by individuals within the same community or sampling cluster, such as local cultural practices, social norms, or common exposure to FGM-related influences.</w:t>
      </w:r>
    </w:p>
    <w:p w14:paraId="2928BD06" w14:textId="77777777" w:rsidR="0091751B" w:rsidRPr="0091751B" w:rsidRDefault="0091751B" w:rsidP="0091751B">
      <w:pPr>
        <w:pStyle w:val="w6asjqtextbase"/>
        <w:numPr>
          <w:ilvl w:val="0"/>
          <w:numId w:val="26"/>
        </w:numPr>
        <w:rPr>
          <w:highlight w:val="red"/>
        </w:rPr>
      </w:pPr>
      <w:r w:rsidRPr="0091751B">
        <w:rPr>
          <w:rStyle w:val="w6asjqtextbase1"/>
          <w:highlight w:val="red"/>
        </w:rPr>
        <w:t>Handles censoring:</w:t>
      </w:r>
      <w:r w:rsidRPr="0091751B">
        <w:rPr>
          <w:highlight w:val="red"/>
        </w:rPr>
        <w:t xml:space="preserve"> It recognises that younger girls have had less time to experience FGM than older women. For example, a 3-year-old and a 45-year-old cannot be treated as having the same level of risk simply because neither has been cut.</w:t>
      </w:r>
    </w:p>
    <w:p w14:paraId="1AE86A4C" w14:textId="77777777" w:rsidR="0091751B" w:rsidRPr="0091751B" w:rsidRDefault="0091751B" w:rsidP="0091751B">
      <w:pPr>
        <w:pStyle w:val="w6asjqtextbase"/>
        <w:numPr>
          <w:ilvl w:val="0"/>
          <w:numId w:val="27"/>
        </w:numPr>
        <w:rPr>
          <w:highlight w:val="red"/>
        </w:rPr>
      </w:pPr>
      <w:r w:rsidRPr="0091751B">
        <w:rPr>
          <w:rStyle w:val="w6asjqtextbase1"/>
          <w:highlight w:val="red"/>
        </w:rPr>
        <w:t>Separates age and generation effects:</w:t>
      </w:r>
      <w:r w:rsidRPr="0091751B">
        <w:rPr>
          <w:highlight w:val="red"/>
        </w:rPr>
        <w:t xml:space="preserve"> It shows whether FGM risk is related to a person’s age or to the generation she belongs to. This helps determine whether FGM is decreasing among younger generations or simply occurs at different ages.</w:t>
      </w:r>
    </w:p>
    <w:p w14:paraId="4724F9A6" w14:textId="77777777" w:rsidR="0091751B" w:rsidRPr="00A049B3" w:rsidRDefault="0091751B" w:rsidP="00A049B3">
      <w:pPr>
        <w:spacing w:before="100" w:beforeAutospacing="1" w:after="100" w:afterAutospacing="1" w:line="240" w:lineRule="auto"/>
        <w:rPr>
          <w:rFonts w:ascii="Times New Roman" w:eastAsia="Times New Roman" w:hAnsi="Times New Roman" w:cs="Times New Roman"/>
          <w:kern w:val="0"/>
          <w14:ligatures w14:val="none"/>
        </w:rPr>
      </w:pPr>
    </w:p>
    <w:p w14:paraId="12FC9D8C" w14:textId="77777777" w:rsidR="00A049B3" w:rsidRPr="00A049B3" w:rsidRDefault="00A049B3" w:rsidP="00A049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49B3">
        <w:rPr>
          <w:rFonts w:ascii="Times New Roman" w:eastAsia="Times New Roman" w:hAnsi="Times New Roman" w:cs="Times New Roman"/>
          <w:b/>
          <w:bCs/>
          <w:kern w:val="0"/>
          <w:sz w:val="27"/>
          <w:szCs w:val="27"/>
          <w14:ligatures w14:val="none"/>
        </w:rPr>
        <w:t>3.3 Generalized Additive Model</w:t>
      </w:r>
    </w:p>
    <w:p w14:paraId="0034C20E"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A Generalized Additive Model (GAM) is used to estimate nonlinear patterns across age and birth cohort. Penalized splines help identify gradual changes in FGM risk without requiring the relationship to be strictly linear.</w:t>
      </w:r>
    </w:p>
    <w:p w14:paraId="03053D6D"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lastRenderedPageBreak/>
        <w:t>This approach helps avoid:</w:t>
      </w:r>
    </w:p>
    <w:p w14:paraId="7B1223C3" w14:textId="77777777" w:rsidR="00A049B3" w:rsidRPr="00A049B3" w:rsidRDefault="00A049B3" w:rsidP="00A049B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Overfitting when analysing individual birth cohorts; and</w:t>
      </w:r>
    </w:p>
    <w:p w14:paraId="01F2DBA7" w14:textId="77777777" w:rsidR="00A049B3" w:rsidRPr="00A049B3" w:rsidRDefault="00A049B3" w:rsidP="00A049B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Underfitting when the decline in FGM risk is genuinely nonlinear.</w:t>
      </w:r>
    </w:p>
    <w:p w14:paraId="5CE157D4" w14:textId="77777777" w:rsidR="00A049B3" w:rsidRPr="00A049B3" w:rsidRDefault="00A049B3" w:rsidP="00A049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49B3">
        <w:rPr>
          <w:rFonts w:ascii="Times New Roman" w:eastAsia="Times New Roman" w:hAnsi="Times New Roman" w:cs="Times New Roman"/>
          <w:b/>
          <w:bCs/>
          <w:kern w:val="0"/>
          <w:sz w:val="36"/>
          <w:szCs w:val="36"/>
          <w14:ligatures w14:val="none"/>
        </w:rPr>
        <w:t>4. Spatial Small-Area Estimation</w:t>
      </w:r>
    </w:p>
    <w:p w14:paraId="4BF348C4"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The methodology includes a spatial small-area estimation component for producing more stable estimates in areas with small sample sizes.</w:t>
      </w:r>
    </w:p>
    <w:p w14:paraId="4F3B757F"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Bayesian spatial smoothing, using approaches such as INLA/SUMMER, combines:</w:t>
      </w:r>
    </w:p>
    <w:p w14:paraId="3717715D" w14:textId="77777777" w:rsidR="00A049B3" w:rsidRPr="00A049B3" w:rsidRDefault="00A049B3" w:rsidP="00A049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State- or region-level information;</w:t>
      </w:r>
    </w:p>
    <w:p w14:paraId="1964C9AA" w14:textId="77777777" w:rsidR="00A049B3" w:rsidRPr="00A049B3" w:rsidRDefault="00A049B3" w:rsidP="00A049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Spatial random effects;</w:t>
      </w:r>
    </w:p>
    <w:p w14:paraId="4A99402B" w14:textId="77777777" w:rsidR="00A049B3" w:rsidRPr="00A049B3" w:rsidRDefault="00A049B3" w:rsidP="00A049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Birth cohort or period effects; and</w:t>
      </w:r>
    </w:p>
    <w:p w14:paraId="743FA169" w14:textId="77777777" w:rsidR="00A049B3" w:rsidRPr="00A049B3" w:rsidRDefault="00A049B3" w:rsidP="00A049B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Neighbouring-area information.</w:t>
      </w:r>
    </w:p>
    <w:p w14:paraId="482039A5"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A BYM2 spatial random effect allows neighbouring areas to borrow statistical strength from one another. A random-walk component is used to model changes across birth cohorts or periods.</w:t>
      </w:r>
    </w:p>
    <w:p w14:paraId="17505C90" w14:textId="77777777" w:rsid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This component is currently disabled because it requires an appropriate administrative-level polygon shapefile. The available DHS geographic data provide cluster locations but do not yet provide the required administrative boundary polygons.</w:t>
      </w:r>
    </w:p>
    <w:p w14:paraId="4576E618" w14:textId="1F5F90E3" w:rsidR="001C2B80" w:rsidRDefault="001C2B80" w:rsidP="00A049B3">
      <w:pPr>
        <w:spacing w:before="100" w:beforeAutospacing="1" w:after="100" w:afterAutospacing="1" w:line="240" w:lineRule="auto"/>
        <w:rPr>
          <w:rFonts w:ascii="Times New Roman" w:eastAsia="Times New Roman" w:hAnsi="Times New Roman" w:cs="Times New Roman"/>
          <w:kern w:val="0"/>
          <w14:ligatures w14:val="none"/>
        </w:rPr>
      </w:pPr>
      <w:r w:rsidRPr="001C2B80">
        <w:rPr>
          <w:rFonts w:ascii="Times New Roman" w:eastAsia="Times New Roman" w:hAnsi="Times New Roman" w:cs="Times New Roman"/>
          <w:kern w:val="0"/>
          <w:highlight w:val="yellow"/>
          <w14:ligatures w14:val="none"/>
        </w:rPr>
        <w:t>Methodology</w:t>
      </w:r>
    </w:p>
    <w:p w14:paraId="0A40F380" w14:textId="042D2226" w:rsidR="001C2B80" w:rsidRDefault="001C2B80" w:rsidP="00A049B3">
      <w:pPr>
        <w:spacing w:before="100" w:beforeAutospacing="1" w:after="100" w:afterAutospacing="1" w:line="240" w:lineRule="auto"/>
        <w:rPr>
          <w:rFonts w:ascii="Times New Roman" w:eastAsia="Times New Roman" w:hAnsi="Times New Roman" w:cs="Times New Roman"/>
          <w:kern w:val="0"/>
          <w14:ligatures w14:val="none"/>
        </w:rPr>
      </w:pPr>
      <w:r w:rsidRPr="001C2B80">
        <w:rPr>
          <w:rFonts w:ascii="Times New Roman" w:eastAsia="Times New Roman" w:hAnsi="Times New Roman" w:cs="Times New Roman"/>
          <w:kern w:val="0"/>
          <w14:ligatures w14:val="none"/>
        </w:rPr>
        <w:lastRenderedPageBreak/>
        <w:drawing>
          <wp:inline distT="0" distB="0" distL="0" distR="0" wp14:anchorId="5283AF3F" wp14:editId="4740FCAF">
            <wp:extent cx="5943600" cy="5974080"/>
            <wp:effectExtent l="0" t="0" r="0" b="0"/>
            <wp:docPr id="95831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16947" name=""/>
                    <pic:cNvPicPr/>
                  </pic:nvPicPr>
                  <pic:blipFill>
                    <a:blip r:embed="rId6"/>
                    <a:stretch>
                      <a:fillRect/>
                    </a:stretch>
                  </pic:blipFill>
                  <pic:spPr>
                    <a:xfrm>
                      <a:off x="0" y="0"/>
                      <a:ext cx="5943600" cy="5974080"/>
                    </a:xfrm>
                    <a:prstGeom prst="rect">
                      <a:avLst/>
                    </a:prstGeom>
                  </pic:spPr>
                </pic:pic>
              </a:graphicData>
            </a:graphic>
          </wp:inline>
        </w:drawing>
      </w:r>
    </w:p>
    <w:p w14:paraId="33AB88C5" w14:textId="257F5226" w:rsidR="001C2B80" w:rsidRPr="00A049B3" w:rsidRDefault="001C2B80" w:rsidP="00A049B3">
      <w:pPr>
        <w:spacing w:before="100" w:beforeAutospacing="1" w:after="100" w:afterAutospacing="1" w:line="240" w:lineRule="auto"/>
        <w:rPr>
          <w:rFonts w:ascii="Times New Roman" w:eastAsia="Times New Roman" w:hAnsi="Times New Roman" w:cs="Times New Roman"/>
          <w:kern w:val="0"/>
          <w14:ligatures w14:val="none"/>
        </w:rPr>
      </w:pPr>
      <w:r w:rsidRPr="001C2B80">
        <w:rPr>
          <w:rFonts w:ascii="Times New Roman" w:eastAsia="Times New Roman" w:hAnsi="Times New Roman" w:cs="Times New Roman"/>
          <w:kern w:val="0"/>
          <w14:ligatures w14:val="none"/>
        </w:rPr>
        <w:lastRenderedPageBreak/>
        <w:drawing>
          <wp:inline distT="0" distB="0" distL="0" distR="0" wp14:anchorId="207F4563" wp14:editId="329ABF9A">
            <wp:extent cx="5943600" cy="3924935"/>
            <wp:effectExtent l="0" t="0" r="0" b="0"/>
            <wp:docPr id="116619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97931" name=""/>
                    <pic:cNvPicPr/>
                  </pic:nvPicPr>
                  <pic:blipFill>
                    <a:blip r:embed="rId7"/>
                    <a:stretch>
                      <a:fillRect/>
                    </a:stretch>
                  </pic:blipFill>
                  <pic:spPr>
                    <a:xfrm>
                      <a:off x="0" y="0"/>
                      <a:ext cx="5943600" cy="3924935"/>
                    </a:xfrm>
                    <a:prstGeom prst="rect">
                      <a:avLst/>
                    </a:prstGeom>
                  </pic:spPr>
                </pic:pic>
              </a:graphicData>
            </a:graphic>
          </wp:inline>
        </w:drawing>
      </w:r>
    </w:p>
    <w:p w14:paraId="00FBD031" w14:textId="77777777" w:rsidR="00A049B3" w:rsidRPr="00A049B3" w:rsidRDefault="00A049B3" w:rsidP="00A049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49B3">
        <w:rPr>
          <w:rFonts w:ascii="Times New Roman" w:eastAsia="Times New Roman" w:hAnsi="Times New Roman" w:cs="Times New Roman"/>
          <w:b/>
          <w:bCs/>
          <w:kern w:val="0"/>
          <w:sz w:val="36"/>
          <w:szCs w:val="36"/>
          <w14:ligatures w14:val="none"/>
        </w:rPr>
        <w:t>5. Lexis Heatmap and Changepoint Detection</w:t>
      </w:r>
    </w:p>
    <w:p w14:paraId="576E8D0A"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A Lexis heatmap presents FGM risk across age and birth cohort in a single age–cohort surface. This helps identify differences in FGM timing between generations and age groups.</w:t>
      </w:r>
    </w:p>
    <w:p w14:paraId="47259D0A"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 xml:space="preserve">Changepoint detection is also applied using </w:t>
      </w:r>
      <w:r w:rsidRPr="00A049B3">
        <w:rPr>
          <w:rFonts w:ascii="Courier New" w:eastAsia="Times New Roman" w:hAnsi="Courier New" w:cs="Courier New"/>
          <w:kern w:val="0"/>
          <w:sz w:val="20"/>
          <w:szCs w:val="20"/>
          <w14:ligatures w14:val="none"/>
        </w:rPr>
        <w:t>changepoint::cpt.mean</w:t>
      </w:r>
      <w:r w:rsidRPr="00A049B3">
        <w:rPr>
          <w:rFonts w:ascii="Times New Roman" w:eastAsia="Times New Roman" w:hAnsi="Times New Roman" w:cs="Times New Roman"/>
          <w:kern w:val="0"/>
          <w14:ligatures w14:val="none"/>
        </w:rPr>
        <w:t>. This identifies potential points at which the average level of FGM risk changed substantially.</w:t>
      </w:r>
    </w:p>
    <w:p w14:paraId="090656DD"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The purpose is to move beyond a descriptive conclusion such as “FGM prevalence is declining” and estimate when a meaningful change in the pattern may have started.</w:t>
      </w:r>
    </w:p>
    <w:p w14:paraId="533F01AC" w14:textId="77777777" w:rsidR="00A049B3" w:rsidRPr="00A049B3" w:rsidRDefault="00A049B3" w:rsidP="00A049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49B3">
        <w:rPr>
          <w:rFonts w:ascii="Times New Roman" w:eastAsia="Times New Roman" w:hAnsi="Times New Roman" w:cs="Times New Roman"/>
          <w:b/>
          <w:bCs/>
          <w:kern w:val="0"/>
          <w:sz w:val="36"/>
          <w:szCs w:val="36"/>
          <w14:ligatures w14:val="none"/>
        </w:rPr>
        <w:t>6. Validation and Machine-Learning Cross-Check</w:t>
      </w:r>
    </w:p>
    <w:p w14:paraId="333015D3"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The findings from the different analytical approaches are compared to assess consistency.</w:t>
      </w:r>
    </w:p>
    <w:p w14:paraId="56C22089"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The validation process includes:</w:t>
      </w:r>
    </w:p>
    <w:p w14:paraId="7066FC49" w14:textId="77777777" w:rsidR="00A049B3" w:rsidRPr="00A049B3" w:rsidRDefault="00A049B3" w:rsidP="00A049B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Comparing Kaplan–Meier estimates with model-based hazard estimates;</w:t>
      </w:r>
    </w:p>
    <w:p w14:paraId="39E97887" w14:textId="77777777" w:rsidR="00A049B3" w:rsidRPr="00A049B3" w:rsidRDefault="00A049B3" w:rsidP="00A049B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Comparing results from discrete-time hazard, Cox, and GAM models;</w:t>
      </w:r>
    </w:p>
    <w:p w14:paraId="4CC19E32" w14:textId="77777777" w:rsidR="00A049B3" w:rsidRPr="00A049B3" w:rsidRDefault="00A049B3" w:rsidP="00A049B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Assessing whether the estimated direction of change is consistent across methods; and</w:t>
      </w:r>
    </w:p>
    <w:p w14:paraId="3ADEC51F" w14:textId="77777777" w:rsidR="00A049B3" w:rsidRPr="00A049B3" w:rsidRDefault="00A049B3" w:rsidP="00A049B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Using a Random Survival Forest as an independent, non-parametric cross-check.</w:t>
      </w:r>
    </w:p>
    <w:p w14:paraId="0F3D11C1"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lastRenderedPageBreak/>
        <w:t>The Random Survival Forest model helps assess which covariates are most relevant to FGM timing without imposing the same functional assumptions as the regression models.</w:t>
      </w:r>
    </w:p>
    <w:p w14:paraId="34DEC446" w14:textId="77777777" w:rsidR="00A049B3" w:rsidRPr="00A049B3" w:rsidRDefault="00A049B3" w:rsidP="00A049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49B3">
        <w:rPr>
          <w:rFonts w:ascii="Times New Roman" w:eastAsia="Times New Roman" w:hAnsi="Times New Roman" w:cs="Times New Roman"/>
          <w:b/>
          <w:bCs/>
          <w:kern w:val="0"/>
          <w:sz w:val="36"/>
          <w:szCs w:val="36"/>
          <w14:ligatures w14:val="none"/>
        </w:rPr>
        <w:t>7. Additional Methodological Enhancements</w:t>
      </w:r>
    </w:p>
    <w:p w14:paraId="611C7CE1"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Several improvements were introduced after applying the methodology to real DHS data.</w:t>
      </w:r>
    </w:p>
    <w:p w14:paraId="1CEFC092" w14:textId="77777777" w:rsidR="00A049B3" w:rsidRPr="00A049B3" w:rsidRDefault="00A049B3" w:rsidP="00A049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49B3">
        <w:rPr>
          <w:rFonts w:ascii="Times New Roman" w:eastAsia="Times New Roman" w:hAnsi="Times New Roman" w:cs="Times New Roman"/>
          <w:b/>
          <w:bCs/>
          <w:kern w:val="0"/>
          <w:sz w:val="27"/>
          <w:szCs w:val="27"/>
          <w14:ligatures w14:val="none"/>
        </w:rPr>
        <w:t>7.1 Ethnicity</w:t>
      </w:r>
    </w:p>
    <w:p w14:paraId="34BB6C0B"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Ethnicity was added as a covariate. In Nigeria, the raw ethnicity variable contains approximately 350 categories, many of which have very small sample sizes. To make modelling more stable and interpretable, the analysis retains the largest ethnic groups and combines the remaining categories into an “Other” group.</w:t>
      </w:r>
    </w:p>
    <w:p w14:paraId="152CB505" w14:textId="77777777" w:rsidR="00A049B3" w:rsidRPr="00A049B3" w:rsidRDefault="00A049B3" w:rsidP="00A049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49B3">
        <w:rPr>
          <w:rFonts w:ascii="Times New Roman" w:eastAsia="Times New Roman" w:hAnsi="Times New Roman" w:cs="Times New Roman"/>
          <w:b/>
          <w:bCs/>
          <w:kern w:val="0"/>
          <w:sz w:val="27"/>
          <w:szCs w:val="27"/>
          <w14:ligatures w14:val="none"/>
        </w:rPr>
        <w:t>7.2 Daughters’ Roster Augmentation</w:t>
      </w:r>
    </w:p>
    <w:p w14:paraId="6F293E2E"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The daughters’ roster was used to reconstruct daughters aged 0–14 as separate FGM event records.</w:t>
      </w:r>
    </w:p>
    <w:p w14:paraId="1C4361D9"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This improves the analysis in two ways:</w:t>
      </w:r>
    </w:p>
    <w:p w14:paraId="600D9454" w14:textId="77777777" w:rsidR="00A049B3" w:rsidRPr="00A049B3" w:rsidRDefault="00A049B3" w:rsidP="00A049B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It increases the number of available FGM records; and</w:t>
      </w:r>
    </w:p>
    <w:p w14:paraId="040033D6" w14:textId="77777777" w:rsidR="00A049B3" w:rsidRPr="00A049B3" w:rsidRDefault="00A049B3" w:rsidP="00A049B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It provides more current information for younger birth cohorts.</w:t>
      </w:r>
    </w:p>
    <w:p w14:paraId="16D139A3"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This is important because women’s retrospective self-reports are less informative for recent birth cohorts, particularly when younger girls have not yet had sufficient time to experience FGM. Including daughters’ records therefore strengthens the analysis of more recent patterns.</w:t>
      </w:r>
    </w:p>
    <w:p w14:paraId="739CF216" w14:textId="77777777" w:rsidR="00A049B3" w:rsidRPr="00A049B3" w:rsidRDefault="00A049B3" w:rsidP="00A049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49B3">
        <w:rPr>
          <w:rFonts w:ascii="Times New Roman" w:eastAsia="Times New Roman" w:hAnsi="Times New Roman" w:cs="Times New Roman"/>
          <w:b/>
          <w:bCs/>
          <w:kern w:val="0"/>
          <w:sz w:val="27"/>
          <w:szCs w:val="27"/>
          <w14:ligatures w14:val="none"/>
        </w:rPr>
        <w:t>7.3 Data and Modelling Corrections</w:t>
      </w:r>
    </w:p>
    <w:p w14:paraId="670027F5"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Several technical corrections were identified during the end-to-end application of the methodology. These included:</w:t>
      </w:r>
    </w:p>
    <w:p w14:paraId="0C09C67C" w14:textId="77777777" w:rsidR="00A049B3" w:rsidRPr="00A049B3" w:rsidRDefault="00A049B3" w:rsidP="00A049B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Correctly nesting survey strata across multiple survey rounds;</w:t>
      </w:r>
    </w:p>
    <w:p w14:paraId="6E104CC6" w14:textId="77777777" w:rsidR="00A049B3" w:rsidRPr="00A049B3" w:rsidRDefault="00A049B3" w:rsidP="00A049B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Correcting DHS variable mappings in the original configuration;</w:t>
      </w:r>
    </w:p>
    <w:p w14:paraId="025E3DF2" w14:textId="77777777" w:rsidR="00A049B3" w:rsidRPr="00A049B3" w:rsidRDefault="00A049B3" w:rsidP="00A049B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Resolving formula and data-type issues in the machine-learning cross-check; and</w:t>
      </w:r>
    </w:p>
    <w:p w14:paraId="747B23AF" w14:textId="77777777" w:rsidR="00A049B3" w:rsidRPr="00A049B3" w:rsidRDefault="00A049B3" w:rsidP="00A049B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Improving the handling of missing and invalid event times.</w:t>
      </w:r>
    </w:p>
    <w:p w14:paraId="3314E850"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These corrections improve the reliability, reproducibility, and interpretability of the resulting estimates.</w:t>
      </w:r>
    </w:p>
    <w:p w14:paraId="44211982" w14:textId="77777777" w:rsidR="00A049B3" w:rsidRPr="00A049B3" w:rsidRDefault="00A049B3" w:rsidP="00A049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49B3">
        <w:rPr>
          <w:rFonts w:ascii="Times New Roman" w:eastAsia="Times New Roman" w:hAnsi="Times New Roman" w:cs="Times New Roman"/>
          <w:b/>
          <w:bCs/>
          <w:kern w:val="0"/>
          <w:sz w:val="36"/>
          <w:szCs w:val="36"/>
          <w14:ligatures w14:val="none"/>
        </w:rPr>
        <w:t>Summary</w:t>
      </w:r>
    </w:p>
    <w:p w14:paraId="44DC5EE7"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lastRenderedPageBreak/>
        <w:t>The FGM risk-incidence methodology combines retrospective DHS histories, survival analysis, person-time expansion, survey-weighted regression, spatial modelling, cohort analysis, changepoint detection, and machine-learning validation.</w:t>
      </w:r>
    </w:p>
    <w:p w14:paraId="5531931E" w14:textId="77777777" w:rsidR="00A049B3" w:rsidRPr="00A049B3" w:rsidRDefault="00A049B3" w:rsidP="00A049B3">
      <w:p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The overall objective is to estimate not only how many women have experienced FGM, but also:</w:t>
      </w:r>
    </w:p>
    <w:p w14:paraId="69E5BF83" w14:textId="77777777" w:rsidR="00A049B3" w:rsidRPr="00A049B3" w:rsidRDefault="00A049B3" w:rsidP="00A049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At what ages FGM is most likely to occur;</w:t>
      </w:r>
    </w:p>
    <w:p w14:paraId="2DF0E7B9" w14:textId="77777777" w:rsidR="00A049B3" w:rsidRPr="00A049B3" w:rsidRDefault="00A049B3" w:rsidP="00A049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How risk differs across birth cohorts and regions;</w:t>
      </w:r>
    </w:p>
    <w:p w14:paraId="0DF6639A" w14:textId="77777777" w:rsidR="00A049B3" w:rsidRPr="00A049B3" w:rsidRDefault="00A049B3" w:rsidP="00A049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Whether FGM risk is declining over time;</w:t>
      </w:r>
    </w:p>
    <w:p w14:paraId="4057B1AF" w14:textId="77777777" w:rsidR="00A049B3" w:rsidRPr="00A049B3" w:rsidRDefault="00A049B3" w:rsidP="00A049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When major changes in risk may have occurred; and</w:t>
      </w:r>
    </w:p>
    <w:p w14:paraId="7F485CE3" w14:textId="77777777" w:rsidR="00A049B3" w:rsidRPr="00A049B3" w:rsidRDefault="00A049B3" w:rsidP="00A049B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049B3">
        <w:rPr>
          <w:rFonts w:ascii="Times New Roman" w:eastAsia="Times New Roman" w:hAnsi="Times New Roman" w:cs="Times New Roman"/>
          <w:kern w:val="0"/>
          <w14:ligatures w14:val="none"/>
        </w:rPr>
        <w:t>Which demographic, social, geographic, and cultural factors are associated with the timing of FGM.</w:t>
      </w:r>
    </w:p>
    <w:p w14:paraId="7529C313" w14:textId="77777777" w:rsidR="00E56214" w:rsidRPr="003F40E5" w:rsidRDefault="00E56214" w:rsidP="003F40E5">
      <w:pPr>
        <w:spacing w:before="100" w:beforeAutospacing="1" w:after="100" w:afterAutospacing="1" w:line="240" w:lineRule="auto"/>
        <w:rPr>
          <w:rFonts w:ascii="Times New Roman" w:eastAsia="Times New Roman" w:hAnsi="Times New Roman" w:cs="Times New Roman"/>
          <w:kern w:val="0"/>
          <w14:ligatures w14:val="none"/>
        </w:rPr>
      </w:pPr>
    </w:p>
    <w:p w14:paraId="279407AF" w14:textId="77777777" w:rsidR="003C358E" w:rsidRDefault="003C358E" w:rsidP="003C358E"/>
    <w:p w14:paraId="1ADEFC43" w14:textId="77777777" w:rsidR="00144574" w:rsidRDefault="00144574" w:rsidP="003C358E"/>
    <w:p w14:paraId="1023C286" w14:textId="77777777" w:rsidR="00144574" w:rsidRDefault="00144574" w:rsidP="003C358E"/>
    <w:p w14:paraId="09794A31" w14:textId="77777777" w:rsidR="00144574" w:rsidRPr="00144574" w:rsidRDefault="00144574" w:rsidP="001445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4574">
        <w:rPr>
          <w:rFonts w:ascii="Times New Roman" w:eastAsia="Times New Roman" w:hAnsi="Times New Roman" w:cs="Times New Roman"/>
          <w:b/>
          <w:bCs/>
          <w:kern w:val="0"/>
          <w:sz w:val="36"/>
          <w:szCs w:val="36"/>
          <w14:ligatures w14:val="none"/>
        </w:rPr>
        <w:t>6. Kaplan–Meier Survival Analysis and Estimation of FGM Incidence Risk</w:t>
      </w:r>
    </w:p>
    <w:p w14:paraId="0D1FE650" w14:textId="77777777" w:rsidR="00144574" w:rsidRPr="00144574" w:rsidRDefault="00144574" w:rsidP="001445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4574">
        <w:rPr>
          <w:rFonts w:ascii="Times New Roman" w:eastAsia="Times New Roman" w:hAnsi="Times New Roman" w:cs="Times New Roman"/>
          <w:b/>
          <w:bCs/>
          <w:kern w:val="0"/>
          <w:sz w:val="27"/>
          <w:szCs w:val="27"/>
          <w14:ligatures w14:val="none"/>
        </w:rPr>
        <w:t>6.1 Overview</w:t>
      </w:r>
    </w:p>
    <w:p w14:paraId="1BD33A7F" w14:textId="77777777" w:rsidR="00144574" w:rsidRPr="00144574" w:rsidRDefault="00144574" w:rsidP="00144574">
      <w:pPr>
        <w:spacing w:before="100" w:beforeAutospacing="1" w:after="100" w:afterAutospacing="1"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Sections 6 and 7 use the same underlying Kaplan–Meier model (</w:t>
      </w:r>
      <w:r w:rsidRPr="00144574">
        <w:rPr>
          <w:rFonts w:ascii="Courier New" w:eastAsia="Times New Roman" w:hAnsi="Courier New" w:cs="Courier New"/>
          <w:kern w:val="0"/>
          <w:sz w:val="20"/>
          <w:szCs w:val="20"/>
          <w14:ligatures w14:val="none"/>
        </w:rPr>
        <w:t>km_fit</w:t>
      </w:r>
      <w:r w:rsidRPr="00144574">
        <w:rPr>
          <w:rFonts w:ascii="Times New Roman" w:eastAsia="Times New Roman" w:hAnsi="Times New Roman" w:cs="Times New Roman"/>
          <w:kern w:val="0"/>
          <w14:ligatures w14:val="none"/>
        </w:rPr>
        <w:t>). The distinction between the two sections lies in how the model is used. Section 6 focuses on visualizing survival curves to examine differences in FGM timing across birth cohorts, while Section 7 extracts age-specific risk estimates for reporting and further analysis.</w:t>
      </w:r>
    </w:p>
    <w:p w14:paraId="1177CCCB" w14:textId="77777777" w:rsidR="00144574" w:rsidRPr="00144574" w:rsidRDefault="00144574" w:rsidP="001445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4574">
        <w:rPr>
          <w:rFonts w:ascii="Times New Roman" w:eastAsia="Times New Roman" w:hAnsi="Times New Roman" w:cs="Times New Roman"/>
          <w:b/>
          <w:bCs/>
          <w:kern w:val="0"/>
          <w:sz w:val="27"/>
          <w:szCs w:val="27"/>
          <w14:ligatures w14:val="none"/>
        </w:rPr>
        <w:t>6.2 Section 6: Kaplan–Meier Survival Analysis</w:t>
      </w:r>
    </w:p>
    <w:p w14:paraId="3BF83321" w14:textId="77777777" w:rsidR="00144574" w:rsidRPr="00144574" w:rsidRDefault="00144574" w:rsidP="00144574">
      <w:pPr>
        <w:spacing w:before="100" w:beforeAutospacing="1" w:after="100" w:afterAutospacing="1"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Section 6 fits a Kaplan–Meier survival model stratified by birth cohort using the following specification:</w:t>
      </w:r>
    </w:p>
    <w:p w14:paraId="3BCE5959" w14:textId="77777777" w:rsidR="00144574" w:rsidRPr="00144574" w:rsidRDefault="00144574" w:rsidP="00144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44574">
        <w:rPr>
          <w:rFonts w:ascii="Courier New" w:eastAsia="Times New Roman" w:hAnsi="Courier New" w:cs="Courier New"/>
          <w:kern w:val="0"/>
          <w:sz w:val="20"/>
          <w:szCs w:val="20"/>
          <w14:ligatures w14:val="none"/>
        </w:rPr>
        <w:t>km_fit &lt;- survival::survfit(</w:t>
      </w:r>
    </w:p>
    <w:p w14:paraId="7646756F" w14:textId="77777777" w:rsidR="00144574" w:rsidRPr="00144574" w:rsidRDefault="00144574" w:rsidP="00144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44574">
        <w:rPr>
          <w:rFonts w:ascii="Courier New" w:eastAsia="Times New Roman" w:hAnsi="Courier New" w:cs="Courier New"/>
          <w:kern w:val="0"/>
          <w:sz w:val="20"/>
          <w:szCs w:val="20"/>
          <w14:ligatures w14:val="none"/>
        </w:rPr>
        <w:t xml:space="preserve">  survival::Surv(time, fgm_event) ~ birth_cohort,</w:t>
      </w:r>
    </w:p>
    <w:p w14:paraId="081415D2" w14:textId="77777777" w:rsidR="00144574" w:rsidRPr="00144574" w:rsidRDefault="00144574" w:rsidP="00144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44574">
        <w:rPr>
          <w:rFonts w:ascii="Courier New" w:eastAsia="Times New Roman" w:hAnsi="Courier New" w:cs="Courier New"/>
          <w:kern w:val="0"/>
          <w:sz w:val="20"/>
          <w:szCs w:val="20"/>
          <w14:ligatures w14:val="none"/>
        </w:rPr>
        <w:t xml:space="preserve">  data = fgm_events</w:t>
      </w:r>
    </w:p>
    <w:p w14:paraId="0595BB63" w14:textId="77777777" w:rsidR="00144574" w:rsidRPr="00144574" w:rsidRDefault="00144574" w:rsidP="00144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44574">
        <w:rPr>
          <w:rFonts w:ascii="Courier New" w:eastAsia="Times New Roman" w:hAnsi="Courier New" w:cs="Courier New"/>
          <w:kern w:val="0"/>
          <w:sz w:val="20"/>
          <w:szCs w:val="20"/>
          <w14:ligatures w14:val="none"/>
        </w:rPr>
        <w:t>)</w:t>
      </w:r>
    </w:p>
    <w:p w14:paraId="5C426AE1" w14:textId="77777777" w:rsidR="00144574" w:rsidRPr="00144574" w:rsidRDefault="00144574" w:rsidP="00144574">
      <w:pPr>
        <w:spacing w:before="100" w:beforeAutospacing="1" w:after="100" w:afterAutospacing="1"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The model estimates the probability of remaining free from FGM up to each age, separately for each birth cohort. The resulting survival curves provide a visual representation of differences in the timing of FGM across generations.</w:t>
      </w:r>
    </w:p>
    <w:p w14:paraId="7B0B1021" w14:textId="77777777" w:rsidR="00144574" w:rsidRPr="00144574" w:rsidRDefault="00144574" w:rsidP="00144574">
      <w:pPr>
        <w:spacing w:before="100" w:beforeAutospacing="1" w:after="100" w:afterAutospacing="1"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The Kaplan–Meier curves are useful for assessing:</w:t>
      </w:r>
    </w:p>
    <w:p w14:paraId="7276AC62" w14:textId="77777777" w:rsidR="00144574" w:rsidRPr="00144574" w:rsidRDefault="00144574" w:rsidP="0014457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lastRenderedPageBreak/>
        <w:t>Differences in the timing of FGM across birth cohorts.</w:t>
      </w:r>
    </w:p>
    <w:p w14:paraId="4DC0291B" w14:textId="77777777" w:rsidR="00144574" w:rsidRPr="00144574" w:rsidRDefault="00144574" w:rsidP="0014457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Whether younger birth cohorts exhibit higher probabilities of remaining free from FGM at comparable ages.</w:t>
      </w:r>
    </w:p>
    <w:p w14:paraId="5FF5D43D" w14:textId="77777777" w:rsidR="00144574" w:rsidRPr="00144574" w:rsidRDefault="00144574" w:rsidP="0014457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The overall shape and pattern of FGM risk across the life course.</w:t>
      </w:r>
    </w:p>
    <w:p w14:paraId="74DC036B" w14:textId="77777777" w:rsidR="00144574" w:rsidRPr="00144574" w:rsidRDefault="00144574" w:rsidP="00144574">
      <w:pPr>
        <w:spacing w:before="100" w:beforeAutospacing="1" w:after="100" w:afterAutospacing="1"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However, the survival curve primarily provides a graphical representation of the results. Specific age-related risk estimates must be extracted from the fitted model to produce numerical values suitable for reporting.</w:t>
      </w:r>
    </w:p>
    <w:p w14:paraId="377C2937" w14:textId="77777777" w:rsidR="00144574" w:rsidRPr="00144574" w:rsidRDefault="00144574" w:rsidP="001445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4574">
        <w:rPr>
          <w:rFonts w:ascii="Times New Roman" w:eastAsia="Times New Roman" w:hAnsi="Times New Roman" w:cs="Times New Roman"/>
          <w:b/>
          <w:bCs/>
          <w:kern w:val="0"/>
          <w:sz w:val="27"/>
          <w:szCs w:val="27"/>
          <w14:ligatures w14:val="none"/>
        </w:rPr>
        <w:t>6.3 Section 7: Estimation of FGM Incidence Risk</w:t>
      </w:r>
    </w:p>
    <w:p w14:paraId="3145FADF" w14:textId="77777777" w:rsidR="00144574" w:rsidRPr="00144574" w:rsidRDefault="00144574" w:rsidP="00144574">
      <w:pPr>
        <w:spacing w:before="100" w:beforeAutospacing="1" w:after="100" w:afterAutospacing="1"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Section 7 uses the same fitted Kaplan–Meier model (</w:t>
      </w:r>
      <w:r w:rsidRPr="00144574">
        <w:rPr>
          <w:rFonts w:ascii="Courier New" w:eastAsia="Times New Roman" w:hAnsi="Courier New" w:cs="Courier New"/>
          <w:kern w:val="0"/>
          <w:sz w:val="20"/>
          <w:szCs w:val="20"/>
          <w14:ligatures w14:val="none"/>
        </w:rPr>
        <w:t>km_fit</w:t>
      </w:r>
      <w:r w:rsidRPr="00144574">
        <w:rPr>
          <w:rFonts w:ascii="Times New Roman" w:eastAsia="Times New Roman" w:hAnsi="Times New Roman" w:cs="Times New Roman"/>
          <w:kern w:val="0"/>
          <w14:ligatures w14:val="none"/>
        </w:rPr>
        <w:t>) to obtain survival estimates at selected reference ages. The reference ages are defined as:</w:t>
      </w:r>
    </w:p>
    <w:p w14:paraId="64B61952" w14:textId="77777777" w:rsidR="00144574" w:rsidRPr="00144574" w:rsidRDefault="00144574" w:rsidP="00144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44574">
        <w:rPr>
          <w:rFonts w:ascii="Courier New" w:eastAsia="Times New Roman" w:hAnsi="Courier New" w:cs="Courier New"/>
          <w:kern w:val="0"/>
          <w:sz w:val="20"/>
          <w:szCs w:val="20"/>
          <w14:ligatures w14:val="none"/>
        </w:rPr>
        <w:t>reference_ages &lt;- c(1, 2, 5, 8, 10, 15, 18)</w:t>
      </w:r>
    </w:p>
    <w:p w14:paraId="38F6569A" w14:textId="77777777" w:rsidR="00144574" w:rsidRPr="00144574" w:rsidRDefault="00144574" w:rsidP="00144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65166E" w14:textId="77777777" w:rsidR="00144574" w:rsidRPr="00144574" w:rsidRDefault="00144574" w:rsidP="00144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44574">
        <w:rPr>
          <w:rFonts w:ascii="Courier New" w:eastAsia="Times New Roman" w:hAnsi="Courier New" w:cs="Courier New"/>
          <w:kern w:val="0"/>
          <w:sz w:val="20"/>
          <w:szCs w:val="20"/>
          <w14:ligatures w14:val="none"/>
        </w:rPr>
        <w:t>risk_table &lt;- summary(</w:t>
      </w:r>
    </w:p>
    <w:p w14:paraId="0A1A548E" w14:textId="77777777" w:rsidR="00144574" w:rsidRPr="00144574" w:rsidRDefault="00144574" w:rsidP="00144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44574">
        <w:rPr>
          <w:rFonts w:ascii="Courier New" w:eastAsia="Times New Roman" w:hAnsi="Courier New" w:cs="Courier New"/>
          <w:kern w:val="0"/>
          <w:sz w:val="20"/>
          <w:szCs w:val="20"/>
          <w14:ligatures w14:val="none"/>
        </w:rPr>
        <w:t xml:space="preserve">  km_fit,</w:t>
      </w:r>
    </w:p>
    <w:p w14:paraId="2F2A6FDA" w14:textId="77777777" w:rsidR="00144574" w:rsidRPr="00144574" w:rsidRDefault="00144574" w:rsidP="00144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44574">
        <w:rPr>
          <w:rFonts w:ascii="Courier New" w:eastAsia="Times New Roman" w:hAnsi="Courier New" w:cs="Courier New"/>
          <w:kern w:val="0"/>
          <w:sz w:val="20"/>
          <w:szCs w:val="20"/>
          <w14:ligatures w14:val="none"/>
        </w:rPr>
        <w:t xml:space="preserve">  times = reference_ages,</w:t>
      </w:r>
    </w:p>
    <w:p w14:paraId="0A11D4BE" w14:textId="77777777" w:rsidR="00144574" w:rsidRPr="00144574" w:rsidRDefault="00144574" w:rsidP="00144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44574">
        <w:rPr>
          <w:rFonts w:ascii="Courier New" w:eastAsia="Times New Roman" w:hAnsi="Courier New" w:cs="Courier New"/>
          <w:kern w:val="0"/>
          <w:sz w:val="20"/>
          <w:szCs w:val="20"/>
          <w14:ligatures w14:val="none"/>
        </w:rPr>
        <w:t xml:space="preserve">  extend = TRUE</w:t>
      </w:r>
    </w:p>
    <w:p w14:paraId="691B28A1" w14:textId="77777777" w:rsidR="00144574" w:rsidRPr="00144574" w:rsidRDefault="00144574" w:rsidP="00144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44574">
        <w:rPr>
          <w:rFonts w:ascii="Courier New" w:eastAsia="Times New Roman" w:hAnsi="Courier New" w:cs="Courier New"/>
          <w:kern w:val="0"/>
          <w:sz w:val="20"/>
          <w:szCs w:val="20"/>
          <w14:ligatures w14:val="none"/>
        </w:rPr>
        <w:t>)</w:t>
      </w:r>
    </w:p>
    <w:p w14:paraId="51F29DC0" w14:textId="77777777" w:rsidR="00144574" w:rsidRPr="00144574" w:rsidRDefault="00144574" w:rsidP="00144574">
      <w:pPr>
        <w:spacing w:before="100" w:beforeAutospacing="1" w:after="100" w:afterAutospacing="1"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These ages represent key reporting milestones for examining the timing of FGM. In particular, age 5 is a useful reference point for comparing early childhood FGM risk across birth cohorts.</w:t>
      </w:r>
    </w:p>
    <w:p w14:paraId="639AB2DA" w14:textId="77777777" w:rsidR="00144574" w:rsidRPr="00144574" w:rsidRDefault="00144574" w:rsidP="00144574">
      <w:pPr>
        <w:spacing w:before="100" w:beforeAutospacing="1" w:after="100" w:afterAutospacing="1"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The extracted survival estimates are converted into cumulative FGM risk using the relationship:</w:t>
      </w:r>
    </w:p>
    <w:p w14:paraId="40CC48CF" w14:textId="77777777" w:rsidR="00144574" w:rsidRPr="00144574" w:rsidRDefault="00144574" w:rsidP="00144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44574">
        <w:rPr>
          <w:rFonts w:ascii="Courier New" w:eastAsia="Times New Roman" w:hAnsi="Courier New" w:cs="Courier New"/>
          <w:kern w:val="0"/>
          <w:sz w:val="20"/>
          <w:szCs w:val="20"/>
          <w14:ligatures w14:val="none"/>
        </w:rPr>
        <w:t>fgm_risk = 1 - survival</w:t>
      </w:r>
    </w:p>
    <w:p w14:paraId="78121173" w14:textId="77777777" w:rsidR="00144574" w:rsidRPr="00144574" w:rsidRDefault="00144574" w:rsidP="00144574">
      <w:pPr>
        <w:spacing w:before="100" w:beforeAutospacing="1" w:after="100" w:afterAutospacing="1"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Where:</w:t>
      </w:r>
    </w:p>
    <w:p w14:paraId="68346A54" w14:textId="77777777" w:rsidR="00144574" w:rsidRPr="00144574" w:rsidRDefault="00144574" w:rsidP="0014457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44574">
        <w:rPr>
          <w:rFonts w:ascii="Courier New" w:eastAsia="Times New Roman" w:hAnsi="Courier New" w:cs="Courier New"/>
          <w:kern w:val="0"/>
          <w:sz w:val="20"/>
          <w:szCs w:val="20"/>
          <w14:ligatures w14:val="none"/>
        </w:rPr>
        <w:t>survival</w:t>
      </w:r>
      <w:r w:rsidRPr="00144574">
        <w:rPr>
          <w:rFonts w:ascii="Times New Roman" w:eastAsia="Times New Roman" w:hAnsi="Times New Roman" w:cs="Times New Roman"/>
          <w:kern w:val="0"/>
          <w14:ligatures w14:val="none"/>
        </w:rPr>
        <w:t xml:space="preserve"> represents the estimated probability of remaining free from FGM by a given age.</w:t>
      </w:r>
    </w:p>
    <w:p w14:paraId="3DDFF49A" w14:textId="77777777" w:rsidR="00144574" w:rsidRPr="00144574" w:rsidRDefault="00144574" w:rsidP="0014457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44574">
        <w:rPr>
          <w:rFonts w:ascii="Courier New" w:eastAsia="Times New Roman" w:hAnsi="Courier New" w:cs="Courier New"/>
          <w:kern w:val="0"/>
          <w:sz w:val="20"/>
          <w:szCs w:val="20"/>
          <w14:ligatures w14:val="none"/>
        </w:rPr>
        <w:t>fgm_risk</w:t>
      </w:r>
      <w:r w:rsidRPr="00144574">
        <w:rPr>
          <w:rFonts w:ascii="Times New Roman" w:eastAsia="Times New Roman" w:hAnsi="Times New Roman" w:cs="Times New Roman"/>
          <w:kern w:val="0"/>
          <w14:ligatures w14:val="none"/>
        </w:rPr>
        <w:t xml:space="preserve"> represents the estimated probability of having experienced FGM by that age.</w:t>
      </w:r>
    </w:p>
    <w:p w14:paraId="53B79ADA" w14:textId="77777777" w:rsidR="00144574" w:rsidRPr="00144574" w:rsidRDefault="00144574" w:rsidP="00144574">
      <w:pPr>
        <w:spacing w:before="100" w:beforeAutospacing="1" w:after="100" w:afterAutospacing="1"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Confidence intervals are also obtained and transformed accordingly to provide the lower and upper bounds of the estimated cumulative risk.</w:t>
      </w:r>
    </w:p>
    <w:p w14:paraId="45BC6E0B" w14:textId="77777777" w:rsidR="00144574" w:rsidRPr="00144574" w:rsidRDefault="00144574" w:rsidP="001445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4574">
        <w:rPr>
          <w:rFonts w:ascii="Times New Roman" w:eastAsia="Times New Roman" w:hAnsi="Times New Roman" w:cs="Times New Roman"/>
          <w:b/>
          <w:bCs/>
          <w:kern w:val="0"/>
          <w:sz w:val="27"/>
          <w:szCs w:val="27"/>
          <w14:ligatures w14:val="none"/>
        </w:rPr>
        <w:t>6.4 Differences Between Sections 6 and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3433"/>
        <w:gridCol w:w="4162"/>
      </w:tblGrid>
      <w:tr w:rsidR="00144574" w:rsidRPr="00144574" w14:paraId="055127C5" w14:textId="77777777">
        <w:trPr>
          <w:tblHeader/>
          <w:tblCellSpacing w:w="15" w:type="dxa"/>
        </w:trPr>
        <w:tc>
          <w:tcPr>
            <w:tcW w:w="0" w:type="auto"/>
            <w:vAlign w:val="center"/>
            <w:hideMark/>
          </w:tcPr>
          <w:p w14:paraId="68D67575" w14:textId="77777777" w:rsidR="00144574" w:rsidRPr="00144574" w:rsidRDefault="00144574" w:rsidP="00144574">
            <w:pPr>
              <w:spacing w:after="0" w:line="240" w:lineRule="auto"/>
              <w:jc w:val="center"/>
              <w:rPr>
                <w:rFonts w:ascii="Times New Roman" w:eastAsia="Times New Roman" w:hAnsi="Times New Roman" w:cs="Times New Roman"/>
                <w:b/>
                <w:bCs/>
                <w:kern w:val="0"/>
                <w14:ligatures w14:val="none"/>
              </w:rPr>
            </w:pPr>
            <w:r w:rsidRPr="00144574">
              <w:rPr>
                <w:rFonts w:ascii="Times New Roman" w:eastAsia="Times New Roman" w:hAnsi="Times New Roman" w:cs="Times New Roman"/>
                <w:b/>
                <w:bCs/>
                <w:kern w:val="0"/>
                <w14:ligatures w14:val="none"/>
              </w:rPr>
              <w:t>Characteristic</w:t>
            </w:r>
          </w:p>
        </w:tc>
        <w:tc>
          <w:tcPr>
            <w:tcW w:w="0" w:type="auto"/>
            <w:vAlign w:val="center"/>
            <w:hideMark/>
          </w:tcPr>
          <w:p w14:paraId="06650511" w14:textId="77777777" w:rsidR="00144574" w:rsidRPr="00144574" w:rsidRDefault="00144574" w:rsidP="00144574">
            <w:pPr>
              <w:spacing w:after="0" w:line="240" w:lineRule="auto"/>
              <w:jc w:val="center"/>
              <w:rPr>
                <w:rFonts w:ascii="Times New Roman" w:eastAsia="Times New Roman" w:hAnsi="Times New Roman" w:cs="Times New Roman"/>
                <w:b/>
                <w:bCs/>
                <w:kern w:val="0"/>
                <w14:ligatures w14:val="none"/>
              </w:rPr>
            </w:pPr>
            <w:r w:rsidRPr="00144574">
              <w:rPr>
                <w:rFonts w:ascii="Times New Roman" w:eastAsia="Times New Roman" w:hAnsi="Times New Roman" w:cs="Times New Roman"/>
                <w:b/>
                <w:bCs/>
                <w:kern w:val="0"/>
                <w14:ligatures w14:val="none"/>
              </w:rPr>
              <w:t>Section 6: Kaplan–Meier Baseline</w:t>
            </w:r>
          </w:p>
        </w:tc>
        <w:tc>
          <w:tcPr>
            <w:tcW w:w="0" w:type="auto"/>
            <w:vAlign w:val="center"/>
            <w:hideMark/>
          </w:tcPr>
          <w:p w14:paraId="6C7FFE71" w14:textId="77777777" w:rsidR="00144574" w:rsidRPr="00144574" w:rsidRDefault="00144574" w:rsidP="00144574">
            <w:pPr>
              <w:spacing w:after="0" w:line="240" w:lineRule="auto"/>
              <w:jc w:val="center"/>
              <w:rPr>
                <w:rFonts w:ascii="Times New Roman" w:eastAsia="Times New Roman" w:hAnsi="Times New Roman" w:cs="Times New Roman"/>
                <w:b/>
                <w:bCs/>
                <w:kern w:val="0"/>
                <w14:ligatures w14:val="none"/>
              </w:rPr>
            </w:pPr>
            <w:r w:rsidRPr="00144574">
              <w:rPr>
                <w:rFonts w:ascii="Times New Roman" w:eastAsia="Times New Roman" w:hAnsi="Times New Roman" w:cs="Times New Roman"/>
                <w:b/>
                <w:bCs/>
                <w:kern w:val="0"/>
                <w14:ligatures w14:val="none"/>
              </w:rPr>
              <w:t>Section 7: Estimate FGM Incidence Risk</w:t>
            </w:r>
          </w:p>
        </w:tc>
      </w:tr>
      <w:tr w:rsidR="00144574" w:rsidRPr="00144574" w14:paraId="5EE2D19F" w14:textId="77777777">
        <w:trPr>
          <w:tblCellSpacing w:w="15" w:type="dxa"/>
        </w:trPr>
        <w:tc>
          <w:tcPr>
            <w:tcW w:w="0" w:type="auto"/>
            <w:vAlign w:val="center"/>
            <w:hideMark/>
          </w:tcPr>
          <w:p w14:paraId="156F67A4"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Model used</w:t>
            </w:r>
          </w:p>
        </w:tc>
        <w:tc>
          <w:tcPr>
            <w:tcW w:w="0" w:type="auto"/>
            <w:vAlign w:val="center"/>
            <w:hideMark/>
          </w:tcPr>
          <w:p w14:paraId="6DE7C575"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Courier New" w:eastAsia="Times New Roman" w:hAnsi="Courier New" w:cs="Courier New"/>
                <w:kern w:val="0"/>
                <w:sz w:val="20"/>
                <w:szCs w:val="20"/>
                <w14:ligatures w14:val="none"/>
              </w:rPr>
              <w:t>km_fit</w:t>
            </w:r>
          </w:p>
        </w:tc>
        <w:tc>
          <w:tcPr>
            <w:tcW w:w="0" w:type="auto"/>
            <w:vAlign w:val="center"/>
            <w:hideMark/>
          </w:tcPr>
          <w:p w14:paraId="6F8F1343"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 xml:space="preserve">Same </w:t>
            </w:r>
            <w:r w:rsidRPr="00144574">
              <w:rPr>
                <w:rFonts w:ascii="Courier New" w:eastAsia="Times New Roman" w:hAnsi="Courier New" w:cs="Courier New"/>
                <w:kern w:val="0"/>
                <w:sz w:val="20"/>
                <w:szCs w:val="20"/>
                <w14:ligatures w14:val="none"/>
              </w:rPr>
              <w:t>km_fit</w:t>
            </w:r>
            <w:r w:rsidRPr="00144574">
              <w:rPr>
                <w:rFonts w:ascii="Times New Roman" w:eastAsia="Times New Roman" w:hAnsi="Times New Roman" w:cs="Times New Roman"/>
                <w:kern w:val="0"/>
                <w14:ligatures w14:val="none"/>
              </w:rPr>
              <w:t xml:space="preserve"> object</w:t>
            </w:r>
          </w:p>
        </w:tc>
      </w:tr>
      <w:tr w:rsidR="00144574" w:rsidRPr="00144574" w14:paraId="61505B30" w14:textId="77777777">
        <w:trPr>
          <w:tblCellSpacing w:w="15" w:type="dxa"/>
        </w:trPr>
        <w:tc>
          <w:tcPr>
            <w:tcW w:w="0" w:type="auto"/>
            <w:vAlign w:val="center"/>
            <w:hideMark/>
          </w:tcPr>
          <w:p w14:paraId="3E90AA56"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Main purpose</w:t>
            </w:r>
          </w:p>
        </w:tc>
        <w:tc>
          <w:tcPr>
            <w:tcW w:w="0" w:type="auto"/>
            <w:vAlign w:val="center"/>
            <w:hideMark/>
          </w:tcPr>
          <w:p w14:paraId="4EE37C75"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Visualize survival patterns</w:t>
            </w:r>
          </w:p>
        </w:tc>
        <w:tc>
          <w:tcPr>
            <w:tcW w:w="0" w:type="auto"/>
            <w:vAlign w:val="center"/>
            <w:hideMark/>
          </w:tcPr>
          <w:p w14:paraId="082A7ED5"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Extract numerical risk estimates</w:t>
            </w:r>
          </w:p>
        </w:tc>
      </w:tr>
      <w:tr w:rsidR="00144574" w:rsidRPr="00144574" w14:paraId="255E3BE4" w14:textId="77777777">
        <w:trPr>
          <w:tblCellSpacing w:w="15" w:type="dxa"/>
        </w:trPr>
        <w:tc>
          <w:tcPr>
            <w:tcW w:w="0" w:type="auto"/>
            <w:vAlign w:val="center"/>
            <w:hideMark/>
          </w:tcPr>
          <w:p w14:paraId="62C727E9"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Output</w:t>
            </w:r>
          </w:p>
        </w:tc>
        <w:tc>
          <w:tcPr>
            <w:tcW w:w="0" w:type="auto"/>
            <w:vAlign w:val="center"/>
            <w:hideMark/>
          </w:tcPr>
          <w:p w14:paraId="0D530FEE"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Kaplan–Meier survival curves</w:t>
            </w:r>
          </w:p>
        </w:tc>
        <w:tc>
          <w:tcPr>
            <w:tcW w:w="0" w:type="auto"/>
            <w:vAlign w:val="center"/>
            <w:hideMark/>
          </w:tcPr>
          <w:p w14:paraId="4696E1B8"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Age-specific risk table</w:t>
            </w:r>
          </w:p>
        </w:tc>
      </w:tr>
      <w:tr w:rsidR="00144574" w:rsidRPr="00144574" w14:paraId="45062E3C" w14:textId="77777777">
        <w:trPr>
          <w:tblCellSpacing w:w="15" w:type="dxa"/>
        </w:trPr>
        <w:tc>
          <w:tcPr>
            <w:tcW w:w="0" w:type="auto"/>
            <w:vAlign w:val="center"/>
            <w:hideMark/>
          </w:tcPr>
          <w:p w14:paraId="2B2C70D2"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lastRenderedPageBreak/>
              <w:t>Age representation</w:t>
            </w:r>
          </w:p>
        </w:tc>
        <w:tc>
          <w:tcPr>
            <w:tcW w:w="0" w:type="auto"/>
            <w:vAlign w:val="center"/>
            <w:hideMark/>
          </w:tcPr>
          <w:p w14:paraId="62F0FDB5"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Continuous survival curve across observed ages</w:t>
            </w:r>
          </w:p>
        </w:tc>
        <w:tc>
          <w:tcPr>
            <w:tcW w:w="0" w:type="auto"/>
            <w:vAlign w:val="center"/>
            <w:hideMark/>
          </w:tcPr>
          <w:p w14:paraId="5241E54A"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Selected reference ages: 1, 2, 5, 8, 10, 15, and 18</w:t>
            </w:r>
          </w:p>
        </w:tc>
      </w:tr>
      <w:tr w:rsidR="00144574" w:rsidRPr="00144574" w14:paraId="3073C45B" w14:textId="77777777">
        <w:trPr>
          <w:tblCellSpacing w:w="15" w:type="dxa"/>
        </w:trPr>
        <w:tc>
          <w:tcPr>
            <w:tcW w:w="0" w:type="auto"/>
            <w:vAlign w:val="center"/>
            <w:hideMark/>
          </w:tcPr>
          <w:p w14:paraId="19289249"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Main measure</w:t>
            </w:r>
          </w:p>
        </w:tc>
        <w:tc>
          <w:tcPr>
            <w:tcW w:w="0" w:type="auto"/>
            <w:vAlign w:val="center"/>
            <w:hideMark/>
          </w:tcPr>
          <w:p w14:paraId="4480AFDE"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Probability of remaining free from FGM</w:t>
            </w:r>
          </w:p>
        </w:tc>
        <w:tc>
          <w:tcPr>
            <w:tcW w:w="0" w:type="auto"/>
            <w:vAlign w:val="center"/>
            <w:hideMark/>
          </w:tcPr>
          <w:p w14:paraId="17E7BE14"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Probability of having experienced FGM by a specified age</w:t>
            </w:r>
          </w:p>
        </w:tc>
      </w:tr>
      <w:tr w:rsidR="00144574" w:rsidRPr="00144574" w14:paraId="0844FA03" w14:textId="77777777">
        <w:trPr>
          <w:tblCellSpacing w:w="15" w:type="dxa"/>
        </w:trPr>
        <w:tc>
          <w:tcPr>
            <w:tcW w:w="0" w:type="auto"/>
            <w:vAlign w:val="center"/>
            <w:hideMark/>
          </w:tcPr>
          <w:p w14:paraId="6440AEA6"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Interpretation</w:t>
            </w:r>
          </w:p>
        </w:tc>
        <w:tc>
          <w:tcPr>
            <w:tcW w:w="0" w:type="auto"/>
            <w:vAlign w:val="center"/>
            <w:hideMark/>
          </w:tcPr>
          <w:p w14:paraId="2078FD1C"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Shows the shape of FGM timing differences across birth cohorts</w:t>
            </w:r>
          </w:p>
        </w:tc>
        <w:tc>
          <w:tcPr>
            <w:tcW w:w="0" w:type="auto"/>
            <w:vAlign w:val="center"/>
            <w:hideMark/>
          </w:tcPr>
          <w:p w14:paraId="5C92D6BD"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Provides numerical estimates that can be quoted and compared</w:t>
            </w:r>
          </w:p>
        </w:tc>
      </w:tr>
      <w:tr w:rsidR="00144574" w:rsidRPr="00144574" w14:paraId="06FF6695" w14:textId="77777777">
        <w:trPr>
          <w:tblCellSpacing w:w="15" w:type="dxa"/>
        </w:trPr>
        <w:tc>
          <w:tcPr>
            <w:tcW w:w="0" w:type="auto"/>
            <w:vAlign w:val="center"/>
            <w:hideMark/>
          </w:tcPr>
          <w:p w14:paraId="59380766"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Confidence intervals</w:t>
            </w:r>
          </w:p>
        </w:tc>
        <w:tc>
          <w:tcPr>
            <w:tcW w:w="0" w:type="auto"/>
            <w:vAlign w:val="center"/>
            <w:hideMark/>
          </w:tcPr>
          <w:p w14:paraId="5580CABD"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Displayed as part of the survival-curve estimates, where applicable</w:t>
            </w:r>
          </w:p>
        </w:tc>
        <w:tc>
          <w:tcPr>
            <w:tcW w:w="0" w:type="auto"/>
            <w:vAlign w:val="center"/>
            <w:hideMark/>
          </w:tcPr>
          <w:p w14:paraId="48EEAA13"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 xml:space="preserve">Reported as </w:t>
            </w:r>
            <w:r w:rsidRPr="00144574">
              <w:rPr>
                <w:rFonts w:ascii="Courier New" w:eastAsia="Times New Roman" w:hAnsi="Courier New" w:cs="Courier New"/>
                <w:kern w:val="0"/>
                <w:sz w:val="20"/>
                <w:szCs w:val="20"/>
                <w14:ligatures w14:val="none"/>
              </w:rPr>
              <w:t>lower_ci</w:t>
            </w:r>
            <w:r w:rsidRPr="00144574">
              <w:rPr>
                <w:rFonts w:ascii="Times New Roman" w:eastAsia="Times New Roman" w:hAnsi="Times New Roman" w:cs="Times New Roman"/>
                <w:kern w:val="0"/>
                <w14:ligatures w14:val="none"/>
              </w:rPr>
              <w:t xml:space="preserve"> and </w:t>
            </w:r>
            <w:r w:rsidRPr="00144574">
              <w:rPr>
                <w:rFonts w:ascii="Courier New" w:eastAsia="Times New Roman" w:hAnsi="Courier New" w:cs="Courier New"/>
                <w:kern w:val="0"/>
                <w:sz w:val="20"/>
                <w:szCs w:val="20"/>
                <w14:ligatures w14:val="none"/>
              </w:rPr>
              <w:t>upper_ci</w:t>
            </w:r>
          </w:p>
        </w:tc>
      </w:tr>
      <w:tr w:rsidR="00144574" w:rsidRPr="00144574" w14:paraId="00DC0F14" w14:textId="77777777">
        <w:trPr>
          <w:tblCellSpacing w:w="15" w:type="dxa"/>
        </w:trPr>
        <w:tc>
          <w:tcPr>
            <w:tcW w:w="0" w:type="auto"/>
            <w:vAlign w:val="center"/>
            <w:hideMark/>
          </w:tcPr>
          <w:p w14:paraId="0F0F2724"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Export</w:t>
            </w:r>
          </w:p>
        </w:tc>
        <w:tc>
          <w:tcPr>
            <w:tcW w:w="0" w:type="auto"/>
            <w:vAlign w:val="center"/>
            <w:hideMark/>
          </w:tcPr>
          <w:p w14:paraId="535D4EB8"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Graphical output</w:t>
            </w:r>
          </w:p>
        </w:tc>
        <w:tc>
          <w:tcPr>
            <w:tcW w:w="0" w:type="auto"/>
            <w:vAlign w:val="center"/>
            <w:hideMark/>
          </w:tcPr>
          <w:p w14:paraId="3DA1BCFD" w14:textId="77777777" w:rsidR="00144574" w:rsidRPr="00144574" w:rsidRDefault="00144574" w:rsidP="00144574">
            <w:pPr>
              <w:spacing w:after="0" w:line="240" w:lineRule="auto"/>
              <w:rPr>
                <w:rFonts w:ascii="Times New Roman" w:eastAsia="Times New Roman" w:hAnsi="Times New Roman" w:cs="Times New Roman"/>
                <w:kern w:val="0"/>
                <w14:ligatures w14:val="none"/>
              </w:rPr>
            </w:pPr>
            <w:r w:rsidRPr="00144574">
              <w:rPr>
                <w:rFonts w:ascii="Courier New" w:eastAsia="Times New Roman" w:hAnsi="Courier New" w:cs="Courier New"/>
                <w:kern w:val="0"/>
                <w:sz w:val="20"/>
                <w:szCs w:val="20"/>
                <w14:ligatures w14:val="none"/>
              </w:rPr>
              <w:t>NGA_km_risk_by_age.csv</w:t>
            </w:r>
          </w:p>
        </w:tc>
      </w:tr>
    </w:tbl>
    <w:p w14:paraId="153B2B97" w14:textId="77777777" w:rsidR="00144574" w:rsidRPr="00144574" w:rsidRDefault="00144574" w:rsidP="001445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4574">
        <w:rPr>
          <w:rFonts w:ascii="Times New Roman" w:eastAsia="Times New Roman" w:hAnsi="Times New Roman" w:cs="Times New Roman"/>
          <w:b/>
          <w:bCs/>
          <w:kern w:val="0"/>
          <w:sz w:val="27"/>
          <w:szCs w:val="27"/>
          <w14:ligatures w14:val="none"/>
        </w:rPr>
        <w:t>6.5 Interpretation of the Risk Estimates</w:t>
      </w:r>
    </w:p>
    <w:p w14:paraId="1A03F19D" w14:textId="77777777" w:rsidR="00144574" w:rsidRPr="00144574" w:rsidRDefault="00144574" w:rsidP="00144574">
      <w:pPr>
        <w:spacing w:before="100" w:beforeAutospacing="1" w:after="100" w:afterAutospacing="1"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The risk estimates generated in Section 7 provide a direct way to communicate the cumulative probability of experiencing FGM by selected ages.</w:t>
      </w:r>
    </w:p>
    <w:p w14:paraId="2458C407" w14:textId="77777777" w:rsidR="00144574" w:rsidRPr="00144574" w:rsidRDefault="00144574" w:rsidP="00144574">
      <w:pPr>
        <w:spacing w:before="100" w:beforeAutospacing="1" w:after="100" w:afterAutospacing="1"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For example, an estimate could be reported in the following format:</w:t>
      </w:r>
    </w:p>
    <w:p w14:paraId="7C651446" w14:textId="77777777" w:rsidR="00144574" w:rsidRPr="00144574" w:rsidRDefault="00144574" w:rsidP="00144574">
      <w:pPr>
        <w:spacing w:before="100" w:beforeAutospacing="1" w:after="100" w:afterAutospacing="1"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By age 5, women born between 1990 and 1994 had an estimated 23% cumulative risk of experiencing FGM (95% confidence interval: 19%–27%).</w:t>
      </w:r>
    </w:p>
    <w:p w14:paraId="4CC7ADD0" w14:textId="77777777" w:rsidR="00144574" w:rsidRPr="00144574" w:rsidRDefault="00144574" w:rsidP="00144574">
      <w:pPr>
        <w:spacing w:before="100" w:beforeAutospacing="1" w:after="100" w:afterAutospacing="1"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This type of result is more suitable for inclusion in statistical tables, policy briefs, and narrative reporting than a survival curve alone.</w:t>
      </w:r>
    </w:p>
    <w:p w14:paraId="2363E7B2" w14:textId="77777777" w:rsidR="00144574" w:rsidRPr="00144574" w:rsidRDefault="00144574" w:rsidP="0014457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4574">
        <w:rPr>
          <w:rFonts w:ascii="Times New Roman" w:eastAsia="Times New Roman" w:hAnsi="Times New Roman" w:cs="Times New Roman"/>
          <w:b/>
          <w:bCs/>
          <w:kern w:val="0"/>
          <w:sz w:val="27"/>
          <w:szCs w:val="27"/>
          <w14:ligatures w14:val="none"/>
        </w:rPr>
        <w:t>6.6 Summary</w:t>
      </w:r>
    </w:p>
    <w:p w14:paraId="4ABC570E" w14:textId="77777777" w:rsidR="00144574" w:rsidRPr="00144574" w:rsidRDefault="00144574" w:rsidP="00144574">
      <w:pPr>
        <w:spacing w:before="100" w:beforeAutospacing="1" w:after="100" w:afterAutospacing="1"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Section 6 and Section 7 are complementary components of the same Kaplan–Meier analysis. Section 6 fits and visualizes the survival model, providing an overview of age-specific FGM timing across birth cohorts. Section 7 queries the fitted model at selected reference ages, transforms survival probabilities into cumulative FGM risk, and produces an exportable table with confidence intervals.</w:t>
      </w:r>
    </w:p>
    <w:p w14:paraId="36648130" w14:textId="77777777" w:rsidR="00144574" w:rsidRPr="00144574" w:rsidRDefault="00144574" w:rsidP="00144574">
      <w:pPr>
        <w:spacing w:before="100" w:beforeAutospacing="1" w:after="100" w:afterAutospacing="1" w:line="240" w:lineRule="auto"/>
        <w:rPr>
          <w:rFonts w:ascii="Times New Roman" w:eastAsia="Times New Roman" w:hAnsi="Times New Roman" w:cs="Times New Roman"/>
          <w:kern w:val="0"/>
          <w14:ligatures w14:val="none"/>
        </w:rPr>
      </w:pPr>
      <w:r w:rsidRPr="00144574">
        <w:rPr>
          <w:rFonts w:ascii="Times New Roman" w:eastAsia="Times New Roman" w:hAnsi="Times New Roman" w:cs="Times New Roman"/>
          <w:kern w:val="0"/>
          <w14:ligatures w14:val="none"/>
        </w:rPr>
        <w:t xml:space="preserve">Therefore, neither section represents an entirely separate risk-incidence model. Rather, </w:t>
      </w:r>
      <w:r w:rsidRPr="00144574">
        <w:rPr>
          <w:rFonts w:ascii="Times New Roman" w:eastAsia="Times New Roman" w:hAnsi="Times New Roman" w:cs="Times New Roman"/>
          <w:b/>
          <w:bCs/>
          <w:kern w:val="0"/>
          <w14:ligatures w14:val="none"/>
        </w:rPr>
        <w:t>Section 6 provides the survival analysis and graphical interpretation, while Section 7 extracts the numerical risk estimates used for reporting.</w:t>
      </w:r>
    </w:p>
    <w:p w14:paraId="3106C2E1" w14:textId="77777777" w:rsidR="00CC0739" w:rsidRPr="00CC0739" w:rsidRDefault="00CC0739" w:rsidP="00CC0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0739">
        <w:rPr>
          <w:rFonts w:ascii="Times New Roman" w:eastAsia="Times New Roman" w:hAnsi="Times New Roman" w:cs="Times New Roman"/>
          <w:b/>
          <w:bCs/>
          <w:kern w:val="0"/>
          <w:sz w:val="36"/>
          <w:szCs w:val="36"/>
          <w14:ligatures w14:val="none"/>
        </w:rPr>
        <w:t>8. Multivariable Hazard Models for FGM Risk</w:t>
      </w:r>
    </w:p>
    <w:p w14:paraId="6B6EF219" w14:textId="77777777" w:rsidR="00CC0739" w:rsidRPr="00CC0739" w:rsidRDefault="00CC0739" w:rsidP="00CC0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0739">
        <w:rPr>
          <w:rFonts w:ascii="Times New Roman" w:eastAsia="Times New Roman" w:hAnsi="Times New Roman" w:cs="Times New Roman"/>
          <w:b/>
          <w:bCs/>
          <w:kern w:val="0"/>
          <w:sz w:val="27"/>
          <w:szCs w:val="27"/>
          <w14:ligatures w14:val="none"/>
        </w:rPr>
        <w:t>8.1 Overview</w:t>
      </w:r>
    </w:p>
    <w:p w14:paraId="1A4AAA69"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 xml:space="preserve">Section 8 estimates the factors associated with the timing of female genital mutilation (FGM) using two complementary statistical approaches. Both models address the same substantive </w:t>
      </w:r>
      <w:r w:rsidRPr="00CC0739">
        <w:rPr>
          <w:rFonts w:ascii="Times New Roman" w:eastAsia="Times New Roman" w:hAnsi="Times New Roman" w:cs="Times New Roman"/>
          <w:kern w:val="0"/>
          <w14:ligatures w14:val="none"/>
        </w:rPr>
        <w:lastRenderedPageBreak/>
        <w:t>question: how does the risk of experiencing FGM vary by age, birth cohort, residence, region, ethnicity, and reporting source?</w:t>
      </w:r>
    </w:p>
    <w:p w14:paraId="3D784541"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 models differ in how they account for similarities among women residing in the same sampling cluster. The first approach uses survey-design-based estimation to account for the complex sampling design and obtain appropriate standard errors. The second approach explicitly models unobserved cluster-level heterogeneity through a frailty term.</w:t>
      </w:r>
    </w:p>
    <w:p w14:paraId="4A05908D"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Using two approaches provides a useful robustness assessment. Agreement in the direction and substantive interpretation of the estimated associations can strengthen confidence in the findings. Differences between the models should be examined to understand the influence of clustering, survey design, and model assumptions.</w:t>
      </w:r>
    </w:p>
    <w:p w14:paraId="52874511" w14:textId="77777777" w:rsidR="00CC0739" w:rsidRPr="00CC0739" w:rsidRDefault="00CC0739" w:rsidP="00CC0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0739">
        <w:rPr>
          <w:rFonts w:ascii="Times New Roman" w:eastAsia="Times New Roman" w:hAnsi="Times New Roman" w:cs="Times New Roman"/>
          <w:b/>
          <w:bCs/>
          <w:kern w:val="0"/>
          <w:sz w:val="27"/>
          <w:szCs w:val="27"/>
          <w14:ligatures w14:val="none"/>
        </w:rPr>
        <w:t>8.2 Model Specifications</w:t>
      </w:r>
    </w:p>
    <w:p w14:paraId="2A7180D5" w14:textId="77777777" w:rsidR="00CC0739" w:rsidRPr="00CC0739" w:rsidRDefault="00CC0739" w:rsidP="00CC07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Model 1: Survey-Design-Based Discrete-Time Hazard Regression</w:t>
      </w:r>
    </w:p>
    <w:p w14:paraId="5F68352F"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 xml:space="preserve">The first model, </w:t>
      </w:r>
      <w:r w:rsidRPr="00CC0739">
        <w:rPr>
          <w:rFonts w:ascii="Courier New" w:eastAsia="Times New Roman" w:hAnsi="Courier New" w:cs="Courier New"/>
          <w:kern w:val="0"/>
          <w:sz w:val="20"/>
          <w:szCs w:val="20"/>
          <w14:ligatures w14:val="none"/>
        </w:rPr>
        <w:t>hazard_model_design_based</w:t>
      </w:r>
      <w:r w:rsidRPr="00CC0739">
        <w:rPr>
          <w:rFonts w:ascii="Times New Roman" w:eastAsia="Times New Roman" w:hAnsi="Times New Roman" w:cs="Times New Roman"/>
          <w:kern w:val="0"/>
          <w14:ligatures w14:val="none"/>
        </w:rPr>
        <w:t xml:space="preserve">, is estimated using </w:t>
      </w:r>
      <w:r w:rsidRPr="00CC0739">
        <w:rPr>
          <w:rFonts w:ascii="Courier New" w:eastAsia="Times New Roman" w:hAnsi="Courier New" w:cs="Courier New"/>
          <w:kern w:val="0"/>
          <w:sz w:val="20"/>
          <w:szCs w:val="20"/>
          <w14:ligatures w14:val="none"/>
        </w:rPr>
        <w:t>svyglm()</w:t>
      </w:r>
      <w:r w:rsidRPr="00CC0739">
        <w:rPr>
          <w:rFonts w:ascii="Times New Roman" w:eastAsia="Times New Roman" w:hAnsi="Times New Roman" w:cs="Times New Roman"/>
          <w:kern w:val="0"/>
          <w14:ligatures w14:val="none"/>
        </w:rPr>
        <w:t xml:space="preserve"> with a quasibinomial family. It is fitted to the person-time expanded dataset, where each observation represents an individual at a specific age-year.</w:t>
      </w:r>
    </w:p>
    <w:p w14:paraId="3BCD22B1"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 xml:space="preserve">The outcome variable, </w:t>
      </w:r>
      <w:r w:rsidRPr="00CC0739">
        <w:rPr>
          <w:rFonts w:ascii="Courier New" w:eastAsia="Times New Roman" w:hAnsi="Courier New" w:cs="Courier New"/>
          <w:kern w:val="0"/>
          <w:sz w:val="20"/>
          <w:szCs w:val="20"/>
          <w14:ligatures w14:val="none"/>
        </w:rPr>
        <w:t>event</w:t>
      </w:r>
      <w:r w:rsidRPr="00CC0739">
        <w:rPr>
          <w:rFonts w:ascii="Times New Roman" w:eastAsia="Times New Roman" w:hAnsi="Times New Roman" w:cs="Times New Roman"/>
          <w:kern w:val="0"/>
          <w14:ligatures w14:val="none"/>
        </w:rPr>
        <w:t>, indicates whether FGM occurred during that particular age-year. The model is specified as:</w:t>
      </w:r>
    </w:p>
    <w:p w14:paraId="47B8B93E" w14:textId="77777777" w:rsidR="00CC0739" w:rsidRPr="00CC0739" w:rsidRDefault="00CC0739" w:rsidP="00CC0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0739">
        <w:rPr>
          <w:rFonts w:ascii="Courier New" w:eastAsia="Times New Roman" w:hAnsi="Courier New" w:cs="Courier New"/>
          <w:kern w:val="0"/>
          <w:sz w:val="20"/>
          <w:szCs w:val="20"/>
          <w14:ligatures w14:val="none"/>
        </w:rPr>
        <w:t>hazard_model_design_based &lt;- svyglm(</w:t>
      </w:r>
    </w:p>
    <w:p w14:paraId="14A74A4E" w14:textId="77777777" w:rsidR="00CC0739" w:rsidRPr="00CC0739" w:rsidRDefault="00CC0739" w:rsidP="00CC0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0739">
        <w:rPr>
          <w:rFonts w:ascii="Courier New" w:eastAsia="Times New Roman" w:hAnsi="Courier New" w:cs="Courier New"/>
          <w:kern w:val="0"/>
          <w:sz w:val="20"/>
          <w:szCs w:val="20"/>
          <w14:ligatures w14:val="none"/>
        </w:rPr>
        <w:t xml:space="preserve">  event ~ age_year + birth_cohort + urban_rural +</w:t>
      </w:r>
    </w:p>
    <w:p w14:paraId="70DA5073" w14:textId="77777777" w:rsidR="00CC0739" w:rsidRPr="00CC0739" w:rsidRDefault="00CC0739" w:rsidP="00CC0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0739">
        <w:rPr>
          <w:rFonts w:ascii="Courier New" w:eastAsia="Times New Roman" w:hAnsi="Courier New" w:cs="Courier New"/>
          <w:kern w:val="0"/>
          <w:sz w:val="20"/>
          <w:szCs w:val="20"/>
          <w14:ligatures w14:val="none"/>
        </w:rPr>
        <w:t xml:space="preserve">    region + ethnicity + record_type,</w:t>
      </w:r>
    </w:p>
    <w:p w14:paraId="024D3BE0" w14:textId="77777777" w:rsidR="00CC0739" w:rsidRPr="00CC0739" w:rsidRDefault="00CC0739" w:rsidP="00CC0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0739">
        <w:rPr>
          <w:rFonts w:ascii="Courier New" w:eastAsia="Times New Roman" w:hAnsi="Courier New" w:cs="Courier New"/>
          <w:kern w:val="0"/>
          <w:sz w:val="20"/>
          <w:szCs w:val="20"/>
          <w14:ligatures w14:val="none"/>
        </w:rPr>
        <w:t xml:space="preserve">  design = hazard_design,</w:t>
      </w:r>
    </w:p>
    <w:p w14:paraId="67FEA9A9" w14:textId="77777777" w:rsidR="00CC0739" w:rsidRPr="00CC0739" w:rsidRDefault="00CC0739" w:rsidP="00CC0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0739">
        <w:rPr>
          <w:rFonts w:ascii="Courier New" w:eastAsia="Times New Roman" w:hAnsi="Courier New" w:cs="Courier New"/>
          <w:kern w:val="0"/>
          <w:sz w:val="20"/>
          <w:szCs w:val="20"/>
          <w14:ligatures w14:val="none"/>
        </w:rPr>
        <w:t xml:space="preserve">  family = quasibinomial()</w:t>
      </w:r>
    </w:p>
    <w:p w14:paraId="2FBF9576" w14:textId="77777777" w:rsidR="00CC0739" w:rsidRPr="00CC0739" w:rsidRDefault="00CC0739" w:rsidP="00CC0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0739">
        <w:rPr>
          <w:rFonts w:ascii="Courier New" w:eastAsia="Times New Roman" w:hAnsi="Courier New" w:cs="Courier New"/>
          <w:kern w:val="0"/>
          <w:sz w:val="20"/>
          <w:szCs w:val="20"/>
          <w14:ligatures w14:val="none"/>
        </w:rPr>
        <w:t>)</w:t>
      </w:r>
    </w:p>
    <w:p w14:paraId="63D58AE9"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 survey design is defined as:</w:t>
      </w:r>
    </w:p>
    <w:p w14:paraId="123EEB95" w14:textId="77777777" w:rsidR="00CC0739" w:rsidRPr="00CC0739" w:rsidRDefault="00CC0739" w:rsidP="00CC0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0739">
        <w:rPr>
          <w:rFonts w:ascii="Courier New" w:eastAsia="Times New Roman" w:hAnsi="Courier New" w:cs="Courier New"/>
          <w:kern w:val="0"/>
          <w:sz w:val="20"/>
          <w:szCs w:val="20"/>
          <w14:ligatures w14:val="none"/>
        </w:rPr>
        <w:t>hazard_design &lt;- survey::svydesign(</w:t>
      </w:r>
    </w:p>
    <w:p w14:paraId="12E06BED" w14:textId="77777777" w:rsidR="00CC0739" w:rsidRPr="00CC0739" w:rsidRDefault="00CC0739" w:rsidP="00CC0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0739">
        <w:rPr>
          <w:rFonts w:ascii="Courier New" w:eastAsia="Times New Roman" w:hAnsi="Courier New" w:cs="Courier New"/>
          <w:kern w:val="0"/>
          <w:sz w:val="20"/>
          <w:szCs w:val="20"/>
          <w14:ligatures w14:val="none"/>
        </w:rPr>
        <w:t xml:space="preserve">  ids = ~cluster,</w:t>
      </w:r>
    </w:p>
    <w:p w14:paraId="469930CC" w14:textId="77777777" w:rsidR="00CC0739" w:rsidRPr="00CC0739" w:rsidRDefault="00CC0739" w:rsidP="00CC0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0739">
        <w:rPr>
          <w:rFonts w:ascii="Courier New" w:eastAsia="Times New Roman" w:hAnsi="Courier New" w:cs="Courier New"/>
          <w:kern w:val="0"/>
          <w:sz w:val="20"/>
          <w:szCs w:val="20"/>
          <w14:ligatures w14:val="none"/>
        </w:rPr>
        <w:t xml:space="preserve">  strata = ~interaction(survey_year, region),</w:t>
      </w:r>
    </w:p>
    <w:p w14:paraId="7DF1E9CF" w14:textId="77777777" w:rsidR="00CC0739" w:rsidRPr="00CC0739" w:rsidRDefault="00CC0739" w:rsidP="00CC0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0739">
        <w:rPr>
          <w:rFonts w:ascii="Courier New" w:eastAsia="Times New Roman" w:hAnsi="Courier New" w:cs="Courier New"/>
          <w:kern w:val="0"/>
          <w:sz w:val="20"/>
          <w:szCs w:val="20"/>
          <w14:ligatures w14:val="none"/>
        </w:rPr>
        <w:t xml:space="preserve">  weights = ~weight,</w:t>
      </w:r>
    </w:p>
    <w:p w14:paraId="44A39306" w14:textId="77777777" w:rsidR="00CC0739" w:rsidRPr="00CC0739" w:rsidRDefault="00CC0739" w:rsidP="00CC0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0739">
        <w:rPr>
          <w:rFonts w:ascii="Courier New" w:eastAsia="Times New Roman" w:hAnsi="Courier New" w:cs="Courier New"/>
          <w:kern w:val="0"/>
          <w:sz w:val="20"/>
          <w:szCs w:val="20"/>
          <w14:ligatures w14:val="none"/>
        </w:rPr>
        <w:t xml:space="preserve">  data = hazard_data,</w:t>
      </w:r>
    </w:p>
    <w:p w14:paraId="524C2B83" w14:textId="77777777" w:rsidR="00CC0739" w:rsidRPr="00CC0739" w:rsidRDefault="00CC0739" w:rsidP="00CC0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0739">
        <w:rPr>
          <w:rFonts w:ascii="Courier New" w:eastAsia="Times New Roman" w:hAnsi="Courier New" w:cs="Courier New"/>
          <w:kern w:val="0"/>
          <w:sz w:val="20"/>
          <w:szCs w:val="20"/>
          <w14:ligatures w14:val="none"/>
        </w:rPr>
        <w:t xml:space="preserve">  nest = TRUE</w:t>
      </w:r>
    </w:p>
    <w:p w14:paraId="4F2E34BA" w14:textId="77777777" w:rsidR="00CC0739" w:rsidRPr="00CC0739" w:rsidRDefault="00CC0739" w:rsidP="00CC0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0739">
        <w:rPr>
          <w:rFonts w:ascii="Courier New" w:eastAsia="Times New Roman" w:hAnsi="Courier New" w:cs="Courier New"/>
          <w:kern w:val="0"/>
          <w:sz w:val="20"/>
          <w:szCs w:val="20"/>
          <w14:ligatures w14:val="none"/>
        </w:rPr>
        <w:t>)</w:t>
      </w:r>
    </w:p>
    <w:p w14:paraId="3AA9B23D"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This approach accounts for the complex survey design through sampling clusters, stratification, and survey weights. The resulting standard errors reflect the survey design and are used to assess the statistical significance of the estimated associations.</w:t>
      </w:r>
    </w:p>
    <w:p w14:paraId="1B27B2DE"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 model estimates age-specific FGM hazard on the discrete-time scale. The coefficients are expressed on the log-odds scale because the model uses a quasibinomial link.</w:t>
      </w:r>
    </w:p>
    <w:p w14:paraId="5D05A6EB" w14:textId="77777777" w:rsidR="00CC0739" w:rsidRPr="00CC0739" w:rsidRDefault="00CC0739" w:rsidP="00CC07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lastRenderedPageBreak/>
        <w:t>Model 2: Cox Proportional-Hazards Model with Cluster Frailty</w:t>
      </w:r>
    </w:p>
    <w:p w14:paraId="3CE16F05"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 xml:space="preserve">The second model, </w:t>
      </w:r>
      <w:r w:rsidRPr="00CC0739">
        <w:rPr>
          <w:rFonts w:ascii="Courier New" w:eastAsia="Times New Roman" w:hAnsi="Courier New" w:cs="Courier New"/>
          <w:kern w:val="0"/>
          <w:sz w:val="20"/>
          <w:szCs w:val="20"/>
          <w14:ligatures w14:val="none"/>
        </w:rPr>
        <w:t>hazard_model_frailty</w:t>
      </w:r>
      <w:r w:rsidRPr="00CC0739">
        <w:rPr>
          <w:rFonts w:ascii="Times New Roman" w:eastAsia="Times New Roman" w:hAnsi="Times New Roman" w:cs="Times New Roman"/>
          <w:kern w:val="0"/>
          <w14:ligatures w14:val="none"/>
        </w:rPr>
        <w:t>, is estimated using the Cox proportional-hazards framework with a cluster-level frailty term:</w:t>
      </w:r>
    </w:p>
    <w:p w14:paraId="2F6CF101" w14:textId="77777777" w:rsidR="00CC0739" w:rsidRPr="00CC0739" w:rsidRDefault="00CC0739" w:rsidP="00CC0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0739">
        <w:rPr>
          <w:rFonts w:ascii="Courier New" w:eastAsia="Times New Roman" w:hAnsi="Courier New" w:cs="Courier New"/>
          <w:kern w:val="0"/>
          <w:sz w:val="20"/>
          <w:szCs w:val="20"/>
          <w14:ligatures w14:val="none"/>
        </w:rPr>
        <w:t>hazard_model_frailty &lt;- survival::coxph(</w:t>
      </w:r>
    </w:p>
    <w:p w14:paraId="01667335" w14:textId="77777777" w:rsidR="00CC0739" w:rsidRPr="00CC0739" w:rsidRDefault="00CC0739" w:rsidP="00CC0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0739">
        <w:rPr>
          <w:rFonts w:ascii="Courier New" w:eastAsia="Times New Roman" w:hAnsi="Courier New" w:cs="Courier New"/>
          <w:kern w:val="0"/>
          <w:sz w:val="20"/>
          <w:szCs w:val="20"/>
          <w14:ligatures w14:val="none"/>
        </w:rPr>
        <w:t xml:space="preserve">  survival::Surv(age_year, age_year + 1, event) ~</w:t>
      </w:r>
    </w:p>
    <w:p w14:paraId="525E6270" w14:textId="77777777" w:rsidR="00CC0739" w:rsidRPr="00CC0739" w:rsidRDefault="00CC0739" w:rsidP="00CC0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0739">
        <w:rPr>
          <w:rFonts w:ascii="Courier New" w:eastAsia="Times New Roman" w:hAnsi="Courier New" w:cs="Courier New"/>
          <w:kern w:val="0"/>
          <w:sz w:val="20"/>
          <w:szCs w:val="20"/>
          <w14:ligatures w14:val="none"/>
        </w:rPr>
        <w:t xml:space="preserve">    birth_cohort + urban_rural + region + ethnicity +</w:t>
      </w:r>
    </w:p>
    <w:p w14:paraId="09F346A6" w14:textId="77777777" w:rsidR="00CC0739" w:rsidRPr="00CC0739" w:rsidRDefault="00CC0739" w:rsidP="00CC0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0739">
        <w:rPr>
          <w:rFonts w:ascii="Courier New" w:eastAsia="Times New Roman" w:hAnsi="Courier New" w:cs="Courier New"/>
          <w:kern w:val="0"/>
          <w:sz w:val="20"/>
          <w:szCs w:val="20"/>
          <w14:ligatures w14:val="none"/>
        </w:rPr>
        <w:t xml:space="preserve">    record_type + survival::frailty(cluster),</w:t>
      </w:r>
    </w:p>
    <w:p w14:paraId="54E9F2B8" w14:textId="77777777" w:rsidR="00CC0739" w:rsidRPr="00CC0739" w:rsidRDefault="00CC0739" w:rsidP="00CC0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0739">
        <w:rPr>
          <w:rFonts w:ascii="Courier New" w:eastAsia="Times New Roman" w:hAnsi="Courier New" w:cs="Courier New"/>
          <w:kern w:val="0"/>
          <w:sz w:val="20"/>
          <w:szCs w:val="20"/>
          <w14:ligatures w14:val="none"/>
        </w:rPr>
        <w:t xml:space="preserve">  data = hazard_data</w:t>
      </w:r>
    </w:p>
    <w:p w14:paraId="2E116153" w14:textId="77777777" w:rsidR="00CC0739" w:rsidRPr="00CC0739" w:rsidRDefault="00CC0739" w:rsidP="00CC0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0739">
        <w:rPr>
          <w:rFonts w:ascii="Courier New" w:eastAsia="Times New Roman" w:hAnsi="Courier New" w:cs="Courier New"/>
          <w:kern w:val="0"/>
          <w:sz w:val="20"/>
          <w:szCs w:val="20"/>
          <w14:ligatures w14:val="none"/>
        </w:rPr>
        <w:t>)</w:t>
      </w:r>
    </w:p>
    <w:p w14:paraId="6BCF76E1"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 model explicitly incorporates a random effect for each sampling cluster. The frailty term captures unobserved cluster-level characteristics that may influence FGM risk, such as shared cultural practices, community norms, or other contextual factors not fully explained by the measured covariates.</w:t>
      </w:r>
    </w:p>
    <w:p w14:paraId="11108BC1"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 Cox model estimates relative hazard through hazard ratios. A hazard ratio greater than one indicates a higher instantaneous risk of experiencing FGM, while a hazard ratio below one indicates a lower instantaneous risk, relative to the reference category.</w:t>
      </w:r>
    </w:p>
    <w:p w14:paraId="42CE21E3" w14:textId="77777777" w:rsidR="00CC0739" w:rsidRPr="00CC0739" w:rsidRDefault="00CC0739" w:rsidP="00CC0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0739">
        <w:rPr>
          <w:rFonts w:ascii="Times New Roman" w:eastAsia="Times New Roman" w:hAnsi="Times New Roman" w:cs="Times New Roman"/>
          <w:b/>
          <w:bCs/>
          <w:kern w:val="0"/>
          <w:sz w:val="27"/>
          <w:szCs w:val="27"/>
          <w14:ligatures w14:val="none"/>
        </w:rPr>
        <w:t>8.3 Comparison of the Two Hazard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4013"/>
        <w:gridCol w:w="3674"/>
      </w:tblGrid>
      <w:tr w:rsidR="00CC0739" w:rsidRPr="00CC0739" w14:paraId="02F1ED16" w14:textId="77777777">
        <w:trPr>
          <w:tblHeader/>
          <w:tblCellSpacing w:w="15" w:type="dxa"/>
        </w:trPr>
        <w:tc>
          <w:tcPr>
            <w:tcW w:w="0" w:type="auto"/>
            <w:vAlign w:val="center"/>
            <w:hideMark/>
          </w:tcPr>
          <w:p w14:paraId="78F6D2D5" w14:textId="77777777" w:rsidR="00CC0739" w:rsidRPr="00CC0739" w:rsidRDefault="00CC0739" w:rsidP="00CC0739">
            <w:pPr>
              <w:spacing w:after="0" w:line="240" w:lineRule="auto"/>
              <w:jc w:val="center"/>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Characteristic</w:t>
            </w:r>
          </w:p>
        </w:tc>
        <w:tc>
          <w:tcPr>
            <w:tcW w:w="0" w:type="auto"/>
            <w:vAlign w:val="center"/>
            <w:hideMark/>
          </w:tcPr>
          <w:p w14:paraId="30033F9F" w14:textId="77777777" w:rsidR="00CC0739" w:rsidRPr="00CC0739" w:rsidRDefault="00CC0739" w:rsidP="00CC0739">
            <w:pPr>
              <w:spacing w:after="0" w:line="240" w:lineRule="auto"/>
              <w:jc w:val="center"/>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Model 1: Survey-design-based hazard model</w:t>
            </w:r>
          </w:p>
        </w:tc>
        <w:tc>
          <w:tcPr>
            <w:tcW w:w="0" w:type="auto"/>
            <w:vAlign w:val="center"/>
            <w:hideMark/>
          </w:tcPr>
          <w:p w14:paraId="07AC958D" w14:textId="77777777" w:rsidR="00CC0739" w:rsidRPr="00CC0739" w:rsidRDefault="00CC0739" w:rsidP="00CC0739">
            <w:pPr>
              <w:spacing w:after="0" w:line="240" w:lineRule="auto"/>
              <w:jc w:val="center"/>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Model 2: Cox frailty model</w:t>
            </w:r>
          </w:p>
        </w:tc>
      </w:tr>
      <w:tr w:rsidR="00CC0739" w:rsidRPr="00CC0739" w14:paraId="42CAA3B2" w14:textId="77777777">
        <w:trPr>
          <w:tblCellSpacing w:w="15" w:type="dxa"/>
        </w:trPr>
        <w:tc>
          <w:tcPr>
            <w:tcW w:w="0" w:type="auto"/>
            <w:vAlign w:val="center"/>
            <w:hideMark/>
          </w:tcPr>
          <w:p w14:paraId="16211493"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Model object</w:t>
            </w:r>
          </w:p>
        </w:tc>
        <w:tc>
          <w:tcPr>
            <w:tcW w:w="0" w:type="auto"/>
            <w:vAlign w:val="center"/>
            <w:hideMark/>
          </w:tcPr>
          <w:p w14:paraId="0E1F0BFF"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Courier New" w:eastAsia="Times New Roman" w:hAnsi="Courier New" w:cs="Courier New"/>
                <w:kern w:val="0"/>
                <w:sz w:val="20"/>
                <w:szCs w:val="20"/>
                <w14:ligatures w14:val="none"/>
              </w:rPr>
              <w:t>hazard_model_design_based</w:t>
            </w:r>
          </w:p>
        </w:tc>
        <w:tc>
          <w:tcPr>
            <w:tcW w:w="0" w:type="auto"/>
            <w:vAlign w:val="center"/>
            <w:hideMark/>
          </w:tcPr>
          <w:p w14:paraId="581BEFC8"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Courier New" w:eastAsia="Times New Roman" w:hAnsi="Courier New" w:cs="Courier New"/>
                <w:kern w:val="0"/>
                <w:sz w:val="20"/>
                <w:szCs w:val="20"/>
                <w14:ligatures w14:val="none"/>
              </w:rPr>
              <w:t>hazard_model_frailty</w:t>
            </w:r>
          </w:p>
        </w:tc>
      </w:tr>
      <w:tr w:rsidR="00CC0739" w:rsidRPr="00CC0739" w14:paraId="68AA3365" w14:textId="77777777">
        <w:trPr>
          <w:tblCellSpacing w:w="15" w:type="dxa"/>
        </w:trPr>
        <w:tc>
          <w:tcPr>
            <w:tcW w:w="0" w:type="auto"/>
            <w:vAlign w:val="center"/>
            <w:hideMark/>
          </w:tcPr>
          <w:p w14:paraId="72F6CDE9"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Estimation function</w:t>
            </w:r>
          </w:p>
        </w:tc>
        <w:tc>
          <w:tcPr>
            <w:tcW w:w="0" w:type="auto"/>
            <w:vAlign w:val="center"/>
            <w:hideMark/>
          </w:tcPr>
          <w:p w14:paraId="01465338"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Courier New" w:eastAsia="Times New Roman" w:hAnsi="Courier New" w:cs="Courier New"/>
                <w:kern w:val="0"/>
                <w:sz w:val="20"/>
                <w:szCs w:val="20"/>
                <w14:ligatures w14:val="none"/>
              </w:rPr>
              <w:t>svyglm()</w:t>
            </w:r>
          </w:p>
        </w:tc>
        <w:tc>
          <w:tcPr>
            <w:tcW w:w="0" w:type="auto"/>
            <w:vAlign w:val="center"/>
            <w:hideMark/>
          </w:tcPr>
          <w:p w14:paraId="01F32A4B"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Courier New" w:eastAsia="Times New Roman" w:hAnsi="Courier New" w:cs="Courier New"/>
                <w:kern w:val="0"/>
                <w:sz w:val="20"/>
                <w:szCs w:val="20"/>
                <w14:ligatures w14:val="none"/>
              </w:rPr>
              <w:t>coxph()</w:t>
            </w:r>
          </w:p>
        </w:tc>
      </w:tr>
      <w:tr w:rsidR="00CC0739" w:rsidRPr="00CC0739" w14:paraId="07EC08B2" w14:textId="77777777">
        <w:trPr>
          <w:tblCellSpacing w:w="15" w:type="dxa"/>
        </w:trPr>
        <w:tc>
          <w:tcPr>
            <w:tcW w:w="0" w:type="auto"/>
            <w:vAlign w:val="center"/>
            <w:hideMark/>
          </w:tcPr>
          <w:p w14:paraId="64829F36"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Statistical framework</w:t>
            </w:r>
          </w:p>
        </w:tc>
        <w:tc>
          <w:tcPr>
            <w:tcW w:w="0" w:type="auto"/>
            <w:vAlign w:val="center"/>
            <w:hideMark/>
          </w:tcPr>
          <w:p w14:paraId="0222D355"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Discrete-time hazard regression</w:t>
            </w:r>
          </w:p>
        </w:tc>
        <w:tc>
          <w:tcPr>
            <w:tcW w:w="0" w:type="auto"/>
            <w:vAlign w:val="center"/>
            <w:hideMark/>
          </w:tcPr>
          <w:p w14:paraId="0D1208E6"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Cox proportional-hazards regression</w:t>
            </w:r>
          </w:p>
        </w:tc>
      </w:tr>
      <w:tr w:rsidR="00CC0739" w:rsidRPr="00CC0739" w14:paraId="4A1E9B81" w14:textId="77777777">
        <w:trPr>
          <w:tblCellSpacing w:w="15" w:type="dxa"/>
        </w:trPr>
        <w:tc>
          <w:tcPr>
            <w:tcW w:w="0" w:type="auto"/>
            <w:vAlign w:val="center"/>
            <w:hideMark/>
          </w:tcPr>
          <w:p w14:paraId="0516546C"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Outcome</w:t>
            </w:r>
          </w:p>
        </w:tc>
        <w:tc>
          <w:tcPr>
            <w:tcW w:w="0" w:type="auto"/>
            <w:vAlign w:val="center"/>
            <w:hideMark/>
          </w:tcPr>
          <w:p w14:paraId="44B16D8F"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Courier New" w:eastAsia="Times New Roman" w:hAnsi="Courier New" w:cs="Courier New"/>
                <w:kern w:val="0"/>
                <w:sz w:val="20"/>
                <w:szCs w:val="20"/>
                <w14:ligatures w14:val="none"/>
              </w:rPr>
              <w:t>event</w:t>
            </w:r>
            <w:r w:rsidRPr="00CC0739">
              <w:rPr>
                <w:rFonts w:ascii="Times New Roman" w:eastAsia="Times New Roman" w:hAnsi="Times New Roman" w:cs="Times New Roman"/>
                <w:kern w:val="0"/>
                <w14:ligatures w14:val="none"/>
              </w:rPr>
              <w:t>: FGM occurred during a specific age-year</w:t>
            </w:r>
          </w:p>
        </w:tc>
        <w:tc>
          <w:tcPr>
            <w:tcW w:w="0" w:type="auto"/>
            <w:vAlign w:val="center"/>
            <w:hideMark/>
          </w:tcPr>
          <w:p w14:paraId="65C4CDF8"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FGM event represented through the survival response</w:t>
            </w:r>
          </w:p>
        </w:tc>
      </w:tr>
      <w:tr w:rsidR="00CC0739" w:rsidRPr="00CC0739" w14:paraId="7533B55E" w14:textId="77777777">
        <w:trPr>
          <w:tblCellSpacing w:w="15" w:type="dxa"/>
        </w:trPr>
        <w:tc>
          <w:tcPr>
            <w:tcW w:w="0" w:type="auto"/>
            <w:vAlign w:val="center"/>
            <w:hideMark/>
          </w:tcPr>
          <w:p w14:paraId="134079BC"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Data structure</w:t>
            </w:r>
          </w:p>
        </w:tc>
        <w:tc>
          <w:tcPr>
            <w:tcW w:w="0" w:type="auto"/>
            <w:vAlign w:val="center"/>
            <w:hideMark/>
          </w:tcPr>
          <w:p w14:paraId="2B8ADAEB"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Person-time expanded data</w:t>
            </w:r>
          </w:p>
        </w:tc>
        <w:tc>
          <w:tcPr>
            <w:tcW w:w="0" w:type="auto"/>
            <w:vAlign w:val="center"/>
            <w:hideMark/>
          </w:tcPr>
          <w:p w14:paraId="08FD3700"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Person-time expanded data</w:t>
            </w:r>
          </w:p>
        </w:tc>
      </w:tr>
      <w:tr w:rsidR="00CC0739" w:rsidRPr="00CC0739" w14:paraId="78C63C3E" w14:textId="77777777">
        <w:trPr>
          <w:tblCellSpacing w:w="15" w:type="dxa"/>
        </w:trPr>
        <w:tc>
          <w:tcPr>
            <w:tcW w:w="0" w:type="auto"/>
            <w:vAlign w:val="center"/>
            <w:hideMark/>
          </w:tcPr>
          <w:p w14:paraId="5BC1C418"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Core predictors</w:t>
            </w:r>
          </w:p>
        </w:tc>
        <w:tc>
          <w:tcPr>
            <w:tcW w:w="0" w:type="auto"/>
            <w:vAlign w:val="center"/>
            <w:hideMark/>
          </w:tcPr>
          <w:p w14:paraId="338CAA9B"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Age, birth cohort, residence, region, ethnicity, record type</w:t>
            </w:r>
          </w:p>
        </w:tc>
        <w:tc>
          <w:tcPr>
            <w:tcW w:w="0" w:type="auto"/>
            <w:vAlign w:val="center"/>
            <w:hideMark/>
          </w:tcPr>
          <w:p w14:paraId="3679C6A3"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Birth cohort, residence, region, ethnicity, record type</w:t>
            </w:r>
          </w:p>
        </w:tc>
      </w:tr>
      <w:tr w:rsidR="00CC0739" w:rsidRPr="00CC0739" w14:paraId="6E8F048C" w14:textId="77777777">
        <w:trPr>
          <w:tblCellSpacing w:w="15" w:type="dxa"/>
        </w:trPr>
        <w:tc>
          <w:tcPr>
            <w:tcW w:w="0" w:type="auto"/>
            <w:vAlign w:val="center"/>
            <w:hideMark/>
          </w:tcPr>
          <w:p w14:paraId="68021F57"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Cluster handling</w:t>
            </w:r>
          </w:p>
        </w:tc>
        <w:tc>
          <w:tcPr>
            <w:tcW w:w="0" w:type="auto"/>
            <w:vAlign w:val="center"/>
            <w:hideMark/>
          </w:tcPr>
          <w:p w14:paraId="3479405F"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Survey design accounts for clustering in variance estimation</w:t>
            </w:r>
          </w:p>
        </w:tc>
        <w:tc>
          <w:tcPr>
            <w:tcW w:w="0" w:type="auto"/>
            <w:vAlign w:val="center"/>
            <w:hideMark/>
          </w:tcPr>
          <w:p w14:paraId="2AA74857"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Courier New" w:eastAsia="Times New Roman" w:hAnsi="Courier New" w:cs="Courier New"/>
                <w:kern w:val="0"/>
                <w:sz w:val="20"/>
                <w:szCs w:val="20"/>
                <w14:ligatures w14:val="none"/>
              </w:rPr>
              <w:t>frailty(cluster)</w:t>
            </w:r>
            <w:r w:rsidRPr="00CC0739">
              <w:rPr>
                <w:rFonts w:ascii="Times New Roman" w:eastAsia="Times New Roman" w:hAnsi="Times New Roman" w:cs="Times New Roman"/>
                <w:kern w:val="0"/>
                <w14:ligatures w14:val="none"/>
              </w:rPr>
              <w:t xml:space="preserve"> explicitly models cluster-level heterogeneity</w:t>
            </w:r>
          </w:p>
        </w:tc>
      </w:tr>
      <w:tr w:rsidR="00CC0739" w:rsidRPr="00CC0739" w14:paraId="662CFEB0" w14:textId="77777777">
        <w:trPr>
          <w:tblCellSpacing w:w="15" w:type="dxa"/>
        </w:trPr>
        <w:tc>
          <w:tcPr>
            <w:tcW w:w="0" w:type="auto"/>
            <w:vAlign w:val="center"/>
            <w:hideMark/>
          </w:tcPr>
          <w:p w14:paraId="7FAE71FB"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Survey design</w:t>
            </w:r>
          </w:p>
        </w:tc>
        <w:tc>
          <w:tcPr>
            <w:tcW w:w="0" w:type="auto"/>
            <w:vAlign w:val="center"/>
            <w:hideMark/>
          </w:tcPr>
          <w:p w14:paraId="6257A570"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Includes clusters, strata, and weights</w:t>
            </w:r>
          </w:p>
        </w:tc>
        <w:tc>
          <w:tcPr>
            <w:tcW w:w="0" w:type="auto"/>
            <w:vAlign w:val="center"/>
            <w:hideMark/>
          </w:tcPr>
          <w:p w14:paraId="5772B23F"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Survey weights and stratification are not included in the supplied Cox formula</w:t>
            </w:r>
          </w:p>
        </w:tc>
      </w:tr>
      <w:tr w:rsidR="00CC0739" w:rsidRPr="00CC0739" w14:paraId="774ED49F" w14:textId="77777777">
        <w:trPr>
          <w:tblCellSpacing w:w="15" w:type="dxa"/>
        </w:trPr>
        <w:tc>
          <w:tcPr>
            <w:tcW w:w="0" w:type="auto"/>
            <w:vAlign w:val="center"/>
            <w:hideMark/>
          </w:tcPr>
          <w:p w14:paraId="6733A40A"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Main effect measure</w:t>
            </w:r>
          </w:p>
        </w:tc>
        <w:tc>
          <w:tcPr>
            <w:tcW w:w="0" w:type="auto"/>
            <w:vAlign w:val="center"/>
            <w:hideMark/>
          </w:tcPr>
          <w:p w14:paraId="4329085F"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Coefficients on the log-odds scale</w:t>
            </w:r>
          </w:p>
        </w:tc>
        <w:tc>
          <w:tcPr>
            <w:tcW w:w="0" w:type="auto"/>
            <w:vAlign w:val="center"/>
            <w:hideMark/>
          </w:tcPr>
          <w:p w14:paraId="1832FE34"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Hazard ratios obtained by exponentiating coefficients</w:t>
            </w:r>
          </w:p>
        </w:tc>
      </w:tr>
      <w:tr w:rsidR="00CC0739" w:rsidRPr="00CC0739" w14:paraId="50016A67" w14:textId="77777777">
        <w:trPr>
          <w:tblCellSpacing w:w="15" w:type="dxa"/>
        </w:trPr>
        <w:tc>
          <w:tcPr>
            <w:tcW w:w="0" w:type="auto"/>
            <w:vAlign w:val="center"/>
            <w:hideMark/>
          </w:tcPr>
          <w:p w14:paraId="263FDFC2"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Main purpose</w:t>
            </w:r>
          </w:p>
        </w:tc>
        <w:tc>
          <w:tcPr>
            <w:tcW w:w="0" w:type="auto"/>
            <w:vAlign w:val="center"/>
            <w:hideMark/>
          </w:tcPr>
          <w:p w14:paraId="7B77E306"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Estimate discrete-time hazard associations with survey-adjusted uncertainty</w:t>
            </w:r>
          </w:p>
        </w:tc>
        <w:tc>
          <w:tcPr>
            <w:tcW w:w="0" w:type="auto"/>
            <w:vAlign w:val="center"/>
            <w:hideMark/>
          </w:tcPr>
          <w:p w14:paraId="414D5D4F"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Estimate relative hazards while accounting for unobserved cluster-level variation</w:t>
            </w:r>
          </w:p>
        </w:tc>
      </w:tr>
    </w:tbl>
    <w:p w14:paraId="615BCEED" w14:textId="77777777" w:rsidR="00CC0739" w:rsidRPr="00CC0739" w:rsidRDefault="00CC0739" w:rsidP="00CC0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0739">
        <w:rPr>
          <w:rFonts w:ascii="Times New Roman" w:eastAsia="Times New Roman" w:hAnsi="Times New Roman" w:cs="Times New Roman"/>
          <w:b/>
          <w:bCs/>
          <w:kern w:val="0"/>
          <w:sz w:val="27"/>
          <w:szCs w:val="27"/>
          <w14:ligatures w14:val="none"/>
        </w:rPr>
        <w:lastRenderedPageBreak/>
        <w:t>8.4 Results from the Survey-Design-Based Hazard Model</w:t>
      </w:r>
    </w:p>
    <w:p w14:paraId="1A1E4E50"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 survey-design-based model was fitted using 738,925 person-time observations, with 7,356 recorded FGM events.</w:t>
      </w:r>
    </w:p>
    <w:p w14:paraId="17AF2257" w14:textId="77777777" w:rsidR="00CC0739" w:rsidRPr="00CC0739" w:rsidRDefault="00CC0739" w:rsidP="00CC07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Age and Birth Cohort</w:t>
      </w:r>
    </w:p>
    <w:p w14:paraId="34C51DD3"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 xml:space="preserve">Age was strongly associated with the discrete-time hazard of FGM. The coefficient for </w:t>
      </w:r>
      <w:r w:rsidRPr="00CC0739">
        <w:rPr>
          <w:rFonts w:ascii="Courier New" w:eastAsia="Times New Roman" w:hAnsi="Courier New" w:cs="Courier New"/>
          <w:kern w:val="0"/>
          <w:sz w:val="20"/>
          <w:szCs w:val="20"/>
          <w14:ligatures w14:val="none"/>
        </w:rPr>
        <w:t>age_year</w:t>
      </w:r>
      <w:r w:rsidRPr="00CC0739">
        <w:rPr>
          <w:rFonts w:ascii="Times New Roman" w:eastAsia="Times New Roman" w:hAnsi="Times New Roman" w:cs="Times New Roman"/>
          <w:kern w:val="0"/>
          <w14:ligatures w14:val="none"/>
        </w:rPr>
        <w:t xml:space="preserve"> was −0.460 (p &lt; 0.001), indicating that the odds of experiencing FGM during a given age-year decreased as age increased, conditional on the other variables in the model.</w:t>
      </w:r>
    </w:p>
    <w:p w14:paraId="091606AA"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Relative to the reference birth cohort, the estimated coefficients for most birth cohorts were negative. This indicates lower modeled FGM hazard among these cohorts compared with the reference group.</w:t>
      </w:r>
    </w:p>
    <w:p w14:paraId="2D0A6786"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 strongest negative associations were observed among the 1995–1999, 2000–2004, 2010–2014, and 2015–2019 birth cohorts. However, the 2020–2024 cohort was not statistically different from the reference category at the 5% significance level.</w:t>
      </w:r>
    </w:p>
    <w:p w14:paraId="03324943" w14:textId="77777777" w:rsidR="00CC0739" w:rsidRPr="00CC0739" w:rsidRDefault="00CC0739" w:rsidP="00CC07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Residence</w:t>
      </w:r>
    </w:p>
    <w:p w14:paraId="3B31510D"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Urban residence was associated with a lower discrete-time FGM hazard compared with the reference residence category. The coefficient was −0.506 (p &lt; 0.001), suggesting a statistically significant difference in modeled hazard between urban and rural residence.</w:t>
      </w:r>
    </w:p>
    <w:p w14:paraId="6DFF4507" w14:textId="77777777" w:rsidR="00CC0739" w:rsidRPr="00CC0739" w:rsidRDefault="00CC0739" w:rsidP="00CC07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Region</w:t>
      </w:r>
    </w:p>
    <w:p w14:paraId="7507FE33"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Significant regional differences were observed. Relative to the reference region, positive coefficients were observed for Ekiti, Imo, Jigawa, Kaduna, Katsina, Kwara, and Nasarawa, indicating higher modeled hazard in these regions.</w:t>
      </w:r>
    </w:p>
    <w:p w14:paraId="4EAFD081"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Negative coefficients were observed for Gombe, Kebbi, Niger, Sokoto, Taraba, and Yobe, indicating lower modeled hazard relative to the reference region.</w:t>
      </w:r>
    </w:p>
    <w:p w14:paraId="49DEC6F2"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These results demonstrate substantial geographical heterogeneity in FGM hazard after adjustment for age, birth cohort, residence, ethnicity, and record type.</w:t>
      </w:r>
    </w:p>
    <w:p w14:paraId="028302D7" w14:textId="77777777" w:rsidR="00CC0739" w:rsidRPr="00CC0739" w:rsidRDefault="00CC0739" w:rsidP="00CC07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Ethnicity</w:t>
      </w:r>
    </w:p>
    <w:p w14:paraId="7710AC2C"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Several ethnic groups showed statistically significant differences in modeled FGM hazard relative to the reference ethnic category.</w:t>
      </w:r>
    </w:p>
    <w:p w14:paraId="55AA0B6C"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Negative coefficients were observed for Ibibio, Igbo/Ibo, Ijaw/Izon, Kanuri/Beriberi, Other, Tiv, and Yoruba. The Hausa coefficient was not statistically significant.</w:t>
      </w:r>
    </w:p>
    <w:p w14:paraId="77850D2A"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lastRenderedPageBreak/>
        <w:t>The largest negative association was observed for the Tiv ethnic group (coefficient = −4.280, p &lt; 0.001), although the estimate should be interpreted with caution because of its relatively large standard error.</w:t>
      </w:r>
    </w:p>
    <w:p w14:paraId="465709C8" w14:textId="77777777" w:rsidR="00CC0739" w:rsidRPr="00CC0739" w:rsidRDefault="00CC0739" w:rsidP="00CC07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Record Type</w:t>
      </w:r>
    </w:p>
    <w:p w14:paraId="141F0B5C"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 xml:space="preserve">The </w:t>
      </w:r>
      <w:r w:rsidRPr="00CC0739">
        <w:rPr>
          <w:rFonts w:ascii="Courier New" w:eastAsia="Times New Roman" w:hAnsi="Courier New" w:cs="Courier New"/>
          <w:kern w:val="0"/>
          <w:sz w:val="20"/>
          <w:szCs w:val="20"/>
          <w14:ligatures w14:val="none"/>
        </w:rPr>
        <w:t>record_type</w:t>
      </w:r>
      <w:r w:rsidRPr="00CC0739">
        <w:rPr>
          <w:rFonts w:ascii="Times New Roman" w:eastAsia="Times New Roman" w:hAnsi="Times New Roman" w:cs="Times New Roman"/>
          <w:kern w:val="0"/>
          <w14:ligatures w14:val="none"/>
        </w:rPr>
        <w:t xml:space="preserve"> variable was statistically significant. The coefficient for self records was −0.360 (p = 0.002), indicating a difference in modeled hazard between self-reported records and the reference record type.</w:t>
      </w:r>
    </w:p>
    <w:p w14:paraId="060389C3"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This finding suggests that reporting source may influence the observed distribution of FGM events and should be retained as an adjustment variable in the analysis.</w:t>
      </w:r>
    </w:p>
    <w:p w14:paraId="50C8C04D" w14:textId="77777777" w:rsidR="00CC0739" w:rsidRPr="00CC0739" w:rsidRDefault="00CC0739" w:rsidP="00CC0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0739">
        <w:rPr>
          <w:rFonts w:ascii="Times New Roman" w:eastAsia="Times New Roman" w:hAnsi="Times New Roman" w:cs="Times New Roman"/>
          <w:b/>
          <w:bCs/>
          <w:kern w:val="0"/>
          <w:sz w:val="27"/>
          <w:szCs w:val="27"/>
          <w14:ligatures w14:val="none"/>
        </w:rPr>
        <w:t>8.5 Results from the Cox Frailty Model</w:t>
      </w:r>
    </w:p>
    <w:p w14:paraId="4086283C"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 Cox frailty model was fitted to 738,925 observations and 7,356 events. The estimated variance of the cluster-level random effect was 0.951, indicating meaningful heterogeneity between clusters.</w:t>
      </w:r>
    </w:p>
    <w:p w14:paraId="75C24C9A"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 frailty term was highly statistically significant (likelihood ratio test p &lt; 0.001), supporting the inclusion of a cluster-level random effect in the Cox model.</w:t>
      </w:r>
    </w:p>
    <w:p w14:paraId="3A01A2BC" w14:textId="77777777" w:rsidR="00CC0739" w:rsidRPr="00CC0739" w:rsidRDefault="00CC0739" w:rsidP="00CC07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Residence</w:t>
      </w:r>
    </w:p>
    <w:p w14:paraId="6BCCEAA0"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Urban residence was associated with a lower hazard of FGM compared with the reference residence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1387"/>
        <w:gridCol w:w="2620"/>
        <w:gridCol w:w="836"/>
      </w:tblGrid>
      <w:tr w:rsidR="00CC0739" w:rsidRPr="00CC0739" w14:paraId="7157C04E" w14:textId="77777777">
        <w:trPr>
          <w:tblHeader/>
          <w:tblCellSpacing w:w="15" w:type="dxa"/>
        </w:trPr>
        <w:tc>
          <w:tcPr>
            <w:tcW w:w="0" w:type="auto"/>
            <w:vAlign w:val="center"/>
            <w:hideMark/>
          </w:tcPr>
          <w:p w14:paraId="2F51DE48" w14:textId="77777777" w:rsidR="00CC0739" w:rsidRPr="00CC0739" w:rsidRDefault="00CC0739" w:rsidP="00CC0739">
            <w:pPr>
              <w:spacing w:after="0" w:line="240" w:lineRule="auto"/>
              <w:jc w:val="center"/>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Predictor</w:t>
            </w:r>
          </w:p>
        </w:tc>
        <w:tc>
          <w:tcPr>
            <w:tcW w:w="0" w:type="auto"/>
            <w:vAlign w:val="center"/>
            <w:hideMark/>
          </w:tcPr>
          <w:p w14:paraId="72C9480B" w14:textId="77777777" w:rsidR="00CC0739" w:rsidRPr="00CC0739" w:rsidRDefault="00CC0739" w:rsidP="00CC0739">
            <w:pPr>
              <w:spacing w:after="0" w:line="240" w:lineRule="auto"/>
              <w:jc w:val="right"/>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Hazard ratio</w:t>
            </w:r>
          </w:p>
        </w:tc>
        <w:tc>
          <w:tcPr>
            <w:tcW w:w="0" w:type="auto"/>
            <w:vAlign w:val="center"/>
            <w:hideMark/>
          </w:tcPr>
          <w:p w14:paraId="2EDDD0AC" w14:textId="77777777" w:rsidR="00CC0739" w:rsidRPr="00CC0739" w:rsidRDefault="00CC0739" w:rsidP="00CC0739">
            <w:pPr>
              <w:spacing w:after="0" w:line="240" w:lineRule="auto"/>
              <w:jc w:val="right"/>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95% Confidence interval</w:t>
            </w:r>
          </w:p>
        </w:tc>
        <w:tc>
          <w:tcPr>
            <w:tcW w:w="0" w:type="auto"/>
            <w:vAlign w:val="center"/>
            <w:hideMark/>
          </w:tcPr>
          <w:p w14:paraId="0E9B27EF" w14:textId="77777777" w:rsidR="00CC0739" w:rsidRPr="00CC0739" w:rsidRDefault="00CC0739" w:rsidP="00CC0739">
            <w:pPr>
              <w:spacing w:after="0" w:line="240" w:lineRule="auto"/>
              <w:jc w:val="right"/>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p-value</w:t>
            </w:r>
          </w:p>
        </w:tc>
      </w:tr>
      <w:tr w:rsidR="00CC0739" w:rsidRPr="00CC0739" w14:paraId="19956F42" w14:textId="77777777">
        <w:trPr>
          <w:tblCellSpacing w:w="15" w:type="dxa"/>
        </w:trPr>
        <w:tc>
          <w:tcPr>
            <w:tcW w:w="0" w:type="auto"/>
            <w:vAlign w:val="center"/>
            <w:hideMark/>
          </w:tcPr>
          <w:p w14:paraId="4E797149"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Urban residence</w:t>
            </w:r>
          </w:p>
        </w:tc>
        <w:tc>
          <w:tcPr>
            <w:tcW w:w="0" w:type="auto"/>
            <w:vAlign w:val="center"/>
            <w:hideMark/>
          </w:tcPr>
          <w:p w14:paraId="23FBEE97"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0.727</w:t>
            </w:r>
          </w:p>
        </w:tc>
        <w:tc>
          <w:tcPr>
            <w:tcW w:w="0" w:type="auto"/>
            <w:vAlign w:val="center"/>
            <w:hideMark/>
          </w:tcPr>
          <w:p w14:paraId="12FCCE01"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0.625–0.846</w:t>
            </w:r>
          </w:p>
        </w:tc>
        <w:tc>
          <w:tcPr>
            <w:tcW w:w="0" w:type="auto"/>
            <w:vAlign w:val="center"/>
            <w:hideMark/>
          </w:tcPr>
          <w:p w14:paraId="0777CA38"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&lt;0.001</w:t>
            </w:r>
          </w:p>
        </w:tc>
      </w:tr>
    </w:tbl>
    <w:p w14:paraId="14D9F133"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This corresponds to approximately 27% lower modeled hazard for urban residence relative to the reference category.</w:t>
      </w:r>
    </w:p>
    <w:p w14:paraId="0806EA2D" w14:textId="77777777" w:rsidR="00CC0739" w:rsidRPr="00CC0739" w:rsidRDefault="00CC0739" w:rsidP="00CC07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Region</w:t>
      </w:r>
    </w:p>
    <w:p w14:paraId="0C52801D"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 Cox frailty model identified significant regional differences in FGM hazard.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387"/>
        <w:gridCol w:w="2620"/>
        <w:gridCol w:w="836"/>
      </w:tblGrid>
      <w:tr w:rsidR="00CC0739" w:rsidRPr="00CC0739" w14:paraId="00AD0014" w14:textId="77777777">
        <w:trPr>
          <w:tblHeader/>
          <w:tblCellSpacing w:w="15" w:type="dxa"/>
        </w:trPr>
        <w:tc>
          <w:tcPr>
            <w:tcW w:w="0" w:type="auto"/>
            <w:vAlign w:val="center"/>
            <w:hideMark/>
          </w:tcPr>
          <w:p w14:paraId="5409A21D" w14:textId="77777777" w:rsidR="00CC0739" w:rsidRPr="00CC0739" w:rsidRDefault="00CC0739" w:rsidP="00CC0739">
            <w:pPr>
              <w:spacing w:after="0" w:line="240" w:lineRule="auto"/>
              <w:jc w:val="center"/>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Region</w:t>
            </w:r>
          </w:p>
        </w:tc>
        <w:tc>
          <w:tcPr>
            <w:tcW w:w="0" w:type="auto"/>
            <w:vAlign w:val="center"/>
            <w:hideMark/>
          </w:tcPr>
          <w:p w14:paraId="109D1A9D" w14:textId="77777777" w:rsidR="00CC0739" w:rsidRPr="00CC0739" w:rsidRDefault="00CC0739" w:rsidP="00CC0739">
            <w:pPr>
              <w:spacing w:after="0" w:line="240" w:lineRule="auto"/>
              <w:jc w:val="right"/>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Hazard ratio</w:t>
            </w:r>
          </w:p>
        </w:tc>
        <w:tc>
          <w:tcPr>
            <w:tcW w:w="0" w:type="auto"/>
            <w:vAlign w:val="center"/>
            <w:hideMark/>
          </w:tcPr>
          <w:p w14:paraId="7612B7F9" w14:textId="77777777" w:rsidR="00CC0739" w:rsidRPr="00CC0739" w:rsidRDefault="00CC0739" w:rsidP="00CC0739">
            <w:pPr>
              <w:spacing w:after="0" w:line="240" w:lineRule="auto"/>
              <w:jc w:val="right"/>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95% Confidence interval</w:t>
            </w:r>
          </w:p>
        </w:tc>
        <w:tc>
          <w:tcPr>
            <w:tcW w:w="0" w:type="auto"/>
            <w:vAlign w:val="center"/>
            <w:hideMark/>
          </w:tcPr>
          <w:p w14:paraId="4728BB7A" w14:textId="77777777" w:rsidR="00CC0739" w:rsidRPr="00CC0739" w:rsidRDefault="00CC0739" w:rsidP="00CC0739">
            <w:pPr>
              <w:spacing w:after="0" w:line="240" w:lineRule="auto"/>
              <w:jc w:val="right"/>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p-value</w:t>
            </w:r>
          </w:p>
        </w:tc>
      </w:tr>
      <w:tr w:rsidR="00CC0739" w:rsidRPr="00CC0739" w14:paraId="4D31DB82" w14:textId="77777777">
        <w:trPr>
          <w:tblCellSpacing w:w="15" w:type="dxa"/>
        </w:trPr>
        <w:tc>
          <w:tcPr>
            <w:tcW w:w="0" w:type="auto"/>
            <w:vAlign w:val="center"/>
            <w:hideMark/>
          </w:tcPr>
          <w:p w14:paraId="07E8C10E"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Bayelsa</w:t>
            </w:r>
          </w:p>
        </w:tc>
        <w:tc>
          <w:tcPr>
            <w:tcW w:w="0" w:type="auto"/>
            <w:vAlign w:val="center"/>
            <w:hideMark/>
          </w:tcPr>
          <w:p w14:paraId="0742FC00"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2.502</w:t>
            </w:r>
          </w:p>
        </w:tc>
        <w:tc>
          <w:tcPr>
            <w:tcW w:w="0" w:type="auto"/>
            <w:vAlign w:val="center"/>
            <w:hideMark/>
          </w:tcPr>
          <w:p w14:paraId="2FCA36AC"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1.268–4.936</w:t>
            </w:r>
          </w:p>
        </w:tc>
        <w:tc>
          <w:tcPr>
            <w:tcW w:w="0" w:type="auto"/>
            <w:vAlign w:val="center"/>
            <w:hideMark/>
          </w:tcPr>
          <w:p w14:paraId="7BA03C2F"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0.008</w:t>
            </w:r>
          </w:p>
        </w:tc>
      </w:tr>
      <w:tr w:rsidR="00CC0739" w:rsidRPr="00CC0739" w14:paraId="45BC95A2" w14:textId="77777777">
        <w:trPr>
          <w:tblCellSpacing w:w="15" w:type="dxa"/>
        </w:trPr>
        <w:tc>
          <w:tcPr>
            <w:tcW w:w="0" w:type="auto"/>
            <w:vAlign w:val="center"/>
            <w:hideMark/>
          </w:tcPr>
          <w:p w14:paraId="0CBEF933"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Delta</w:t>
            </w:r>
          </w:p>
        </w:tc>
        <w:tc>
          <w:tcPr>
            <w:tcW w:w="0" w:type="auto"/>
            <w:vAlign w:val="center"/>
            <w:hideMark/>
          </w:tcPr>
          <w:p w14:paraId="156ACD61"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2.243</w:t>
            </w:r>
          </w:p>
        </w:tc>
        <w:tc>
          <w:tcPr>
            <w:tcW w:w="0" w:type="auto"/>
            <w:vAlign w:val="center"/>
            <w:hideMark/>
          </w:tcPr>
          <w:p w14:paraId="3D55D064"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1.245–4.043</w:t>
            </w:r>
          </w:p>
        </w:tc>
        <w:tc>
          <w:tcPr>
            <w:tcW w:w="0" w:type="auto"/>
            <w:vAlign w:val="center"/>
            <w:hideMark/>
          </w:tcPr>
          <w:p w14:paraId="2028511D"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0.007</w:t>
            </w:r>
          </w:p>
        </w:tc>
      </w:tr>
      <w:tr w:rsidR="00CC0739" w:rsidRPr="00CC0739" w14:paraId="4F9E70EF" w14:textId="77777777">
        <w:trPr>
          <w:tblCellSpacing w:w="15" w:type="dxa"/>
        </w:trPr>
        <w:tc>
          <w:tcPr>
            <w:tcW w:w="0" w:type="auto"/>
            <w:vAlign w:val="center"/>
            <w:hideMark/>
          </w:tcPr>
          <w:p w14:paraId="6EC5485B"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Edo</w:t>
            </w:r>
          </w:p>
        </w:tc>
        <w:tc>
          <w:tcPr>
            <w:tcW w:w="0" w:type="auto"/>
            <w:vAlign w:val="center"/>
            <w:hideMark/>
          </w:tcPr>
          <w:p w14:paraId="2175C977"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1.948</w:t>
            </w:r>
          </w:p>
        </w:tc>
        <w:tc>
          <w:tcPr>
            <w:tcW w:w="0" w:type="auto"/>
            <w:vAlign w:val="center"/>
            <w:hideMark/>
          </w:tcPr>
          <w:p w14:paraId="3EBE9E31"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1.067–3.555</w:t>
            </w:r>
          </w:p>
        </w:tc>
        <w:tc>
          <w:tcPr>
            <w:tcW w:w="0" w:type="auto"/>
            <w:vAlign w:val="center"/>
            <w:hideMark/>
          </w:tcPr>
          <w:p w14:paraId="31C78DFA"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0.030</w:t>
            </w:r>
          </w:p>
        </w:tc>
      </w:tr>
      <w:tr w:rsidR="00CC0739" w:rsidRPr="00CC0739" w14:paraId="26454357" w14:textId="77777777">
        <w:trPr>
          <w:tblCellSpacing w:w="15" w:type="dxa"/>
        </w:trPr>
        <w:tc>
          <w:tcPr>
            <w:tcW w:w="0" w:type="auto"/>
            <w:vAlign w:val="center"/>
            <w:hideMark/>
          </w:tcPr>
          <w:p w14:paraId="0C5F54BF"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Ekiti</w:t>
            </w:r>
          </w:p>
        </w:tc>
        <w:tc>
          <w:tcPr>
            <w:tcW w:w="0" w:type="auto"/>
            <w:vAlign w:val="center"/>
            <w:hideMark/>
          </w:tcPr>
          <w:p w14:paraId="4042E7A6"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3.944</w:t>
            </w:r>
          </w:p>
        </w:tc>
        <w:tc>
          <w:tcPr>
            <w:tcW w:w="0" w:type="auto"/>
            <w:vAlign w:val="center"/>
            <w:hideMark/>
          </w:tcPr>
          <w:p w14:paraId="61BD90FC"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2.120–7.336</w:t>
            </w:r>
          </w:p>
        </w:tc>
        <w:tc>
          <w:tcPr>
            <w:tcW w:w="0" w:type="auto"/>
            <w:vAlign w:val="center"/>
            <w:hideMark/>
          </w:tcPr>
          <w:p w14:paraId="407010E7"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&lt;0.001</w:t>
            </w:r>
          </w:p>
        </w:tc>
      </w:tr>
      <w:tr w:rsidR="00CC0739" w:rsidRPr="00CC0739" w14:paraId="047F5000" w14:textId="77777777">
        <w:trPr>
          <w:tblCellSpacing w:w="15" w:type="dxa"/>
        </w:trPr>
        <w:tc>
          <w:tcPr>
            <w:tcW w:w="0" w:type="auto"/>
            <w:vAlign w:val="center"/>
            <w:hideMark/>
          </w:tcPr>
          <w:p w14:paraId="4A3516C7"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Gombe</w:t>
            </w:r>
          </w:p>
        </w:tc>
        <w:tc>
          <w:tcPr>
            <w:tcW w:w="0" w:type="auto"/>
            <w:vAlign w:val="center"/>
            <w:hideMark/>
          </w:tcPr>
          <w:p w14:paraId="71B7B6A4"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0.322</w:t>
            </w:r>
          </w:p>
        </w:tc>
        <w:tc>
          <w:tcPr>
            <w:tcW w:w="0" w:type="auto"/>
            <w:vAlign w:val="center"/>
            <w:hideMark/>
          </w:tcPr>
          <w:p w14:paraId="2FE6B66D"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0.162–0.641</w:t>
            </w:r>
          </w:p>
        </w:tc>
        <w:tc>
          <w:tcPr>
            <w:tcW w:w="0" w:type="auto"/>
            <w:vAlign w:val="center"/>
            <w:hideMark/>
          </w:tcPr>
          <w:p w14:paraId="40F14F63"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0.001</w:t>
            </w:r>
          </w:p>
        </w:tc>
      </w:tr>
      <w:tr w:rsidR="00CC0739" w:rsidRPr="00CC0739" w14:paraId="0D9A1C34" w14:textId="77777777">
        <w:trPr>
          <w:tblCellSpacing w:w="15" w:type="dxa"/>
        </w:trPr>
        <w:tc>
          <w:tcPr>
            <w:tcW w:w="0" w:type="auto"/>
            <w:vAlign w:val="center"/>
            <w:hideMark/>
          </w:tcPr>
          <w:p w14:paraId="232CCAF8"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Imo</w:t>
            </w:r>
          </w:p>
        </w:tc>
        <w:tc>
          <w:tcPr>
            <w:tcW w:w="0" w:type="auto"/>
            <w:vAlign w:val="center"/>
            <w:hideMark/>
          </w:tcPr>
          <w:p w14:paraId="08736410"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2.545</w:t>
            </w:r>
          </w:p>
        </w:tc>
        <w:tc>
          <w:tcPr>
            <w:tcW w:w="0" w:type="auto"/>
            <w:vAlign w:val="center"/>
            <w:hideMark/>
          </w:tcPr>
          <w:p w14:paraId="4DD276BB"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1.484–4.364</w:t>
            </w:r>
          </w:p>
        </w:tc>
        <w:tc>
          <w:tcPr>
            <w:tcW w:w="0" w:type="auto"/>
            <w:vAlign w:val="center"/>
            <w:hideMark/>
          </w:tcPr>
          <w:p w14:paraId="1E21B143"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&lt;0.001</w:t>
            </w:r>
          </w:p>
        </w:tc>
      </w:tr>
      <w:tr w:rsidR="00CC0739" w:rsidRPr="00CC0739" w14:paraId="0AEA80AE" w14:textId="77777777">
        <w:trPr>
          <w:tblCellSpacing w:w="15" w:type="dxa"/>
        </w:trPr>
        <w:tc>
          <w:tcPr>
            <w:tcW w:w="0" w:type="auto"/>
            <w:vAlign w:val="center"/>
            <w:hideMark/>
          </w:tcPr>
          <w:p w14:paraId="6C38A797"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lastRenderedPageBreak/>
              <w:t>Jigawa</w:t>
            </w:r>
          </w:p>
        </w:tc>
        <w:tc>
          <w:tcPr>
            <w:tcW w:w="0" w:type="auto"/>
            <w:vAlign w:val="center"/>
            <w:hideMark/>
          </w:tcPr>
          <w:p w14:paraId="54824E9B"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5.386</w:t>
            </w:r>
          </w:p>
        </w:tc>
        <w:tc>
          <w:tcPr>
            <w:tcW w:w="0" w:type="auto"/>
            <w:vAlign w:val="center"/>
            <w:hideMark/>
          </w:tcPr>
          <w:p w14:paraId="260E68CD"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3.022–9.602</w:t>
            </w:r>
          </w:p>
        </w:tc>
        <w:tc>
          <w:tcPr>
            <w:tcW w:w="0" w:type="auto"/>
            <w:vAlign w:val="center"/>
            <w:hideMark/>
          </w:tcPr>
          <w:p w14:paraId="11D747CF"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&lt;0.001</w:t>
            </w:r>
          </w:p>
        </w:tc>
      </w:tr>
      <w:tr w:rsidR="00CC0739" w:rsidRPr="00CC0739" w14:paraId="4DC673E8" w14:textId="77777777">
        <w:trPr>
          <w:tblCellSpacing w:w="15" w:type="dxa"/>
        </w:trPr>
        <w:tc>
          <w:tcPr>
            <w:tcW w:w="0" w:type="auto"/>
            <w:vAlign w:val="center"/>
            <w:hideMark/>
          </w:tcPr>
          <w:p w14:paraId="61575AB1"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Kaduna</w:t>
            </w:r>
          </w:p>
        </w:tc>
        <w:tc>
          <w:tcPr>
            <w:tcW w:w="0" w:type="auto"/>
            <w:vAlign w:val="center"/>
            <w:hideMark/>
          </w:tcPr>
          <w:p w14:paraId="6F3F1D14"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4.546</w:t>
            </w:r>
          </w:p>
        </w:tc>
        <w:tc>
          <w:tcPr>
            <w:tcW w:w="0" w:type="auto"/>
            <w:vAlign w:val="center"/>
            <w:hideMark/>
          </w:tcPr>
          <w:p w14:paraId="634B6DDE"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2.542–8.131</w:t>
            </w:r>
          </w:p>
        </w:tc>
        <w:tc>
          <w:tcPr>
            <w:tcW w:w="0" w:type="auto"/>
            <w:vAlign w:val="center"/>
            <w:hideMark/>
          </w:tcPr>
          <w:p w14:paraId="5FC2C32D"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&lt;0.001</w:t>
            </w:r>
          </w:p>
        </w:tc>
      </w:tr>
      <w:tr w:rsidR="00CC0739" w:rsidRPr="00CC0739" w14:paraId="2B857B6C" w14:textId="77777777">
        <w:trPr>
          <w:tblCellSpacing w:w="15" w:type="dxa"/>
        </w:trPr>
        <w:tc>
          <w:tcPr>
            <w:tcW w:w="0" w:type="auto"/>
            <w:vAlign w:val="center"/>
            <w:hideMark/>
          </w:tcPr>
          <w:p w14:paraId="51596DF6"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Kano</w:t>
            </w:r>
          </w:p>
        </w:tc>
        <w:tc>
          <w:tcPr>
            <w:tcW w:w="0" w:type="auto"/>
            <w:vAlign w:val="center"/>
            <w:hideMark/>
          </w:tcPr>
          <w:p w14:paraId="6EDC58AC"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2.473</w:t>
            </w:r>
          </w:p>
        </w:tc>
        <w:tc>
          <w:tcPr>
            <w:tcW w:w="0" w:type="auto"/>
            <w:vAlign w:val="center"/>
            <w:hideMark/>
          </w:tcPr>
          <w:p w14:paraId="1642A451"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1.390–4.400</w:t>
            </w:r>
          </w:p>
        </w:tc>
        <w:tc>
          <w:tcPr>
            <w:tcW w:w="0" w:type="auto"/>
            <w:vAlign w:val="center"/>
            <w:hideMark/>
          </w:tcPr>
          <w:p w14:paraId="15A66536"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0.002</w:t>
            </w:r>
          </w:p>
        </w:tc>
      </w:tr>
      <w:tr w:rsidR="00CC0739" w:rsidRPr="00CC0739" w14:paraId="13C91D12" w14:textId="77777777">
        <w:trPr>
          <w:tblCellSpacing w:w="15" w:type="dxa"/>
        </w:trPr>
        <w:tc>
          <w:tcPr>
            <w:tcW w:w="0" w:type="auto"/>
            <w:vAlign w:val="center"/>
            <w:hideMark/>
          </w:tcPr>
          <w:p w14:paraId="3ADC978E"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Katsina</w:t>
            </w:r>
          </w:p>
        </w:tc>
        <w:tc>
          <w:tcPr>
            <w:tcW w:w="0" w:type="auto"/>
            <w:vAlign w:val="center"/>
            <w:hideMark/>
          </w:tcPr>
          <w:p w14:paraId="3BAEFAB4"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9.454</w:t>
            </w:r>
          </w:p>
        </w:tc>
        <w:tc>
          <w:tcPr>
            <w:tcW w:w="0" w:type="auto"/>
            <w:vAlign w:val="center"/>
            <w:hideMark/>
          </w:tcPr>
          <w:p w14:paraId="42D4963F"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5.477–16.319</w:t>
            </w:r>
          </w:p>
        </w:tc>
        <w:tc>
          <w:tcPr>
            <w:tcW w:w="0" w:type="auto"/>
            <w:vAlign w:val="center"/>
            <w:hideMark/>
          </w:tcPr>
          <w:p w14:paraId="7094B3F8"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&lt;0.001</w:t>
            </w:r>
          </w:p>
        </w:tc>
      </w:tr>
      <w:tr w:rsidR="00CC0739" w:rsidRPr="00CC0739" w14:paraId="6740AEFE" w14:textId="77777777">
        <w:trPr>
          <w:tblCellSpacing w:w="15" w:type="dxa"/>
        </w:trPr>
        <w:tc>
          <w:tcPr>
            <w:tcW w:w="0" w:type="auto"/>
            <w:vAlign w:val="center"/>
            <w:hideMark/>
          </w:tcPr>
          <w:p w14:paraId="256CE547"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Kebbi</w:t>
            </w:r>
          </w:p>
        </w:tc>
        <w:tc>
          <w:tcPr>
            <w:tcW w:w="0" w:type="auto"/>
            <w:vAlign w:val="center"/>
            <w:hideMark/>
          </w:tcPr>
          <w:p w14:paraId="5DA48EF0"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0.134</w:t>
            </w:r>
          </w:p>
        </w:tc>
        <w:tc>
          <w:tcPr>
            <w:tcW w:w="0" w:type="auto"/>
            <w:vAlign w:val="center"/>
            <w:hideMark/>
          </w:tcPr>
          <w:p w14:paraId="0D0C653B"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0.069–0.261</w:t>
            </w:r>
          </w:p>
        </w:tc>
        <w:tc>
          <w:tcPr>
            <w:tcW w:w="0" w:type="auto"/>
            <w:vAlign w:val="center"/>
            <w:hideMark/>
          </w:tcPr>
          <w:p w14:paraId="2F944C52"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&lt;0.001</w:t>
            </w:r>
          </w:p>
        </w:tc>
      </w:tr>
      <w:tr w:rsidR="00CC0739" w:rsidRPr="00CC0739" w14:paraId="58C793D3" w14:textId="77777777">
        <w:trPr>
          <w:tblCellSpacing w:w="15" w:type="dxa"/>
        </w:trPr>
        <w:tc>
          <w:tcPr>
            <w:tcW w:w="0" w:type="auto"/>
            <w:vAlign w:val="center"/>
            <w:hideMark/>
          </w:tcPr>
          <w:p w14:paraId="378631DF"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Kwara</w:t>
            </w:r>
          </w:p>
        </w:tc>
        <w:tc>
          <w:tcPr>
            <w:tcW w:w="0" w:type="auto"/>
            <w:vAlign w:val="center"/>
            <w:hideMark/>
          </w:tcPr>
          <w:p w14:paraId="32340B8F"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4.566</w:t>
            </w:r>
          </w:p>
        </w:tc>
        <w:tc>
          <w:tcPr>
            <w:tcW w:w="0" w:type="auto"/>
            <w:vAlign w:val="center"/>
            <w:hideMark/>
          </w:tcPr>
          <w:p w14:paraId="11AC34BC"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2.490–8.372</w:t>
            </w:r>
          </w:p>
        </w:tc>
        <w:tc>
          <w:tcPr>
            <w:tcW w:w="0" w:type="auto"/>
            <w:vAlign w:val="center"/>
            <w:hideMark/>
          </w:tcPr>
          <w:p w14:paraId="166FC43A"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&lt;0.001</w:t>
            </w:r>
          </w:p>
        </w:tc>
      </w:tr>
      <w:tr w:rsidR="00CC0739" w:rsidRPr="00CC0739" w14:paraId="0C288783" w14:textId="77777777">
        <w:trPr>
          <w:tblCellSpacing w:w="15" w:type="dxa"/>
        </w:trPr>
        <w:tc>
          <w:tcPr>
            <w:tcW w:w="0" w:type="auto"/>
            <w:vAlign w:val="center"/>
            <w:hideMark/>
          </w:tcPr>
          <w:p w14:paraId="7B7EECAD"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Nasarawa</w:t>
            </w:r>
          </w:p>
        </w:tc>
        <w:tc>
          <w:tcPr>
            <w:tcW w:w="0" w:type="auto"/>
            <w:vAlign w:val="center"/>
            <w:hideMark/>
          </w:tcPr>
          <w:p w14:paraId="4F4A9FAF"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3.201</w:t>
            </w:r>
          </w:p>
        </w:tc>
        <w:tc>
          <w:tcPr>
            <w:tcW w:w="0" w:type="auto"/>
            <w:vAlign w:val="center"/>
            <w:hideMark/>
          </w:tcPr>
          <w:p w14:paraId="7CDCD98F"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1.779–5.760</w:t>
            </w:r>
          </w:p>
        </w:tc>
        <w:tc>
          <w:tcPr>
            <w:tcW w:w="0" w:type="auto"/>
            <w:vAlign w:val="center"/>
            <w:hideMark/>
          </w:tcPr>
          <w:p w14:paraId="3F932CC0"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&lt;0.001</w:t>
            </w:r>
          </w:p>
        </w:tc>
      </w:tr>
      <w:tr w:rsidR="00CC0739" w:rsidRPr="00CC0739" w14:paraId="3DCAD8DF" w14:textId="77777777">
        <w:trPr>
          <w:tblCellSpacing w:w="15" w:type="dxa"/>
        </w:trPr>
        <w:tc>
          <w:tcPr>
            <w:tcW w:w="0" w:type="auto"/>
            <w:vAlign w:val="center"/>
            <w:hideMark/>
          </w:tcPr>
          <w:p w14:paraId="09E36431"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Niger</w:t>
            </w:r>
          </w:p>
        </w:tc>
        <w:tc>
          <w:tcPr>
            <w:tcW w:w="0" w:type="auto"/>
            <w:vAlign w:val="center"/>
            <w:hideMark/>
          </w:tcPr>
          <w:p w14:paraId="738756BB"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0.435</w:t>
            </w:r>
          </w:p>
        </w:tc>
        <w:tc>
          <w:tcPr>
            <w:tcW w:w="0" w:type="auto"/>
            <w:vAlign w:val="center"/>
            <w:hideMark/>
          </w:tcPr>
          <w:p w14:paraId="2A174736"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0.223–0.850</w:t>
            </w:r>
          </w:p>
        </w:tc>
        <w:tc>
          <w:tcPr>
            <w:tcW w:w="0" w:type="auto"/>
            <w:vAlign w:val="center"/>
            <w:hideMark/>
          </w:tcPr>
          <w:p w14:paraId="5A139F15"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0.015</w:t>
            </w:r>
          </w:p>
        </w:tc>
      </w:tr>
      <w:tr w:rsidR="00CC0739" w:rsidRPr="00CC0739" w14:paraId="2DE24320" w14:textId="77777777">
        <w:trPr>
          <w:tblCellSpacing w:w="15" w:type="dxa"/>
        </w:trPr>
        <w:tc>
          <w:tcPr>
            <w:tcW w:w="0" w:type="auto"/>
            <w:vAlign w:val="center"/>
            <w:hideMark/>
          </w:tcPr>
          <w:p w14:paraId="29EEC099"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Ondo</w:t>
            </w:r>
          </w:p>
        </w:tc>
        <w:tc>
          <w:tcPr>
            <w:tcW w:w="0" w:type="auto"/>
            <w:vAlign w:val="center"/>
            <w:hideMark/>
          </w:tcPr>
          <w:p w14:paraId="475F8267"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2.249</w:t>
            </w:r>
          </w:p>
        </w:tc>
        <w:tc>
          <w:tcPr>
            <w:tcW w:w="0" w:type="auto"/>
            <w:vAlign w:val="center"/>
            <w:hideMark/>
          </w:tcPr>
          <w:p w14:paraId="361A7492"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1.197–4.223</w:t>
            </w:r>
          </w:p>
        </w:tc>
        <w:tc>
          <w:tcPr>
            <w:tcW w:w="0" w:type="auto"/>
            <w:vAlign w:val="center"/>
            <w:hideMark/>
          </w:tcPr>
          <w:p w14:paraId="2FF6E5FF"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0.012</w:t>
            </w:r>
          </w:p>
        </w:tc>
      </w:tr>
      <w:tr w:rsidR="00CC0739" w:rsidRPr="00CC0739" w14:paraId="339DEAF8" w14:textId="77777777">
        <w:trPr>
          <w:tblCellSpacing w:w="15" w:type="dxa"/>
        </w:trPr>
        <w:tc>
          <w:tcPr>
            <w:tcW w:w="0" w:type="auto"/>
            <w:vAlign w:val="center"/>
            <w:hideMark/>
          </w:tcPr>
          <w:p w14:paraId="5C35F425"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Osun</w:t>
            </w:r>
          </w:p>
        </w:tc>
        <w:tc>
          <w:tcPr>
            <w:tcW w:w="0" w:type="auto"/>
            <w:vAlign w:val="center"/>
            <w:hideMark/>
          </w:tcPr>
          <w:p w14:paraId="1CE42143"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2.029</w:t>
            </w:r>
          </w:p>
        </w:tc>
        <w:tc>
          <w:tcPr>
            <w:tcW w:w="0" w:type="auto"/>
            <w:vAlign w:val="center"/>
            <w:hideMark/>
          </w:tcPr>
          <w:p w14:paraId="76DCB771"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1.100–3.743</w:t>
            </w:r>
          </w:p>
        </w:tc>
        <w:tc>
          <w:tcPr>
            <w:tcW w:w="0" w:type="auto"/>
            <w:vAlign w:val="center"/>
            <w:hideMark/>
          </w:tcPr>
          <w:p w14:paraId="0C765B6C"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0.024</w:t>
            </w:r>
          </w:p>
        </w:tc>
      </w:tr>
      <w:tr w:rsidR="00CC0739" w:rsidRPr="00CC0739" w14:paraId="2FD6DCEB" w14:textId="77777777">
        <w:trPr>
          <w:tblCellSpacing w:w="15" w:type="dxa"/>
        </w:trPr>
        <w:tc>
          <w:tcPr>
            <w:tcW w:w="0" w:type="auto"/>
            <w:vAlign w:val="center"/>
            <w:hideMark/>
          </w:tcPr>
          <w:p w14:paraId="4C4BF06E"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Sokoto</w:t>
            </w:r>
          </w:p>
        </w:tc>
        <w:tc>
          <w:tcPr>
            <w:tcW w:w="0" w:type="auto"/>
            <w:vAlign w:val="center"/>
            <w:hideMark/>
          </w:tcPr>
          <w:p w14:paraId="1853789E"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0.271</w:t>
            </w:r>
          </w:p>
        </w:tc>
        <w:tc>
          <w:tcPr>
            <w:tcW w:w="0" w:type="auto"/>
            <w:vAlign w:val="center"/>
            <w:hideMark/>
          </w:tcPr>
          <w:p w14:paraId="5546F1E8"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0.145–0.508</w:t>
            </w:r>
          </w:p>
        </w:tc>
        <w:tc>
          <w:tcPr>
            <w:tcW w:w="0" w:type="auto"/>
            <w:vAlign w:val="center"/>
            <w:hideMark/>
          </w:tcPr>
          <w:p w14:paraId="1DBB2714"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&lt;0.001</w:t>
            </w:r>
          </w:p>
        </w:tc>
      </w:tr>
      <w:tr w:rsidR="00CC0739" w:rsidRPr="00CC0739" w14:paraId="4AE0C5CD" w14:textId="77777777">
        <w:trPr>
          <w:tblCellSpacing w:w="15" w:type="dxa"/>
        </w:trPr>
        <w:tc>
          <w:tcPr>
            <w:tcW w:w="0" w:type="auto"/>
            <w:vAlign w:val="center"/>
            <w:hideMark/>
          </w:tcPr>
          <w:p w14:paraId="60E5F51E"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Taraba</w:t>
            </w:r>
          </w:p>
        </w:tc>
        <w:tc>
          <w:tcPr>
            <w:tcW w:w="0" w:type="auto"/>
            <w:vAlign w:val="center"/>
            <w:hideMark/>
          </w:tcPr>
          <w:p w14:paraId="70F96041"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0.239</w:t>
            </w:r>
          </w:p>
        </w:tc>
        <w:tc>
          <w:tcPr>
            <w:tcW w:w="0" w:type="auto"/>
            <w:vAlign w:val="center"/>
            <w:hideMark/>
          </w:tcPr>
          <w:p w14:paraId="29EE8E15"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0.071–0.807</w:t>
            </w:r>
          </w:p>
        </w:tc>
        <w:tc>
          <w:tcPr>
            <w:tcW w:w="0" w:type="auto"/>
            <w:vAlign w:val="center"/>
            <w:hideMark/>
          </w:tcPr>
          <w:p w14:paraId="3FCD87D5"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0.021</w:t>
            </w:r>
          </w:p>
        </w:tc>
      </w:tr>
      <w:tr w:rsidR="00CC0739" w:rsidRPr="00CC0739" w14:paraId="36EF84DB" w14:textId="77777777">
        <w:trPr>
          <w:tblCellSpacing w:w="15" w:type="dxa"/>
        </w:trPr>
        <w:tc>
          <w:tcPr>
            <w:tcW w:w="0" w:type="auto"/>
            <w:vAlign w:val="center"/>
            <w:hideMark/>
          </w:tcPr>
          <w:p w14:paraId="2C1137FE"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Yobe</w:t>
            </w:r>
          </w:p>
        </w:tc>
        <w:tc>
          <w:tcPr>
            <w:tcW w:w="0" w:type="auto"/>
            <w:vAlign w:val="center"/>
            <w:hideMark/>
          </w:tcPr>
          <w:p w14:paraId="2B9DE20B"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0.492</w:t>
            </w:r>
          </w:p>
        </w:tc>
        <w:tc>
          <w:tcPr>
            <w:tcW w:w="0" w:type="auto"/>
            <w:vAlign w:val="center"/>
            <w:hideMark/>
          </w:tcPr>
          <w:p w14:paraId="62F58082"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0.256–0.944</w:t>
            </w:r>
          </w:p>
        </w:tc>
        <w:tc>
          <w:tcPr>
            <w:tcW w:w="0" w:type="auto"/>
            <w:vAlign w:val="center"/>
            <w:hideMark/>
          </w:tcPr>
          <w:p w14:paraId="7F4FE41F"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0.033</w:t>
            </w:r>
          </w:p>
        </w:tc>
      </w:tr>
    </w:tbl>
    <w:p w14:paraId="1DC88852"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 largest estimated hazard ratio was observed in Katsina (HR = 9.454), while the lowest was observed in Kebbi (HR = 0.134). These estimates indicate substantial geographical differences in FGM hazard after adjustment for the covariates included in the model.</w:t>
      </w:r>
    </w:p>
    <w:p w14:paraId="3122858F" w14:textId="77777777" w:rsidR="00CC0739" w:rsidRPr="00CC0739" w:rsidRDefault="00CC0739" w:rsidP="00CC07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Ethnicity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1387"/>
        <w:gridCol w:w="2620"/>
        <w:gridCol w:w="836"/>
      </w:tblGrid>
      <w:tr w:rsidR="00CC0739" w:rsidRPr="00CC0739" w14:paraId="18F449A3" w14:textId="77777777">
        <w:trPr>
          <w:tblHeader/>
          <w:tblCellSpacing w:w="15" w:type="dxa"/>
        </w:trPr>
        <w:tc>
          <w:tcPr>
            <w:tcW w:w="0" w:type="auto"/>
            <w:vAlign w:val="center"/>
            <w:hideMark/>
          </w:tcPr>
          <w:p w14:paraId="146A9BA3" w14:textId="77777777" w:rsidR="00CC0739" w:rsidRPr="00CC0739" w:rsidRDefault="00CC0739" w:rsidP="00CC0739">
            <w:pPr>
              <w:spacing w:after="0" w:line="240" w:lineRule="auto"/>
              <w:jc w:val="center"/>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Ethnic group</w:t>
            </w:r>
          </w:p>
        </w:tc>
        <w:tc>
          <w:tcPr>
            <w:tcW w:w="0" w:type="auto"/>
            <w:vAlign w:val="center"/>
            <w:hideMark/>
          </w:tcPr>
          <w:p w14:paraId="58E18A24" w14:textId="77777777" w:rsidR="00CC0739" w:rsidRPr="00CC0739" w:rsidRDefault="00CC0739" w:rsidP="00CC0739">
            <w:pPr>
              <w:spacing w:after="0" w:line="240" w:lineRule="auto"/>
              <w:jc w:val="right"/>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Hazard ratio</w:t>
            </w:r>
          </w:p>
        </w:tc>
        <w:tc>
          <w:tcPr>
            <w:tcW w:w="0" w:type="auto"/>
            <w:vAlign w:val="center"/>
            <w:hideMark/>
          </w:tcPr>
          <w:p w14:paraId="5F7D5D52" w14:textId="77777777" w:rsidR="00CC0739" w:rsidRPr="00CC0739" w:rsidRDefault="00CC0739" w:rsidP="00CC0739">
            <w:pPr>
              <w:spacing w:after="0" w:line="240" w:lineRule="auto"/>
              <w:jc w:val="right"/>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95% Confidence interval</w:t>
            </w:r>
          </w:p>
        </w:tc>
        <w:tc>
          <w:tcPr>
            <w:tcW w:w="0" w:type="auto"/>
            <w:vAlign w:val="center"/>
            <w:hideMark/>
          </w:tcPr>
          <w:p w14:paraId="6771EF40" w14:textId="77777777" w:rsidR="00CC0739" w:rsidRPr="00CC0739" w:rsidRDefault="00CC0739" w:rsidP="00CC0739">
            <w:pPr>
              <w:spacing w:after="0" w:line="240" w:lineRule="auto"/>
              <w:jc w:val="right"/>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p-value</w:t>
            </w:r>
          </w:p>
        </w:tc>
      </w:tr>
      <w:tr w:rsidR="00CC0739" w:rsidRPr="00CC0739" w14:paraId="53F7A344" w14:textId="77777777">
        <w:trPr>
          <w:tblCellSpacing w:w="15" w:type="dxa"/>
        </w:trPr>
        <w:tc>
          <w:tcPr>
            <w:tcW w:w="0" w:type="auto"/>
            <w:vAlign w:val="center"/>
            <w:hideMark/>
          </w:tcPr>
          <w:p w14:paraId="6EB9AE74"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Hausa</w:t>
            </w:r>
          </w:p>
        </w:tc>
        <w:tc>
          <w:tcPr>
            <w:tcW w:w="0" w:type="auto"/>
            <w:vAlign w:val="center"/>
            <w:hideMark/>
          </w:tcPr>
          <w:p w14:paraId="646699D7"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1.047</w:t>
            </w:r>
          </w:p>
        </w:tc>
        <w:tc>
          <w:tcPr>
            <w:tcW w:w="0" w:type="auto"/>
            <w:vAlign w:val="center"/>
            <w:hideMark/>
          </w:tcPr>
          <w:p w14:paraId="4F28B721"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0.929–1.181</w:t>
            </w:r>
          </w:p>
        </w:tc>
        <w:tc>
          <w:tcPr>
            <w:tcW w:w="0" w:type="auto"/>
            <w:vAlign w:val="center"/>
            <w:hideMark/>
          </w:tcPr>
          <w:p w14:paraId="680647A6"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0.450</w:t>
            </w:r>
          </w:p>
        </w:tc>
      </w:tr>
      <w:tr w:rsidR="00CC0739" w:rsidRPr="00CC0739" w14:paraId="740474A5" w14:textId="77777777">
        <w:trPr>
          <w:tblCellSpacing w:w="15" w:type="dxa"/>
        </w:trPr>
        <w:tc>
          <w:tcPr>
            <w:tcW w:w="0" w:type="auto"/>
            <w:vAlign w:val="center"/>
            <w:hideMark/>
          </w:tcPr>
          <w:p w14:paraId="5E3F3A1F"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Ibibio</w:t>
            </w:r>
          </w:p>
        </w:tc>
        <w:tc>
          <w:tcPr>
            <w:tcW w:w="0" w:type="auto"/>
            <w:vAlign w:val="center"/>
            <w:hideMark/>
          </w:tcPr>
          <w:p w14:paraId="3AA5AFF9"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0.239</w:t>
            </w:r>
          </w:p>
        </w:tc>
        <w:tc>
          <w:tcPr>
            <w:tcW w:w="0" w:type="auto"/>
            <w:vAlign w:val="center"/>
            <w:hideMark/>
          </w:tcPr>
          <w:p w14:paraId="015CAED7"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0.138–0.414</w:t>
            </w:r>
          </w:p>
        </w:tc>
        <w:tc>
          <w:tcPr>
            <w:tcW w:w="0" w:type="auto"/>
            <w:vAlign w:val="center"/>
            <w:hideMark/>
          </w:tcPr>
          <w:p w14:paraId="5BAC173D"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&lt;0.001</w:t>
            </w:r>
          </w:p>
        </w:tc>
      </w:tr>
      <w:tr w:rsidR="00CC0739" w:rsidRPr="00CC0739" w14:paraId="464581F0" w14:textId="77777777">
        <w:trPr>
          <w:tblCellSpacing w:w="15" w:type="dxa"/>
        </w:trPr>
        <w:tc>
          <w:tcPr>
            <w:tcW w:w="0" w:type="auto"/>
            <w:vAlign w:val="center"/>
            <w:hideMark/>
          </w:tcPr>
          <w:p w14:paraId="69FBE26A"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Igbo/Ibo</w:t>
            </w:r>
          </w:p>
        </w:tc>
        <w:tc>
          <w:tcPr>
            <w:tcW w:w="0" w:type="auto"/>
            <w:vAlign w:val="center"/>
            <w:hideMark/>
          </w:tcPr>
          <w:p w14:paraId="7F29DBBD"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0.543</w:t>
            </w:r>
          </w:p>
        </w:tc>
        <w:tc>
          <w:tcPr>
            <w:tcW w:w="0" w:type="auto"/>
            <w:vAlign w:val="center"/>
            <w:hideMark/>
          </w:tcPr>
          <w:p w14:paraId="03DFDCB2"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0.411–0.717</w:t>
            </w:r>
          </w:p>
        </w:tc>
        <w:tc>
          <w:tcPr>
            <w:tcW w:w="0" w:type="auto"/>
            <w:vAlign w:val="center"/>
            <w:hideMark/>
          </w:tcPr>
          <w:p w14:paraId="3E2255E2"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&lt;0.001</w:t>
            </w:r>
          </w:p>
        </w:tc>
      </w:tr>
      <w:tr w:rsidR="00CC0739" w:rsidRPr="00CC0739" w14:paraId="5A4A2BC9" w14:textId="77777777">
        <w:trPr>
          <w:tblCellSpacing w:w="15" w:type="dxa"/>
        </w:trPr>
        <w:tc>
          <w:tcPr>
            <w:tcW w:w="0" w:type="auto"/>
            <w:vAlign w:val="center"/>
            <w:hideMark/>
          </w:tcPr>
          <w:p w14:paraId="7396AEEC"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Ijaw/Izon</w:t>
            </w:r>
          </w:p>
        </w:tc>
        <w:tc>
          <w:tcPr>
            <w:tcW w:w="0" w:type="auto"/>
            <w:vAlign w:val="center"/>
            <w:hideMark/>
          </w:tcPr>
          <w:p w14:paraId="76C192A9"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0.204</w:t>
            </w:r>
          </w:p>
        </w:tc>
        <w:tc>
          <w:tcPr>
            <w:tcW w:w="0" w:type="auto"/>
            <w:vAlign w:val="center"/>
            <w:hideMark/>
          </w:tcPr>
          <w:p w14:paraId="7B24520E"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0.128–0.325</w:t>
            </w:r>
          </w:p>
        </w:tc>
        <w:tc>
          <w:tcPr>
            <w:tcW w:w="0" w:type="auto"/>
            <w:vAlign w:val="center"/>
            <w:hideMark/>
          </w:tcPr>
          <w:p w14:paraId="3B6CDC3F"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&lt;0.001</w:t>
            </w:r>
          </w:p>
        </w:tc>
      </w:tr>
      <w:tr w:rsidR="00CC0739" w:rsidRPr="00CC0739" w14:paraId="165B0EDD" w14:textId="77777777">
        <w:trPr>
          <w:tblCellSpacing w:w="15" w:type="dxa"/>
        </w:trPr>
        <w:tc>
          <w:tcPr>
            <w:tcW w:w="0" w:type="auto"/>
            <w:vAlign w:val="center"/>
            <w:hideMark/>
          </w:tcPr>
          <w:p w14:paraId="6A7EA21F"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Kanuri/Beriberi</w:t>
            </w:r>
          </w:p>
        </w:tc>
        <w:tc>
          <w:tcPr>
            <w:tcW w:w="0" w:type="auto"/>
            <w:vAlign w:val="center"/>
            <w:hideMark/>
          </w:tcPr>
          <w:p w14:paraId="171E72E1"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0.813</w:t>
            </w:r>
          </w:p>
        </w:tc>
        <w:tc>
          <w:tcPr>
            <w:tcW w:w="0" w:type="auto"/>
            <w:vAlign w:val="center"/>
            <w:hideMark/>
          </w:tcPr>
          <w:p w14:paraId="0629DFA2"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0.640–1.032</w:t>
            </w:r>
          </w:p>
        </w:tc>
        <w:tc>
          <w:tcPr>
            <w:tcW w:w="0" w:type="auto"/>
            <w:vAlign w:val="center"/>
            <w:hideMark/>
          </w:tcPr>
          <w:p w14:paraId="0F74FEAE"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0.089</w:t>
            </w:r>
          </w:p>
        </w:tc>
      </w:tr>
      <w:tr w:rsidR="00CC0739" w:rsidRPr="00CC0739" w14:paraId="702D93C4" w14:textId="77777777">
        <w:trPr>
          <w:tblCellSpacing w:w="15" w:type="dxa"/>
        </w:trPr>
        <w:tc>
          <w:tcPr>
            <w:tcW w:w="0" w:type="auto"/>
            <w:vAlign w:val="center"/>
            <w:hideMark/>
          </w:tcPr>
          <w:p w14:paraId="3E55E9DC"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Other</w:t>
            </w:r>
          </w:p>
        </w:tc>
        <w:tc>
          <w:tcPr>
            <w:tcW w:w="0" w:type="auto"/>
            <w:vAlign w:val="center"/>
            <w:hideMark/>
          </w:tcPr>
          <w:p w14:paraId="00F971E5"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0.574</w:t>
            </w:r>
          </w:p>
        </w:tc>
        <w:tc>
          <w:tcPr>
            <w:tcW w:w="0" w:type="auto"/>
            <w:vAlign w:val="center"/>
            <w:hideMark/>
          </w:tcPr>
          <w:p w14:paraId="7C9310EA"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0.492–0.670</w:t>
            </w:r>
          </w:p>
        </w:tc>
        <w:tc>
          <w:tcPr>
            <w:tcW w:w="0" w:type="auto"/>
            <w:vAlign w:val="center"/>
            <w:hideMark/>
          </w:tcPr>
          <w:p w14:paraId="30FCE017"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&lt;0.001</w:t>
            </w:r>
          </w:p>
        </w:tc>
      </w:tr>
      <w:tr w:rsidR="00CC0739" w:rsidRPr="00CC0739" w14:paraId="4BDBE3CB" w14:textId="77777777">
        <w:trPr>
          <w:tblCellSpacing w:w="15" w:type="dxa"/>
        </w:trPr>
        <w:tc>
          <w:tcPr>
            <w:tcW w:w="0" w:type="auto"/>
            <w:vAlign w:val="center"/>
            <w:hideMark/>
          </w:tcPr>
          <w:p w14:paraId="1F8AB600"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Tiv</w:t>
            </w:r>
          </w:p>
        </w:tc>
        <w:tc>
          <w:tcPr>
            <w:tcW w:w="0" w:type="auto"/>
            <w:vAlign w:val="center"/>
            <w:hideMark/>
          </w:tcPr>
          <w:p w14:paraId="2774D1C7"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0.022</w:t>
            </w:r>
          </w:p>
        </w:tc>
        <w:tc>
          <w:tcPr>
            <w:tcW w:w="0" w:type="auto"/>
            <w:vAlign w:val="center"/>
            <w:hideMark/>
          </w:tcPr>
          <w:p w14:paraId="47A0867A"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0.005–0.099</w:t>
            </w:r>
          </w:p>
        </w:tc>
        <w:tc>
          <w:tcPr>
            <w:tcW w:w="0" w:type="auto"/>
            <w:vAlign w:val="center"/>
            <w:hideMark/>
          </w:tcPr>
          <w:p w14:paraId="7453BF39"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&lt;0.001</w:t>
            </w:r>
          </w:p>
        </w:tc>
      </w:tr>
      <w:tr w:rsidR="00CC0739" w:rsidRPr="00CC0739" w14:paraId="4A1F0958" w14:textId="77777777">
        <w:trPr>
          <w:tblCellSpacing w:w="15" w:type="dxa"/>
        </w:trPr>
        <w:tc>
          <w:tcPr>
            <w:tcW w:w="0" w:type="auto"/>
            <w:vAlign w:val="center"/>
            <w:hideMark/>
          </w:tcPr>
          <w:p w14:paraId="4DBEC6C6" w14:textId="77777777" w:rsidR="00CC0739" w:rsidRPr="00CC0739" w:rsidRDefault="00CC0739" w:rsidP="00CC0739">
            <w:pPr>
              <w:spacing w:after="0"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Yoruba</w:t>
            </w:r>
          </w:p>
        </w:tc>
        <w:tc>
          <w:tcPr>
            <w:tcW w:w="0" w:type="auto"/>
            <w:vAlign w:val="center"/>
            <w:hideMark/>
          </w:tcPr>
          <w:p w14:paraId="2ADC8694"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0.950</w:t>
            </w:r>
          </w:p>
        </w:tc>
        <w:tc>
          <w:tcPr>
            <w:tcW w:w="0" w:type="auto"/>
            <w:vAlign w:val="center"/>
            <w:hideMark/>
          </w:tcPr>
          <w:p w14:paraId="69239DC6"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0.752–1.200</w:t>
            </w:r>
          </w:p>
        </w:tc>
        <w:tc>
          <w:tcPr>
            <w:tcW w:w="0" w:type="auto"/>
            <w:vAlign w:val="center"/>
            <w:hideMark/>
          </w:tcPr>
          <w:p w14:paraId="1668B61C" w14:textId="77777777" w:rsidR="00CC0739" w:rsidRPr="00CC0739" w:rsidRDefault="00CC0739" w:rsidP="00CC0739">
            <w:pPr>
              <w:spacing w:after="0" w:line="240" w:lineRule="auto"/>
              <w:jc w:val="right"/>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0.670</w:t>
            </w:r>
          </w:p>
        </w:tc>
      </w:tr>
    </w:tbl>
    <w:p w14:paraId="23B63F26"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 Cox frailty model indicates lower modeled FGM hazards among several ethnic groups relative to the reference category. The Tiv group had the lowest estimated hazard ratio (HR = 0.022), although this estimate should be interpreted cautiously given the uncertainty associated with the coefficient.</w:t>
      </w:r>
    </w:p>
    <w:p w14:paraId="21A167E7" w14:textId="77777777" w:rsidR="00CC0739" w:rsidRPr="00CC0739" w:rsidRDefault="00CC0739" w:rsidP="00CC073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C0739">
        <w:rPr>
          <w:rFonts w:ascii="Times New Roman" w:eastAsia="Times New Roman" w:hAnsi="Times New Roman" w:cs="Times New Roman"/>
          <w:b/>
          <w:bCs/>
          <w:kern w:val="0"/>
          <w14:ligatures w14:val="none"/>
        </w:rPr>
        <w:t>Record Type</w:t>
      </w:r>
    </w:p>
    <w:p w14:paraId="481BCD41"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Self records had a hazard ratio of 0.590 (95% CI: 0.497–0.701; p &lt; 0.001) relative to the reference record type.</w:t>
      </w:r>
    </w:p>
    <w:p w14:paraId="6D9E0343"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lastRenderedPageBreak/>
        <w:t>This suggests a statistically significant difference in modeled hazard between self-reported and reconstructed daughter records, reinforcing the importance of accounting for reporting source in the analysis.</w:t>
      </w:r>
    </w:p>
    <w:p w14:paraId="61F01A92" w14:textId="77777777" w:rsidR="00CC0739" w:rsidRPr="00CC0739" w:rsidRDefault="00CC0739" w:rsidP="00CC0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0739">
        <w:rPr>
          <w:rFonts w:ascii="Times New Roman" w:eastAsia="Times New Roman" w:hAnsi="Times New Roman" w:cs="Times New Roman"/>
          <w:b/>
          <w:bCs/>
          <w:kern w:val="0"/>
          <w:sz w:val="27"/>
          <w:szCs w:val="27"/>
          <w14:ligatures w14:val="none"/>
        </w:rPr>
        <w:t>8.6 Model Diagnostics and Overall Fit</w:t>
      </w:r>
    </w:p>
    <w:p w14:paraId="53384F32"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 Cox frailty model reported a concordance statistic of 0.891 (standard error = 0.002), indicating strong discrimination between observations with different modeled event risks.</w:t>
      </w:r>
    </w:p>
    <w:p w14:paraId="32430A2E"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 likelihood ratio test was statistically significant (p &lt; 0.001), indicating that the fitted model provides substantial explanatory information relative to a model without the included effects.</w:t>
      </w:r>
    </w:p>
    <w:p w14:paraId="50EA5875"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 estimated variance of the cluster frailty term was 0.951, suggesting that unobserved cluster-level factors contribute to differences in FGM hazard.</w:t>
      </w:r>
    </w:p>
    <w:p w14:paraId="495060DD" w14:textId="77777777" w:rsidR="00CC0739" w:rsidRPr="00CC0739" w:rsidRDefault="00CC0739" w:rsidP="00CC0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0739">
        <w:rPr>
          <w:rFonts w:ascii="Times New Roman" w:eastAsia="Times New Roman" w:hAnsi="Times New Roman" w:cs="Times New Roman"/>
          <w:b/>
          <w:bCs/>
          <w:kern w:val="0"/>
          <w:sz w:val="27"/>
          <w:szCs w:val="27"/>
          <w14:ligatures w14:val="none"/>
        </w:rPr>
        <w:t>8.7 Interpretation and Methodological Considerations</w:t>
      </w:r>
    </w:p>
    <w:p w14:paraId="2BA0C864"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 two models identify broadly consistent patterns for several key predictors, particularly urban residence, regional variation, ethnicity, and record type. This provides a useful cross-check of the substantive findings.</w:t>
      </w:r>
    </w:p>
    <w:p w14:paraId="52347074"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However, the models should not be interpreted as identical estimates because they use different statistical frameworks and account for clustering differently. The survey-design-based model incorporates survey sampling weights, stratification, and clustering in the estimation of uncertainty, whereas the Cox model explicitly models cluster-level heterogeneity through a frailty term.</w:t>
      </w:r>
    </w:p>
    <w:p w14:paraId="40CB00F6"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 Cox frailty model output also shows extremely large and unstable coefficients for the birth cohort variables, with very large standard errors and confidence intervals extending from zero to infinity. These estimates indicate potential estimation problems, such as sparse events or separation, and should not be interpreted as reliable hazard ratios without further investigation.</w:t>
      </w:r>
    </w:p>
    <w:p w14:paraId="46F0A9A5" w14:textId="77777777" w:rsidR="00CC0739" w:rsidRPr="00CC0739" w:rsidRDefault="00CC0739" w:rsidP="00CC0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0739">
        <w:rPr>
          <w:rFonts w:ascii="Times New Roman" w:eastAsia="Times New Roman" w:hAnsi="Times New Roman" w:cs="Times New Roman"/>
          <w:b/>
          <w:bCs/>
          <w:kern w:val="0"/>
          <w:sz w:val="27"/>
          <w:szCs w:val="27"/>
          <w14:ligatures w14:val="none"/>
        </w:rPr>
        <w:t>8.8 Summary</w:t>
      </w:r>
    </w:p>
    <w:p w14:paraId="19A8F556"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Section 8 provides a multivariable assessment of factors associated with FGM hazard using two complementary approaches. The survey-design-based discrete-time hazard model accounts for the complex survey design, while the Cox frailty model explicitly incorporates unobserved cluster-level heterogeneity.</w:t>
      </w:r>
    </w:p>
    <w:p w14:paraId="01D8A848"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Both approaches indicate important differences in FGM hazard by residence, region, ethnicity, and reporting source. The findings highlight the importance of accounting for demographic, geographical, and contextual factors when estimating FGM risk.</w:t>
      </w:r>
    </w:p>
    <w:p w14:paraId="6FBC82EF"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 xml:space="preserve">The agreement between the two models for several substantive predictors supports the robustness of these associations. Nevertheless, the unstable birth cohort estimates in the Cox frailty model </w:t>
      </w:r>
      <w:r w:rsidRPr="00CC0739">
        <w:rPr>
          <w:rFonts w:ascii="Times New Roman" w:eastAsia="Times New Roman" w:hAnsi="Times New Roman" w:cs="Times New Roman"/>
          <w:kern w:val="0"/>
          <w14:ligatures w14:val="none"/>
        </w:rPr>
        <w:lastRenderedPageBreak/>
        <w:t>require additional diagnostic assessment before the model can be considered suitable for definitive inference on cohort-specific hazard ratios.</w:t>
      </w:r>
    </w:p>
    <w:p w14:paraId="40CA0002" w14:textId="77777777" w:rsidR="00CC0739" w:rsidRPr="00CC0739" w:rsidRDefault="00CC0739" w:rsidP="00CC07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0739">
        <w:rPr>
          <w:rFonts w:ascii="Times New Roman" w:eastAsia="Times New Roman" w:hAnsi="Times New Roman" w:cs="Times New Roman"/>
          <w:b/>
          <w:bCs/>
          <w:kern w:val="0"/>
          <w:sz w:val="36"/>
          <w:szCs w:val="36"/>
          <w14:ligatures w14:val="none"/>
        </w:rPr>
        <w:t>8. Comparison of the Two Hazard Models</w:t>
      </w:r>
    </w:p>
    <w:p w14:paraId="206F126A"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Two complementary hazard models were estimated to assess the timing and predictors of FGM occurrence:</w:t>
      </w:r>
    </w:p>
    <w:p w14:paraId="60221D22" w14:textId="77777777" w:rsidR="00CC0739" w:rsidRPr="00CC0739" w:rsidRDefault="00CC0739" w:rsidP="00CC073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 xml:space="preserve">A survey-weighted discrete-time hazard model using </w:t>
      </w:r>
      <w:r w:rsidRPr="00CC0739">
        <w:rPr>
          <w:rFonts w:ascii="Courier New" w:eastAsia="Times New Roman" w:hAnsi="Courier New" w:cs="Courier New"/>
          <w:kern w:val="0"/>
          <w:sz w:val="20"/>
          <w:szCs w:val="20"/>
          <w14:ligatures w14:val="none"/>
        </w:rPr>
        <w:t>svyglm()</w:t>
      </w:r>
      <w:r w:rsidRPr="00CC0739">
        <w:rPr>
          <w:rFonts w:ascii="Times New Roman" w:eastAsia="Times New Roman" w:hAnsi="Times New Roman" w:cs="Times New Roman"/>
          <w:kern w:val="0"/>
          <w14:ligatures w14:val="none"/>
        </w:rPr>
        <w:t xml:space="preserve"> with a quasibinomial specification.</w:t>
      </w:r>
    </w:p>
    <w:p w14:paraId="17C49D23" w14:textId="77777777" w:rsidR="00CC0739" w:rsidRPr="00CC0739" w:rsidRDefault="00CC0739" w:rsidP="00CC073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A Cox proportional hazards model with a shared frailty term for the survey cluster.</w:t>
      </w:r>
    </w:p>
    <w:p w14:paraId="6CCCFDE3"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 xml:space="preserve">The two models produced </w:t>
      </w:r>
      <w:r w:rsidRPr="00CC0739">
        <w:rPr>
          <w:rFonts w:ascii="Times New Roman" w:eastAsia="Times New Roman" w:hAnsi="Times New Roman" w:cs="Times New Roman"/>
          <w:b/>
          <w:bCs/>
          <w:kern w:val="0"/>
          <w14:ligatures w14:val="none"/>
        </w:rPr>
        <w:t>broadly consistent findings</w:t>
      </w:r>
      <w:r w:rsidRPr="00CC0739">
        <w:rPr>
          <w:rFonts w:ascii="Times New Roman" w:eastAsia="Times New Roman" w:hAnsi="Times New Roman" w:cs="Times New Roman"/>
          <w:kern w:val="0"/>
          <w14:ligatures w14:val="none"/>
        </w:rPr>
        <w:t>, but they did not agree on every predictor. The strongest agreement was observed for urban–rural residence, record type, and several regional and ethnic differences.</w:t>
      </w:r>
    </w:p>
    <w:p w14:paraId="0F34D3D2" w14:textId="77777777" w:rsidR="00CC0739" w:rsidRPr="00CC0739" w:rsidRDefault="00CC0739" w:rsidP="00CC0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0739">
        <w:rPr>
          <w:rFonts w:ascii="Times New Roman" w:eastAsia="Times New Roman" w:hAnsi="Times New Roman" w:cs="Times New Roman"/>
          <w:b/>
          <w:bCs/>
          <w:kern w:val="0"/>
          <w:sz w:val="27"/>
          <w:szCs w:val="27"/>
          <w14:ligatures w14:val="none"/>
        </w:rPr>
        <w:t>8.1 Areas of Agreement</w:t>
      </w:r>
    </w:p>
    <w:p w14:paraId="78AED768"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Both models indicated that respondents from urban areas had a lower FGM hazard than those from rural areas. In the survey-weighted model, the coefficient for urban residence was negative and statistically significant. The Cox model produced a hazard ratio of approximately 0.73, indicating that the estimated hazard among urban respondents was about 27% lower than that of rural respondents, holding other variables constant.</w:t>
      </w:r>
    </w:p>
    <w:p w14:paraId="668AB2DB"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 models also agreed on the effect of record type. Self-reported respondent records had a lower estimated FGM hazard than daughter records. This finding was statistically significant in both models, suggesting that the distinction between respondent and reconstructed daughter records is substantively important.</w:t>
      </w:r>
    </w:p>
    <w:p w14:paraId="71FC61FC" w14:textId="77777777" w:rsid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There was also broad agreement across several regional and ethnic categories. Both models identified higher estimated hazard in regions such as Ekiti, Imo, Jigawa, Kaduna, Katsina, Kwara, and Nasarawa. Similarly, both models indicated lower hazard among several ethnic groups, including Ibibio, Igbo/Ibo, Ijaw/Izon, Other, and Tiv. These consistent patterns provide greater confidence that the corresponding differences are not solely attributable to the choice of modelling framework.</w:t>
      </w:r>
    </w:p>
    <w:p w14:paraId="3413F5AF" w14:textId="77777777" w:rsidR="00F364DF" w:rsidRDefault="00F364DF" w:rsidP="00F364DF">
      <w:pPr>
        <w:pStyle w:val="NormalWeb"/>
        <w:shd w:val="clear" w:color="auto" w:fill="191A1B"/>
        <w:spacing w:before="24" w:beforeAutospacing="0" w:after="48" w:afterAutospacing="0"/>
        <w:rPr>
          <w:rFonts w:ascii="Segoe UI" w:hAnsi="Segoe UI" w:cs="Segoe UI"/>
          <w:color w:val="BFBFBF"/>
          <w:sz w:val="20"/>
          <w:szCs w:val="20"/>
        </w:rPr>
      </w:pPr>
      <w:r>
        <w:rPr>
          <w:rStyle w:val="HTMLCode"/>
          <w:b/>
          <w:bCs/>
          <w:color w:val="8C8C8C"/>
          <w:sz w:val="18"/>
          <w:szCs w:val="18"/>
          <w:shd w:val="clear" w:color="auto" w:fill="262626"/>
        </w:rPr>
        <w:t>hazard_model_design_based</w:t>
      </w:r>
      <w:r>
        <w:rPr>
          <w:rFonts w:ascii="Segoe UI" w:hAnsi="Segoe UI" w:cs="Segoe UI"/>
          <w:color w:val="BFBFBF"/>
          <w:sz w:val="20"/>
          <w:szCs w:val="20"/>
        </w:rPr>
        <w:t xml:space="preserve"> — a survey-weighted regression estimating the probability of being cut at each age, given age, birth cohort, region, ethnicity, and urban/rural. It uses the DHS sample design (clusters/strata/weights) to get correct standard errors, since ignoring clustering would make the results look more certain than they really are.</w:t>
      </w:r>
    </w:p>
    <w:p w14:paraId="7CC50221" w14:textId="77777777" w:rsidR="00F364DF" w:rsidRDefault="00F364DF" w:rsidP="00F364DF">
      <w:pPr>
        <w:pStyle w:val="NormalWeb"/>
        <w:shd w:val="clear" w:color="auto" w:fill="191A1B"/>
        <w:spacing w:before="24" w:beforeAutospacing="0" w:after="48" w:afterAutospacing="0"/>
        <w:rPr>
          <w:rFonts w:ascii="Segoe UI" w:hAnsi="Segoe UI" w:cs="Segoe UI"/>
          <w:color w:val="BFBFBF"/>
          <w:sz w:val="20"/>
          <w:szCs w:val="20"/>
        </w:rPr>
      </w:pPr>
      <w:r>
        <w:rPr>
          <w:rStyle w:val="HTMLCode"/>
          <w:b/>
          <w:bCs/>
          <w:color w:val="8C8C8C"/>
          <w:sz w:val="18"/>
          <w:szCs w:val="18"/>
          <w:shd w:val="clear" w:color="auto" w:fill="262626"/>
        </w:rPr>
        <w:t>hazard_model_frailty</w:t>
      </w:r>
      <w:r>
        <w:rPr>
          <w:rFonts w:ascii="Segoe UI" w:hAnsi="Segoe UI" w:cs="Segoe UI"/>
          <w:color w:val="BFBFBF"/>
          <w:sz w:val="20"/>
          <w:szCs w:val="20"/>
        </w:rPr>
        <w:t xml:space="preserve"> — the same idea, same covariates, but instead of just correcting standard errors for clustering, it explicitly adds a random effect per cluster (</w:t>
      </w:r>
      <w:r>
        <w:rPr>
          <w:rStyle w:val="HTMLCode"/>
          <w:color w:val="8C8C8C"/>
          <w:sz w:val="18"/>
          <w:szCs w:val="18"/>
          <w:shd w:val="clear" w:color="auto" w:fill="262626"/>
        </w:rPr>
        <w:t>frailty(cluster)</w:t>
      </w:r>
      <w:r>
        <w:rPr>
          <w:rFonts w:ascii="Segoe UI" w:hAnsi="Segoe UI" w:cs="Segoe UI"/>
          <w:color w:val="BFBFBF"/>
          <w:sz w:val="20"/>
          <w:szCs w:val="20"/>
        </w:rPr>
        <w:t>) — capturing unmeasured local factors (community norms, a local practitioner) that make cutting risk vary place to place beyond what age/cohort/region/ethnicity alone explain.</w:t>
      </w:r>
    </w:p>
    <w:p w14:paraId="2CEF97BD" w14:textId="77777777" w:rsidR="00F364DF" w:rsidRDefault="00F364DF" w:rsidP="00F364DF">
      <w:pPr>
        <w:pStyle w:val="NormalWeb"/>
        <w:shd w:val="clear" w:color="auto" w:fill="191A1B"/>
        <w:spacing w:before="24" w:beforeAutospacing="0" w:after="48" w:afterAutospacing="0"/>
        <w:rPr>
          <w:rFonts w:ascii="Segoe UI" w:hAnsi="Segoe UI" w:cs="Segoe UI"/>
          <w:color w:val="BFBFBF"/>
          <w:sz w:val="20"/>
          <w:szCs w:val="20"/>
        </w:rPr>
      </w:pPr>
      <w:r>
        <w:rPr>
          <w:rFonts w:ascii="Segoe UI" w:hAnsi="Segoe UI" w:cs="Segoe UI"/>
          <w:color w:val="BFBFBF"/>
          <w:sz w:val="20"/>
          <w:szCs w:val="20"/>
        </w:rPr>
        <w:lastRenderedPageBreak/>
        <w:t xml:space="preserve">In short: </w:t>
      </w:r>
      <w:r>
        <w:rPr>
          <w:rStyle w:val="Strong"/>
          <w:rFonts w:ascii="Segoe UI" w:hAnsi="Segoe UI" w:cs="Segoe UI"/>
          <w:color w:val="BFBFBF"/>
          <w:sz w:val="20"/>
          <w:szCs w:val="20"/>
        </w:rPr>
        <w:t>both estimate the same "what predicts cutting risk" question — one corrects for clustering statistically, the other models clustering directly as its own effect — run together as a cross-check on each other.</w:t>
      </w:r>
    </w:p>
    <w:p w14:paraId="2A2BF483" w14:textId="77777777" w:rsidR="00F364DF" w:rsidRPr="00CC0739" w:rsidRDefault="00F364DF" w:rsidP="00CC0739">
      <w:pPr>
        <w:spacing w:before="100" w:beforeAutospacing="1" w:after="100" w:afterAutospacing="1" w:line="240" w:lineRule="auto"/>
        <w:rPr>
          <w:rFonts w:ascii="Times New Roman" w:eastAsia="Times New Roman" w:hAnsi="Times New Roman" w:cs="Times New Roman"/>
          <w:kern w:val="0"/>
          <w14:ligatures w14:val="none"/>
        </w:rPr>
      </w:pPr>
    </w:p>
    <w:p w14:paraId="7A47E5FF" w14:textId="77777777" w:rsidR="00CC0739" w:rsidRPr="00CC0739" w:rsidRDefault="00CC0739" w:rsidP="00CC0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0739">
        <w:rPr>
          <w:rFonts w:ascii="Times New Roman" w:eastAsia="Times New Roman" w:hAnsi="Times New Roman" w:cs="Times New Roman"/>
          <w:b/>
          <w:bCs/>
          <w:kern w:val="0"/>
          <w:sz w:val="27"/>
          <w:szCs w:val="27"/>
          <w14:ligatures w14:val="none"/>
        </w:rPr>
        <w:t>8.2 Areas of Partial Agreement</w:t>
      </w:r>
    </w:p>
    <w:p w14:paraId="334F6598"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 models did not always produce the same statistical significance levels for every region or ethnic group. For example, some regions were statistically significant in one model but not in the other. Differences in significance may reflect the different estimation frameworks, the treatment of clustering, the use of survey weights, and the assumptions underlying the Cox frailty model.</w:t>
      </w:r>
    </w:p>
    <w:p w14:paraId="07F938BC"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Similarly, Kanuri/Beriberi and Yoruba were statistically significant in the survey-weighted model but were not statistically significant in the Cox model. These findings should therefore be interpreted cautiously rather than being presented as fully robust across both approaches.</w:t>
      </w:r>
    </w:p>
    <w:p w14:paraId="7F0246D4" w14:textId="77777777" w:rsidR="00CC0739" w:rsidRPr="00CC0739" w:rsidRDefault="00CC0739" w:rsidP="00CC0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0739">
        <w:rPr>
          <w:rFonts w:ascii="Times New Roman" w:eastAsia="Times New Roman" w:hAnsi="Times New Roman" w:cs="Times New Roman"/>
          <w:b/>
          <w:bCs/>
          <w:kern w:val="0"/>
          <w:sz w:val="27"/>
          <w:szCs w:val="27"/>
          <w14:ligatures w14:val="none"/>
        </w:rPr>
        <w:t>8.3 Birth-Cohort Effects</w:t>
      </w:r>
    </w:p>
    <w:p w14:paraId="15643E9C"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 greatest disagreement occurred for birth-cohort effects. The survey-weighted discrete-time hazard model showed a clear pattern of lower FGM hazard among several later birth cohorts relative to the reference cohort. This pattern is consistent with a reduction in the risk of FGM among more recent generations.</w:t>
      </w:r>
    </w:p>
    <w:p w14:paraId="41C2A96F"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In contrast, the birth-cohort estimates from the Cox frailty model were unstable. Several coefficients were either estimated as zero or were associated with extremely large standard errors. The resulting hazard ratios were exceptionally large, with confidence intervals extending from zero to infinity. This indicates potential problems with sparse data, separation, or limited identifiability between birth cohort and the age-based time structure.</w:t>
      </w:r>
    </w:p>
    <w:p w14:paraId="63EADB18"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Consequently, the birth-cohort estimates from the Cox model were not interpreted substantively. The survey-weighted discrete-time model was retained as the primary basis for interpreting birth-cohort patterns, while the Cox frailty model was used as a complementary robustness analysis.</w:t>
      </w:r>
    </w:p>
    <w:p w14:paraId="43E40468" w14:textId="77777777" w:rsidR="00CC0739" w:rsidRPr="00CC0739" w:rsidRDefault="00CC0739" w:rsidP="00CC0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0739">
        <w:rPr>
          <w:rFonts w:ascii="Times New Roman" w:eastAsia="Times New Roman" w:hAnsi="Times New Roman" w:cs="Times New Roman"/>
          <w:b/>
          <w:bCs/>
          <w:kern w:val="0"/>
          <w:sz w:val="27"/>
          <w:szCs w:val="27"/>
          <w14:ligatures w14:val="none"/>
        </w:rPr>
        <w:t>8.4 Interpretation of Age</w:t>
      </w:r>
    </w:p>
    <w:p w14:paraId="1D89D7B6"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 xml:space="preserve">The age terms in the two models are not directly comparable. In the survey-weighted discrete-time model, </w:t>
      </w:r>
      <w:r w:rsidRPr="00CC0739">
        <w:rPr>
          <w:rFonts w:ascii="Courier New" w:eastAsia="Times New Roman" w:hAnsi="Courier New" w:cs="Courier New"/>
          <w:kern w:val="0"/>
          <w:sz w:val="20"/>
          <w:szCs w:val="20"/>
          <w14:ligatures w14:val="none"/>
        </w:rPr>
        <w:t>age_year</w:t>
      </w:r>
      <w:r w:rsidRPr="00CC0739">
        <w:rPr>
          <w:rFonts w:ascii="Times New Roman" w:eastAsia="Times New Roman" w:hAnsi="Times New Roman" w:cs="Times New Roman"/>
          <w:kern w:val="0"/>
          <w14:ligatures w14:val="none"/>
        </w:rPr>
        <w:t xml:space="preserve"> is included as an explanatory variable and its negative coefficient indicates that the probability of experiencing FGM decreases across the observed age intervals.</w:t>
      </w:r>
    </w:p>
    <w:p w14:paraId="4C2510FF"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In the Cox model, age is used as the underlying time scale through:</w:t>
      </w:r>
    </w:p>
    <w:p w14:paraId="4509E319" w14:textId="77777777" w:rsidR="00CC0739" w:rsidRPr="00CC0739" w:rsidRDefault="00CC0739" w:rsidP="00CC0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0739">
        <w:rPr>
          <w:rFonts w:ascii="Courier New" w:eastAsia="Times New Roman" w:hAnsi="Courier New" w:cs="Courier New"/>
          <w:kern w:val="0"/>
          <w:sz w:val="20"/>
          <w:szCs w:val="20"/>
          <w14:ligatures w14:val="none"/>
        </w:rPr>
        <w:t>Surv(age_year, age_year + 1, event)</w:t>
      </w:r>
    </w:p>
    <w:p w14:paraId="275A1578"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lastRenderedPageBreak/>
        <w:t>Therefore, age is not estimated as an ordinary covariate in the Cox model. The age effect from the survey-weighted model should not be compared directly with a conventional age coefficient from the Cox model.</w:t>
      </w:r>
    </w:p>
    <w:p w14:paraId="45F658D6" w14:textId="77777777" w:rsidR="00CC0739" w:rsidRPr="00CC0739" w:rsidRDefault="00CC0739" w:rsidP="00CC073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0739">
        <w:rPr>
          <w:rFonts w:ascii="Times New Roman" w:eastAsia="Times New Roman" w:hAnsi="Times New Roman" w:cs="Times New Roman"/>
          <w:b/>
          <w:bCs/>
          <w:kern w:val="0"/>
          <w:sz w:val="27"/>
          <w:szCs w:val="27"/>
          <w14:ligatures w14:val="none"/>
        </w:rPr>
        <w:t>8.5 Overall Assessment</w:t>
      </w:r>
    </w:p>
    <w:p w14:paraId="16BAE515"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 xml:space="preserve">Overall, the two models provide </w:t>
      </w:r>
      <w:r w:rsidRPr="00CC0739">
        <w:rPr>
          <w:rFonts w:ascii="Times New Roman" w:eastAsia="Times New Roman" w:hAnsi="Times New Roman" w:cs="Times New Roman"/>
          <w:b/>
          <w:bCs/>
          <w:kern w:val="0"/>
          <w14:ligatures w14:val="none"/>
        </w:rPr>
        <w:t>supporting but not identical evidence</w:t>
      </w:r>
      <w:r w:rsidRPr="00CC0739">
        <w:rPr>
          <w:rFonts w:ascii="Times New Roman" w:eastAsia="Times New Roman" w:hAnsi="Times New Roman" w:cs="Times New Roman"/>
          <w:kern w:val="0"/>
          <w14:ligatures w14:val="none"/>
        </w:rPr>
        <w:t>. They agree on the main findings concerning urban–rural residence, record type, and several regional and ethnic differences. However, the agreement is incomplete for individual categories, and the Cox birth-cohort estimates are clearly unstable.</w:t>
      </w:r>
    </w:p>
    <w:p w14:paraId="1AF31A38" w14:textId="77777777" w:rsidR="00CC0739" w:rsidRP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The survey-weighted discrete-time hazard model is therefore considered the primary model for substantive interpretation because it directly incorporates the survey design and provides interpretable age-specific event probabilities. The Cox frailty model is retained as a complementary analysis to assess whether the main findings remain broadly consistent after accounting for clustering at the survey-cluster level.</w:t>
      </w:r>
    </w:p>
    <w:p w14:paraId="7B4183AC" w14:textId="77777777" w:rsidR="00CC0739" w:rsidRDefault="00CC0739" w:rsidP="00CC0739">
      <w:pPr>
        <w:spacing w:before="100" w:beforeAutospacing="1" w:after="100" w:afterAutospacing="1" w:line="240" w:lineRule="auto"/>
        <w:rPr>
          <w:rFonts w:ascii="Times New Roman" w:eastAsia="Times New Roman" w:hAnsi="Times New Roman" w:cs="Times New Roman"/>
          <w:kern w:val="0"/>
          <w14:ligatures w14:val="none"/>
        </w:rPr>
      </w:pPr>
      <w:r w:rsidRPr="00CC0739">
        <w:rPr>
          <w:rFonts w:ascii="Times New Roman" w:eastAsia="Times New Roman" w:hAnsi="Times New Roman" w:cs="Times New Roman"/>
          <w:kern w:val="0"/>
          <w14:ligatures w14:val="none"/>
        </w:rPr>
        <w:t xml:space="preserve">The results should consequently be described as showing </w:t>
      </w:r>
      <w:r w:rsidRPr="00CC0739">
        <w:rPr>
          <w:rFonts w:ascii="Times New Roman" w:eastAsia="Times New Roman" w:hAnsi="Times New Roman" w:cs="Times New Roman"/>
          <w:b/>
          <w:bCs/>
          <w:kern w:val="0"/>
          <w14:ligatures w14:val="none"/>
        </w:rPr>
        <w:t>broad directional agreement between the models</w:t>
      </w:r>
      <w:r w:rsidRPr="00CC0739">
        <w:rPr>
          <w:rFonts w:ascii="Times New Roman" w:eastAsia="Times New Roman" w:hAnsi="Times New Roman" w:cs="Times New Roman"/>
          <w:kern w:val="0"/>
          <w14:ligatures w14:val="none"/>
        </w:rPr>
        <w:t>, rather than complete agreement across all predictors and statistical significance levels.</w:t>
      </w:r>
    </w:p>
    <w:p w14:paraId="2A46D1D2" w14:textId="77777777" w:rsidR="007F5828" w:rsidRPr="007F5828" w:rsidRDefault="007F5828" w:rsidP="007F58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828">
        <w:rPr>
          <w:rFonts w:ascii="Times New Roman" w:eastAsia="Times New Roman" w:hAnsi="Times New Roman" w:cs="Times New Roman"/>
          <w:b/>
          <w:bCs/>
          <w:kern w:val="0"/>
          <w:sz w:val="27"/>
          <w:szCs w:val="27"/>
          <w:highlight w:val="red"/>
          <w14:ligatures w14:val="none"/>
        </w:rPr>
        <w:t>Summary of the Design-Based Hazard Model Results</w:t>
      </w:r>
    </w:p>
    <w:p w14:paraId="79EC3B4E" w14:textId="77777777" w:rsidR="007F5828" w:rsidRPr="007F5828" w:rsidRDefault="007F5828" w:rsidP="007F5828">
      <w:pPr>
        <w:spacing w:before="100" w:beforeAutospacing="1" w:after="100" w:afterAutospacing="1" w:line="240" w:lineRule="auto"/>
        <w:rPr>
          <w:rFonts w:ascii="Times New Roman" w:eastAsia="Times New Roman" w:hAnsi="Times New Roman" w:cs="Times New Roman"/>
          <w:kern w:val="0"/>
          <w14:ligatures w14:val="none"/>
        </w:rPr>
      </w:pPr>
      <w:r w:rsidRPr="007F5828">
        <w:rPr>
          <w:rFonts w:ascii="Times New Roman" w:eastAsia="Times New Roman" w:hAnsi="Times New Roman" w:cs="Times New Roman"/>
          <w:kern w:val="0"/>
          <w14:ligatures w14:val="none"/>
        </w:rPr>
        <w:t>The survey-weighted discrete-time hazard model estimates how different factors are associated with the likelihood of experiencing FGM during a specific age interval. The model uses a logistic link, meaning that coefficients are expressed as changes in log-odds.</w:t>
      </w:r>
    </w:p>
    <w:p w14:paraId="76AC0D41" w14:textId="77777777" w:rsidR="007F5828" w:rsidRPr="007F5828" w:rsidRDefault="007F5828" w:rsidP="007F582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F5828">
        <w:rPr>
          <w:rFonts w:ascii="Times New Roman" w:eastAsia="Times New Roman" w:hAnsi="Times New Roman" w:cs="Times New Roman"/>
          <w:kern w:val="0"/>
          <w14:ligatures w14:val="none"/>
        </w:rPr>
        <w:t>Negative coefficients indicate lower FGM risk compared with the reference group.</w:t>
      </w:r>
    </w:p>
    <w:p w14:paraId="4185626F" w14:textId="77777777" w:rsidR="007F5828" w:rsidRPr="007F5828" w:rsidRDefault="007F5828" w:rsidP="007F582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F5828">
        <w:rPr>
          <w:rFonts w:ascii="Times New Roman" w:eastAsia="Times New Roman" w:hAnsi="Times New Roman" w:cs="Times New Roman"/>
          <w:kern w:val="0"/>
          <w14:ligatures w14:val="none"/>
        </w:rPr>
        <w:t>Positive coefficients indicate higher FGM risk.</w:t>
      </w:r>
    </w:p>
    <w:p w14:paraId="351E24DA" w14:textId="77777777" w:rsidR="007F5828" w:rsidRPr="007F5828" w:rsidRDefault="007F5828" w:rsidP="007F582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F5828">
        <w:rPr>
          <w:rFonts w:ascii="Times New Roman" w:eastAsia="Times New Roman" w:hAnsi="Times New Roman" w:cs="Times New Roman"/>
          <w:kern w:val="0"/>
          <w14:ligatures w14:val="none"/>
        </w:rPr>
        <w:t>The size of the coefficient shows the strength and direction of the association.</w:t>
      </w:r>
    </w:p>
    <w:p w14:paraId="60788195" w14:textId="77777777" w:rsidR="007F5828" w:rsidRPr="007F5828" w:rsidRDefault="007F5828" w:rsidP="007F5828">
      <w:pPr>
        <w:spacing w:before="100" w:beforeAutospacing="1" w:after="100" w:afterAutospacing="1" w:line="240" w:lineRule="auto"/>
        <w:rPr>
          <w:rFonts w:ascii="Times New Roman" w:eastAsia="Times New Roman" w:hAnsi="Times New Roman" w:cs="Times New Roman"/>
          <w:kern w:val="0"/>
          <w14:ligatures w14:val="none"/>
        </w:rPr>
      </w:pPr>
      <w:r w:rsidRPr="007F5828">
        <w:rPr>
          <w:rFonts w:ascii="Times New Roman" w:eastAsia="Times New Roman" w:hAnsi="Times New Roman" w:cs="Times New Roman"/>
          <w:kern w:val="0"/>
          <w14:ligatures w14:val="none"/>
        </w:rPr>
        <w:t>For example, the coefficient for the 2000–2004 birth cohort is −0.87. This means that, compared with the 1970–1974 reference cohort, the 2000–2004 cohort has lower estimated odds of experiencing FGM during a given year. Exponentiating the coefficient gives an odds ratio of approximately 0.42, suggesting about 58% lower odds, holding other factors constant.</w:t>
      </w:r>
    </w:p>
    <w:p w14:paraId="0A10086D" w14:textId="77777777" w:rsidR="007F5828" w:rsidRPr="007F5828" w:rsidRDefault="007F5828" w:rsidP="007F58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828">
        <w:rPr>
          <w:rFonts w:ascii="Times New Roman" w:eastAsia="Times New Roman" w:hAnsi="Times New Roman" w:cs="Times New Roman"/>
          <w:b/>
          <w:bCs/>
          <w:kern w:val="0"/>
          <w:sz w:val="27"/>
          <w:szCs w:val="27"/>
          <w14:ligatures w14:val="none"/>
        </w:rPr>
        <w:t>Interpretation of p-values</w:t>
      </w:r>
    </w:p>
    <w:p w14:paraId="241FE22A" w14:textId="77777777" w:rsidR="007F5828" w:rsidRPr="007F5828" w:rsidRDefault="007F5828" w:rsidP="007F5828">
      <w:pPr>
        <w:spacing w:before="100" w:beforeAutospacing="1" w:after="100" w:afterAutospacing="1" w:line="240" w:lineRule="auto"/>
        <w:rPr>
          <w:rFonts w:ascii="Times New Roman" w:eastAsia="Times New Roman" w:hAnsi="Times New Roman" w:cs="Times New Roman"/>
          <w:kern w:val="0"/>
          <w14:ligatures w14:val="none"/>
        </w:rPr>
      </w:pPr>
      <w:r w:rsidRPr="007F5828">
        <w:rPr>
          <w:rFonts w:ascii="Times New Roman" w:eastAsia="Times New Roman" w:hAnsi="Times New Roman" w:cs="Times New Roman"/>
          <w:kern w:val="0"/>
          <w14:ligatures w14:val="none"/>
        </w:rPr>
        <w:t>The p-value indicates whether the observed association is likely to be due to sampling variation if there were no real association.</w:t>
      </w:r>
    </w:p>
    <w:p w14:paraId="7634314F" w14:textId="77777777" w:rsidR="007F5828" w:rsidRPr="007F5828" w:rsidRDefault="007F5828" w:rsidP="007F582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F5828">
        <w:rPr>
          <w:rFonts w:ascii="Times New Roman" w:eastAsia="Times New Roman" w:hAnsi="Times New Roman" w:cs="Times New Roman"/>
          <w:kern w:val="0"/>
          <w14:ligatures w14:val="none"/>
        </w:rPr>
        <w:t>p-value below 0.05: statistically significant association.</w:t>
      </w:r>
    </w:p>
    <w:p w14:paraId="4B548B8D" w14:textId="77777777" w:rsidR="007F5828" w:rsidRPr="007F5828" w:rsidRDefault="007F5828" w:rsidP="007F582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F5828">
        <w:rPr>
          <w:rFonts w:ascii="Times New Roman" w:eastAsia="Times New Roman" w:hAnsi="Times New Roman" w:cs="Times New Roman"/>
          <w:kern w:val="0"/>
          <w14:ligatures w14:val="none"/>
        </w:rPr>
        <w:t>p-value above 0.05: insufficient evidence of a statistically significant association.</w:t>
      </w:r>
    </w:p>
    <w:p w14:paraId="057A70A0" w14:textId="77777777" w:rsidR="007F5828" w:rsidRPr="007F5828" w:rsidRDefault="007F5828" w:rsidP="007F5828">
      <w:pPr>
        <w:spacing w:before="100" w:beforeAutospacing="1" w:after="100" w:afterAutospacing="1" w:line="240" w:lineRule="auto"/>
        <w:rPr>
          <w:rFonts w:ascii="Times New Roman" w:eastAsia="Times New Roman" w:hAnsi="Times New Roman" w:cs="Times New Roman"/>
          <w:kern w:val="0"/>
          <w14:ligatures w14:val="none"/>
        </w:rPr>
      </w:pPr>
      <w:r w:rsidRPr="007F5828">
        <w:rPr>
          <w:rFonts w:ascii="Times New Roman" w:eastAsia="Times New Roman" w:hAnsi="Times New Roman" w:cs="Times New Roman"/>
          <w:kern w:val="0"/>
          <w14:ligatures w14:val="none"/>
        </w:rPr>
        <w:lastRenderedPageBreak/>
        <w:t>The model calculates standard errors while accounting for the DHS survey design, including sampling weights, clustering, and stratification. This helps produce more appropriate estimates of uncertainty.</w:t>
      </w:r>
    </w:p>
    <w:p w14:paraId="453F59C8" w14:textId="77777777" w:rsidR="007F5828" w:rsidRPr="007F5828" w:rsidRDefault="007F5828" w:rsidP="007F5828">
      <w:pPr>
        <w:spacing w:before="100" w:beforeAutospacing="1" w:after="100" w:afterAutospacing="1" w:line="240" w:lineRule="auto"/>
        <w:rPr>
          <w:rFonts w:ascii="Times New Roman" w:eastAsia="Times New Roman" w:hAnsi="Times New Roman" w:cs="Times New Roman"/>
          <w:kern w:val="0"/>
          <w14:ligatures w14:val="none"/>
        </w:rPr>
      </w:pPr>
      <w:r w:rsidRPr="007F5828">
        <w:rPr>
          <w:rFonts w:ascii="Times New Roman" w:eastAsia="Times New Roman" w:hAnsi="Times New Roman" w:cs="Times New Roman"/>
          <w:kern w:val="0"/>
          <w14:ligatures w14:val="none"/>
        </w:rPr>
        <w:t>In summary: the coefficient shows the direction and strength of the association, while the p-value shows how strong the evidence is for that association.</w:t>
      </w:r>
    </w:p>
    <w:p w14:paraId="5CC7540C" w14:textId="77777777" w:rsidR="007F5828" w:rsidRDefault="007F5828" w:rsidP="00CC0739">
      <w:pPr>
        <w:spacing w:before="100" w:beforeAutospacing="1" w:after="100" w:afterAutospacing="1" w:line="240" w:lineRule="auto"/>
        <w:rPr>
          <w:rFonts w:ascii="Times New Roman" w:eastAsia="Times New Roman" w:hAnsi="Times New Roman" w:cs="Times New Roman"/>
          <w:kern w:val="0"/>
          <w14:ligatures w14:val="none"/>
        </w:rPr>
      </w:pPr>
    </w:p>
    <w:p w14:paraId="66A80FDD" w14:textId="77777777" w:rsidR="00551C18" w:rsidRPr="00551C18" w:rsidRDefault="00551C18" w:rsidP="00551C1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C18">
        <w:rPr>
          <w:rFonts w:ascii="Times New Roman" w:eastAsia="Times New Roman" w:hAnsi="Times New Roman" w:cs="Times New Roman"/>
          <w:b/>
          <w:bCs/>
          <w:kern w:val="0"/>
          <w:sz w:val="27"/>
          <w:szCs w:val="27"/>
          <w14:ligatures w14:val="none"/>
        </w:rPr>
        <w:t>Figure 9. Smoothed birth-cohort effect on FGM risk in Nigeria</w:t>
      </w:r>
    </w:p>
    <w:p w14:paraId="58756D85" w14:textId="77777777" w:rsidR="00551C18" w:rsidRPr="00551C18" w:rsidRDefault="00551C18" w:rsidP="00551C18">
      <w:pPr>
        <w:spacing w:before="100" w:beforeAutospacing="1" w:after="100" w:afterAutospacing="1" w:line="240" w:lineRule="auto"/>
        <w:rPr>
          <w:rFonts w:ascii="Times New Roman" w:eastAsia="Times New Roman" w:hAnsi="Times New Roman" w:cs="Times New Roman"/>
          <w:kern w:val="0"/>
          <w14:ligatures w14:val="none"/>
        </w:rPr>
      </w:pPr>
      <w:r w:rsidRPr="00551C18">
        <w:rPr>
          <w:rFonts w:ascii="Times New Roman" w:eastAsia="Times New Roman" w:hAnsi="Times New Roman" w:cs="Times New Roman"/>
          <w:kern w:val="0"/>
          <w14:ligatures w14:val="none"/>
        </w:rPr>
        <w:t>The figure presents the smoothed relationship between birth cohort and the predicted risk of experiencing FGM. Rather than estimating a separate effect for each five-year birth-cohort category, the penalized spline model fits a continuous curve across cohort midpoints. The shaded area represents the approximate 95% confidence interval around the predicted risk.</w:t>
      </w:r>
    </w:p>
    <w:p w14:paraId="2BF77829" w14:textId="77777777" w:rsidR="00551C18" w:rsidRPr="00551C18" w:rsidRDefault="00551C18" w:rsidP="00551C18">
      <w:pPr>
        <w:spacing w:before="100" w:beforeAutospacing="1" w:after="100" w:afterAutospacing="1" w:line="240" w:lineRule="auto"/>
        <w:rPr>
          <w:rFonts w:ascii="Times New Roman" w:eastAsia="Times New Roman" w:hAnsi="Times New Roman" w:cs="Times New Roman"/>
          <w:kern w:val="0"/>
          <w14:ligatures w14:val="none"/>
        </w:rPr>
      </w:pPr>
      <w:r w:rsidRPr="00551C18">
        <w:rPr>
          <w:rFonts w:ascii="Times New Roman" w:eastAsia="Times New Roman" w:hAnsi="Times New Roman" w:cs="Times New Roman"/>
          <w:kern w:val="0"/>
          <w14:ligatures w14:val="none"/>
        </w:rPr>
        <w:t>The estimated risk declines steadily among women born from the early 1970s through approximately the 1995–2000 cohorts. This pattern suggests that the likelihood of experiencing FGM has generally decreased across successive generations, consistent with the broader evidence of declining FGM prevalence among younger cohorts.</w:t>
      </w:r>
    </w:p>
    <w:p w14:paraId="4FC98580" w14:textId="77777777" w:rsidR="00551C18" w:rsidRPr="00551C18" w:rsidRDefault="00551C18" w:rsidP="00551C18">
      <w:pPr>
        <w:spacing w:before="100" w:beforeAutospacing="1" w:after="100" w:afterAutospacing="1" w:line="240" w:lineRule="auto"/>
        <w:rPr>
          <w:rFonts w:ascii="Times New Roman" w:eastAsia="Times New Roman" w:hAnsi="Times New Roman" w:cs="Times New Roman"/>
          <w:kern w:val="0"/>
          <w14:ligatures w14:val="none"/>
        </w:rPr>
      </w:pPr>
      <w:r w:rsidRPr="00551C18">
        <w:rPr>
          <w:rFonts w:ascii="Times New Roman" w:eastAsia="Times New Roman" w:hAnsi="Times New Roman" w:cs="Times New Roman"/>
          <w:kern w:val="0"/>
          <w14:ligatures w14:val="none"/>
        </w:rPr>
        <w:t xml:space="preserve">The curve reaches its lowest point around the 2000 birth cohort, after which the predicted risk appears to increase slightly among the most recent cohorts. However, this apparent increase should be interpreted cautiously. The youngest cohorts are represented predominantly by daughter records rather than self-reported respondent records, and the smoothing model does not currently adjust for </w:t>
      </w:r>
      <w:r w:rsidRPr="00551C18">
        <w:rPr>
          <w:rFonts w:ascii="Courier New" w:eastAsia="Times New Roman" w:hAnsi="Courier New" w:cs="Courier New"/>
          <w:kern w:val="0"/>
          <w:sz w:val="20"/>
          <w:szCs w:val="20"/>
          <w14:ligatures w14:val="none"/>
        </w:rPr>
        <w:t>record_type</w:t>
      </w:r>
      <w:r w:rsidRPr="00551C18">
        <w:rPr>
          <w:rFonts w:ascii="Times New Roman" w:eastAsia="Times New Roman" w:hAnsi="Times New Roman" w:cs="Times New Roman"/>
          <w:kern w:val="0"/>
          <w14:ligatures w14:val="none"/>
        </w:rPr>
        <w:t>. The upward movement may therefore reflect differences between self-reported and daughter records rather than a genuine reversal in FGM trends.</w:t>
      </w:r>
    </w:p>
    <w:p w14:paraId="011359B8" w14:textId="77777777" w:rsidR="00551C18" w:rsidRPr="00551C18" w:rsidRDefault="00551C18" w:rsidP="00551C18">
      <w:pPr>
        <w:spacing w:before="100" w:beforeAutospacing="1" w:after="100" w:afterAutospacing="1" w:line="240" w:lineRule="auto"/>
        <w:rPr>
          <w:rFonts w:ascii="Times New Roman" w:eastAsia="Times New Roman" w:hAnsi="Times New Roman" w:cs="Times New Roman"/>
          <w:kern w:val="0"/>
          <w14:ligatures w14:val="none"/>
        </w:rPr>
      </w:pPr>
      <w:r w:rsidRPr="00551C18">
        <w:rPr>
          <w:rFonts w:ascii="Times New Roman" w:eastAsia="Times New Roman" w:hAnsi="Times New Roman" w:cs="Times New Roman"/>
          <w:kern w:val="0"/>
          <w14:ligatures w14:val="none"/>
        </w:rPr>
        <w:t>The confidence band is also wider at the oldest and youngest cohort ranges, indicating greater uncertainty where the available data are relatively limited. The central portion of the curve is therefore more reliable than the estimates at the extremes.</w:t>
      </w:r>
    </w:p>
    <w:p w14:paraId="5E658FA1" w14:textId="77777777" w:rsidR="00551C18" w:rsidRPr="00551C18" w:rsidRDefault="00551C18" w:rsidP="00551C18">
      <w:pPr>
        <w:spacing w:before="100" w:beforeAutospacing="1" w:after="100" w:afterAutospacing="1" w:line="240" w:lineRule="auto"/>
        <w:rPr>
          <w:rFonts w:ascii="Times New Roman" w:eastAsia="Times New Roman" w:hAnsi="Times New Roman" w:cs="Times New Roman"/>
          <w:kern w:val="0"/>
          <w14:ligatures w14:val="none"/>
        </w:rPr>
      </w:pPr>
      <w:r w:rsidRPr="00551C18">
        <w:rPr>
          <w:rFonts w:ascii="Times New Roman" w:eastAsia="Times New Roman" w:hAnsi="Times New Roman" w:cs="Times New Roman"/>
          <w:kern w:val="0"/>
          <w14:ligatures w14:val="none"/>
        </w:rPr>
        <w:t>Overall, the figure provides evidence of a broad decline in FGM risk across successive birth cohorts in Nigeria. The apparent increase among the youngest cohorts should not be interpreted as a confirmed resurgence without further analysis controlling for record type and assessing the sensitivity of the results to the youngest cohorts.</w:t>
      </w:r>
    </w:p>
    <w:p w14:paraId="63B51C68" w14:textId="5DF14B94" w:rsidR="00551C18" w:rsidRDefault="002C77CF" w:rsidP="00CC0739">
      <w:pPr>
        <w:spacing w:before="100" w:beforeAutospacing="1" w:after="100" w:afterAutospacing="1" w:line="240" w:lineRule="auto"/>
        <w:rPr>
          <w:rFonts w:ascii="Times New Roman" w:eastAsia="Times New Roman" w:hAnsi="Times New Roman" w:cs="Times New Roman"/>
          <w:kern w:val="0"/>
          <w14:ligatures w14:val="none"/>
        </w:rPr>
      </w:pPr>
      <w:r w:rsidRPr="002C77CF">
        <w:rPr>
          <w:rFonts w:ascii="Times New Roman" w:eastAsia="Times New Roman" w:hAnsi="Times New Roman" w:cs="Times New Roman"/>
          <w:noProof/>
          <w:kern w:val="0"/>
          <w14:ligatures w14:val="none"/>
        </w:rPr>
        <w:drawing>
          <wp:inline distT="0" distB="0" distL="0" distR="0" wp14:anchorId="0CED4BA1" wp14:editId="067B1152">
            <wp:extent cx="5308600" cy="1346200"/>
            <wp:effectExtent l="0" t="0" r="0" b="0"/>
            <wp:docPr id="53704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40182" name=""/>
                    <pic:cNvPicPr/>
                  </pic:nvPicPr>
                  <pic:blipFill>
                    <a:blip r:embed="rId8"/>
                    <a:stretch>
                      <a:fillRect/>
                    </a:stretch>
                  </pic:blipFill>
                  <pic:spPr>
                    <a:xfrm>
                      <a:off x="0" y="0"/>
                      <a:ext cx="5308600" cy="1346200"/>
                    </a:xfrm>
                    <a:prstGeom prst="rect">
                      <a:avLst/>
                    </a:prstGeom>
                  </pic:spPr>
                </pic:pic>
              </a:graphicData>
            </a:graphic>
          </wp:inline>
        </w:drawing>
      </w:r>
    </w:p>
    <w:p w14:paraId="19297924" w14:textId="77777777" w:rsidR="00236D34" w:rsidRPr="00236D34" w:rsidRDefault="00236D34" w:rsidP="00236D34">
      <w:pPr>
        <w:shd w:val="clear" w:color="auto" w:fill="191A1B"/>
        <w:spacing w:before="24" w:after="48" w:line="240" w:lineRule="auto"/>
        <w:rPr>
          <w:rFonts w:ascii="Segoe UI" w:eastAsia="Times New Roman" w:hAnsi="Segoe UI" w:cs="Segoe UI"/>
          <w:color w:val="BFBFBF"/>
          <w:kern w:val="0"/>
          <w:sz w:val="20"/>
          <w:szCs w:val="20"/>
          <w14:ligatures w14:val="none"/>
        </w:rPr>
      </w:pPr>
      <w:r w:rsidRPr="00236D34">
        <w:rPr>
          <w:rFonts w:ascii="Segoe UI" w:eastAsia="Times New Roman" w:hAnsi="Segoe UI" w:cs="Segoe UI"/>
          <w:color w:val="BFBFBF"/>
          <w:kern w:val="0"/>
          <w:sz w:val="20"/>
          <w:szCs w:val="20"/>
          <w14:ligatures w14:val="none"/>
        </w:rPr>
        <w:lastRenderedPageBreak/>
        <w:t>the 2024 Nigeria DHS interviews women aged 15–49 directly. For a woman to self-report her own FGM status, she has to be old enough to be a survey respondent. In the 2024 survey:</w:t>
      </w:r>
    </w:p>
    <w:p w14:paraId="67192514" w14:textId="77777777" w:rsidR="00236D34" w:rsidRPr="00236D34" w:rsidRDefault="00236D34" w:rsidP="00236D34">
      <w:pPr>
        <w:numPr>
          <w:ilvl w:val="0"/>
          <w:numId w:val="21"/>
        </w:numPr>
        <w:shd w:val="clear" w:color="auto" w:fill="191A1B"/>
        <w:spacing w:before="100" w:beforeAutospacing="1" w:after="100" w:afterAutospacing="1" w:line="240" w:lineRule="auto"/>
        <w:rPr>
          <w:rFonts w:ascii="Segoe UI" w:eastAsia="Times New Roman" w:hAnsi="Segoe UI" w:cs="Segoe UI"/>
          <w:color w:val="BFBFBF"/>
          <w:kern w:val="0"/>
          <w:sz w:val="20"/>
          <w:szCs w:val="20"/>
          <w14:ligatures w14:val="none"/>
        </w:rPr>
      </w:pPr>
      <w:r w:rsidRPr="00236D34">
        <w:rPr>
          <w:rFonts w:ascii="Segoe UI" w:eastAsia="Times New Roman" w:hAnsi="Segoe UI" w:cs="Segoe UI"/>
          <w:color w:val="BFBFBF"/>
          <w:kern w:val="0"/>
          <w:sz w:val="20"/>
          <w:szCs w:val="20"/>
          <w14:ligatures w14:val="none"/>
        </w:rPr>
        <w:t>Born ≤2009 → she's 15+ in 2024 → she can be interviewed and self-report → </w:t>
      </w:r>
      <w:r w:rsidRPr="00236D34">
        <w:rPr>
          <w:rFonts w:ascii="Segoe UI" w:eastAsia="Times New Roman" w:hAnsi="Segoe UI" w:cs="Segoe UI"/>
          <w:b/>
          <w:bCs/>
          <w:color w:val="BFBFBF"/>
          <w:kern w:val="0"/>
          <w:sz w:val="20"/>
          <w:szCs w:val="20"/>
          <w14:ligatures w14:val="none"/>
        </w:rPr>
        <w:t>self-report exists</w:t>
      </w:r>
    </w:p>
    <w:p w14:paraId="4AB069A6" w14:textId="77777777" w:rsidR="00236D34" w:rsidRPr="00236D34" w:rsidRDefault="00236D34" w:rsidP="00236D34">
      <w:pPr>
        <w:numPr>
          <w:ilvl w:val="0"/>
          <w:numId w:val="21"/>
        </w:numPr>
        <w:shd w:val="clear" w:color="auto" w:fill="191A1B"/>
        <w:spacing w:before="100" w:beforeAutospacing="1" w:after="100" w:afterAutospacing="1" w:line="240" w:lineRule="auto"/>
        <w:rPr>
          <w:rFonts w:ascii="Segoe UI" w:eastAsia="Times New Roman" w:hAnsi="Segoe UI" w:cs="Segoe UI"/>
          <w:color w:val="BFBFBF"/>
          <w:kern w:val="0"/>
          <w:sz w:val="20"/>
          <w:szCs w:val="20"/>
          <w14:ligatures w14:val="none"/>
        </w:rPr>
      </w:pPr>
      <w:r w:rsidRPr="00236D34">
        <w:rPr>
          <w:rFonts w:ascii="Segoe UI" w:eastAsia="Times New Roman" w:hAnsi="Segoe UI" w:cs="Segoe UI"/>
          <w:color w:val="BFBFBF"/>
          <w:kern w:val="0"/>
          <w:sz w:val="20"/>
          <w:szCs w:val="20"/>
          <w14:ligatures w14:val="none"/>
        </w:rPr>
        <w:t>Born 2010 or later → she's 14 or younger in 2024 → she's below the minimum respondent age → </w:t>
      </w:r>
      <w:r w:rsidRPr="00236D34">
        <w:rPr>
          <w:rFonts w:ascii="Segoe UI" w:eastAsia="Times New Roman" w:hAnsi="Segoe UI" w:cs="Segoe UI"/>
          <w:b/>
          <w:bCs/>
          <w:color w:val="BFBFBF"/>
          <w:kern w:val="0"/>
          <w:sz w:val="20"/>
          <w:szCs w:val="20"/>
          <w14:ligatures w14:val="none"/>
        </w:rPr>
        <w:t>she cannot be interviewed herself, full stop</w:t>
      </w:r>
    </w:p>
    <w:p w14:paraId="6CD1E908" w14:textId="77777777" w:rsidR="00236D34" w:rsidRPr="00236D34" w:rsidRDefault="00236D34" w:rsidP="00236D34">
      <w:pPr>
        <w:spacing w:after="0" w:line="240" w:lineRule="auto"/>
        <w:rPr>
          <w:rFonts w:ascii="Times New Roman" w:eastAsia="Times New Roman" w:hAnsi="Times New Roman" w:cs="Times New Roman"/>
          <w:kern w:val="0"/>
          <w14:ligatures w14:val="none"/>
        </w:rPr>
      </w:pPr>
    </w:p>
    <w:p w14:paraId="55D59C14" w14:textId="77777777" w:rsidR="00A0240A" w:rsidRPr="00A0240A" w:rsidRDefault="00A0240A" w:rsidP="00A0240A">
      <w:pPr>
        <w:shd w:val="clear" w:color="auto" w:fill="191A1B"/>
        <w:spacing w:after="48" w:line="240" w:lineRule="auto"/>
        <w:rPr>
          <w:rFonts w:ascii="Segoe UI" w:eastAsia="Times New Roman" w:hAnsi="Segoe UI" w:cs="Segoe UI"/>
          <w:color w:val="BFBFBF"/>
          <w:kern w:val="0"/>
          <w:sz w:val="20"/>
          <w:szCs w:val="20"/>
          <w14:ligatures w14:val="none"/>
        </w:rPr>
      </w:pPr>
      <w:r w:rsidRPr="00A0240A">
        <w:rPr>
          <w:rFonts w:ascii="Segoe UI" w:eastAsia="Times New Roman" w:hAnsi="Segoe UI" w:cs="Segoe UI"/>
          <w:color w:val="BFBFBF"/>
          <w:kern w:val="0"/>
          <w:sz w:val="20"/>
          <w:szCs w:val="20"/>
          <w14:ligatures w14:val="none"/>
        </w:rPr>
        <w:t xml:space="preserve">No — precise answer: </w:t>
      </w:r>
      <w:r w:rsidRPr="00A0240A">
        <w:rPr>
          <w:rFonts w:ascii="Segoe UI" w:eastAsia="Times New Roman" w:hAnsi="Segoe UI" w:cs="Segoe UI"/>
          <w:b/>
          <w:bCs/>
          <w:color w:val="BFBFBF"/>
          <w:kern w:val="0"/>
          <w:sz w:val="20"/>
          <w:szCs w:val="20"/>
          <w14:ligatures w14:val="none"/>
        </w:rPr>
        <w:t>we have not used the actual UN IGME B3 model.</w:t>
      </w:r>
      <w:r w:rsidRPr="00A0240A">
        <w:rPr>
          <w:rFonts w:ascii="Segoe UI" w:eastAsia="Times New Roman" w:hAnsi="Segoe UI" w:cs="Segoe UI"/>
          <w:color w:val="BFBFBF"/>
          <w:kern w:val="0"/>
          <w:sz w:val="20"/>
          <w:szCs w:val="20"/>
          <w14:ligatures w14:val="none"/>
        </w:rPr>
        <w:t xml:space="preserve"> I just checked every place </w:t>
      </w:r>
      <w:r w:rsidRPr="00A0240A">
        <w:rPr>
          <w:rFonts w:ascii="Courier New" w:eastAsia="Times New Roman" w:hAnsi="Courier New" w:cs="Courier New"/>
          <w:color w:val="8C8C8C"/>
          <w:kern w:val="0"/>
          <w:sz w:val="18"/>
          <w:szCs w:val="18"/>
          <w14:ligatures w14:val="none"/>
        </w:rPr>
        <w:t>SUMMER</w:t>
      </w:r>
      <w:r w:rsidRPr="00A0240A">
        <w:rPr>
          <w:rFonts w:ascii="Segoe UI" w:eastAsia="Times New Roman" w:hAnsi="Segoe UI" w:cs="Segoe UI"/>
          <w:color w:val="BFBFBF"/>
          <w:kern w:val="0"/>
          <w:sz w:val="20"/>
          <w:szCs w:val="20"/>
          <w14:ligatures w14:val="none"/>
        </w:rPr>
        <w:t xml:space="preserve"> appears in this notebook, and it's only ever </w:t>
      </w:r>
      <w:r w:rsidRPr="00A0240A">
        <w:rPr>
          <w:rFonts w:ascii="Courier New" w:eastAsia="Times New Roman" w:hAnsi="Courier New" w:cs="Courier New"/>
          <w:color w:val="8C8C8C"/>
          <w:kern w:val="0"/>
          <w:sz w:val="18"/>
          <w:szCs w:val="18"/>
          <w14:ligatures w14:val="none"/>
        </w:rPr>
        <w:t>library(SUMMER)</w:t>
      </w:r>
      <w:r w:rsidRPr="00A0240A">
        <w:rPr>
          <w:rFonts w:ascii="Segoe UI" w:eastAsia="Times New Roman" w:hAnsi="Segoe UI" w:cs="Segoe UI"/>
          <w:color w:val="BFBFBF"/>
          <w:kern w:val="0"/>
          <w:sz w:val="20"/>
          <w:szCs w:val="20"/>
          <w14:ligatures w14:val="none"/>
        </w:rPr>
        <w:t xml:space="preserve"> — loaded, never called. Your own notebook's markdown (Section 11) is already honest about this; it says the custom INLA formula is "the SUMMER style small area hazard framework," and explicitly notes </w:t>
      </w:r>
      <w:r w:rsidRPr="00A0240A">
        <w:rPr>
          <w:rFonts w:ascii="Courier New" w:eastAsia="Times New Roman" w:hAnsi="Courier New" w:cs="Courier New"/>
          <w:color w:val="8C8C8C"/>
          <w:kern w:val="0"/>
          <w:sz w:val="18"/>
          <w:szCs w:val="18"/>
          <w14:ligatures w14:val="none"/>
        </w:rPr>
        <w:t>SUMMER::smoothDirect()</w:t>
      </w:r>
      <w:r w:rsidRPr="00A0240A">
        <w:rPr>
          <w:rFonts w:ascii="Segoe UI" w:eastAsia="Times New Roman" w:hAnsi="Segoe UI" w:cs="Segoe UI"/>
          <w:color w:val="BFBFBF"/>
          <w:kern w:val="0"/>
          <w:sz w:val="20"/>
          <w:szCs w:val="20"/>
          <w14:ligatures w14:val="none"/>
        </w:rPr>
        <w:t xml:space="preserve"> would be the ready-made wrapper for it, but the code writes the INLA call out by hand instead "for transparency."</w:t>
      </w:r>
    </w:p>
    <w:p w14:paraId="7ED182B4" w14:textId="77777777" w:rsidR="00A0240A" w:rsidRPr="00A0240A" w:rsidRDefault="00A0240A" w:rsidP="00A0240A">
      <w:pPr>
        <w:shd w:val="clear" w:color="auto" w:fill="191A1B"/>
        <w:spacing w:before="24" w:after="48" w:line="240" w:lineRule="auto"/>
        <w:rPr>
          <w:rFonts w:ascii="Segoe UI" w:eastAsia="Times New Roman" w:hAnsi="Segoe UI" w:cs="Segoe UI"/>
          <w:color w:val="BFBFBF"/>
          <w:kern w:val="0"/>
          <w:sz w:val="20"/>
          <w:szCs w:val="20"/>
          <w14:ligatures w14:val="none"/>
        </w:rPr>
      </w:pPr>
      <w:r w:rsidRPr="00A0240A">
        <w:rPr>
          <w:rFonts w:ascii="Segoe UI" w:eastAsia="Times New Roman" w:hAnsi="Segoe UI" w:cs="Segoe UI"/>
          <w:color w:val="BFBFBF"/>
          <w:kern w:val="0"/>
          <w:sz w:val="20"/>
          <w:szCs w:val="20"/>
          <w14:ligatures w14:val="none"/>
        </w:rPr>
        <w:t xml:space="preserve">What we actually built is a simplified, hand-rolled cousin of that family — </w:t>
      </w:r>
      <w:r w:rsidRPr="00A0240A">
        <w:rPr>
          <w:rFonts w:ascii="Courier New" w:eastAsia="Times New Roman" w:hAnsi="Courier New" w:cs="Courier New"/>
          <w:color w:val="8C8C8C"/>
          <w:kern w:val="0"/>
          <w:sz w:val="18"/>
          <w:szCs w:val="18"/>
          <w14:ligatures w14:val="none"/>
        </w:rPr>
        <w:t>f(region_id, model="bym2") + f(cohort_id, model="rw2")</w:t>
      </w:r>
      <w:r w:rsidRPr="00A0240A">
        <w:rPr>
          <w:rFonts w:ascii="Segoe UI" w:eastAsia="Times New Roman" w:hAnsi="Segoe UI" w:cs="Segoe UI"/>
          <w:color w:val="BFBFBF"/>
          <w:kern w:val="0"/>
          <w:sz w:val="20"/>
          <w:szCs w:val="20"/>
          <w14:ligatures w14:val="none"/>
        </w:rPr>
        <w:t xml:space="preserve"> fit with </w:t>
      </w:r>
      <w:r w:rsidRPr="00A0240A">
        <w:rPr>
          <w:rFonts w:ascii="Courier New" w:eastAsia="Times New Roman" w:hAnsi="Courier New" w:cs="Courier New"/>
          <w:color w:val="8C8C8C"/>
          <w:kern w:val="0"/>
          <w:sz w:val="18"/>
          <w:szCs w:val="18"/>
          <w14:ligatures w14:val="none"/>
        </w:rPr>
        <w:t>family = "gaussian"</w:t>
      </w:r>
      <w:r w:rsidRPr="00A0240A">
        <w:rPr>
          <w:rFonts w:ascii="Segoe UI" w:eastAsia="Times New Roman" w:hAnsi="Segoe UI" w:cs="Segoe UI"/>
          <w:color w:val="BFBFBF"/>
          <w:kern w:val="0"/>
          <w:sz w:val="20"/>
          <w:szCs w:val="20"/>
          <w14:ligatures w14:val="none"/>
        </w:rPr>
        <w:t xml:space="preserve"> directly on the point estimates. That shares the general philosophy (borrow strength across space via BYM2, across time via a smooth random effect instead of treating each area/cohort as independent) but differs from B3 in three concrete ways:</w:t>
      </w:r>
    </w:p>
    <w:p w14:paraId="4690329E" w14:textId="77777777" w:rsidR="00A0240A" w:rsidRPr="00A0240A" w:rsidRDefault="00A0240A" w:rsidP="00A0240A">
      <w:pPr>
        <w:numPr>
          <w:ilvl w:val="0"/>
          <w:numId w:val="22"/>
        </w:numPr>
        <w:shd w:val="clear" w:color="auto" w:fill="191A1B"/>
        <w:spacing w:before="100" w:beforeAutospacing="1" w:after="100" w:afterAutospacing="1" w:line="240" w:lineRule="auto"/>
        <w:rPr>
          <w:rFonts w:ascii="Segoe UI" w:eastAsia="Times New Roman" w:hAnsi="Segoe UI" w:cs="Segoe UI"/>
          <w:color w:val="BFBFBF"/>
          <w:kern w:val="0"/>
          <w:sz w:val="20"/>
          <w:szCs w:val="20"/>
          <w14:ligatures w14:val="none"/>
        </w:rPr>
      </w:pPr>
      <w:r w:rsidRPr="00A0240A">
        <w:rPr>
          <w:rFonts w:ascii="Segoe UI" w:eastAsia="Times New Roman" w:hAnsi="Segoe UI" w:cs="Segoe UI"/>
          <w:b/>
          <w:bCs/>
          <w:color w:val="BFBFBF"/>
          <w:kern w:val="0"/>
          <w:sz w:val="20"/>
          <w:szCs w:val="20"/>
          <w14:ligatures w14:val="none"/>
        </w:rPr>
        <w:t>B3 uses penalized B-splines over continuous time with an explicit bias-adjustment term for data source</w:t>
      </w:r>
      <w:r w:rsidRPr="00A0240A">
        <w:rPr>
          <w:rFonts w:ascii="Segoe UI" w:eastAsia="Times New Roman" w:hAnsi="Segoe UI" w:cs="Segoe UI"/>
          <w:color w:val="BFBFBF"/>
          <w:kern w:val="0"/>
          <w:sz w:val="20"/>
          <w:szCs w:val="20"/>
          <w14:ligatures w14:val="none"/>
        </w:rPr>
        <w:t>; ours uses a discrete RW2 over 11 cohort bins with no bias term at all.</w:t>
      </w:r>
    </w:p>
    <w:p w14:paraId="24F2C193" w14:textId="77777777" w:rsidR="00A0240A" w:rsidRPr="00A0240A" w:rsidRDefault="00A0240A" w:rsidP="00A0240A">
      <w:pPr>
        <w:numPr>
          <w:ilvl w:val="0"/>
          <w:numId w:val="22"/>
        </w:numPr>
        <w:shd w:val="clear" w:color="auto" w:fill="191A1B"/>
        <w:spacing w:before="100" w:beforeAutospacing="1" w:after="100" w:afterAutospacing="1" w:line="240" w:lineRule="auto"/>
        <w:rPr>
          <w:rFonts w:ascii="Segoe UI" w:eastAsia="Times New Roman" w:hAnsi="Segoe UI" w:cs="Segoe UI"/>
          <w:color w:val="BFBFBF"/>
          <w:kern w:val="0"/>
          <w:sz w:val="20"/>
          <w:szCs w:val="20"/>
          <w14:ligatures w14:val="none"/>
        </w:rPr>
      </w:pPr>
      <w:r w:rsidRPr="00A0240A">
        <w:rPr>
          <w:rFonts w:ascii="Segoe UI" w:eastAsia="Times New Roman" w:hAnsi="Segoe UI" w:cs="Segoe UI"/>
          <w:b/>
          <w:bCs/>
          <w:color w:val="BFBFBF"/>
          <w:kern w:val="0"/>
          <w:sz w:val="20"/>
          <w:szCs w:val="20"/>
          <w14:ligatures w14:val="none"/>
        </w:rPr>
        <w:t>B3/SUMMER's proper implementation weights each direct estimate by its own sampling variance</w:t>
      </w:r>
      <w:r w:rsidRPr="00A0240A">
        <w:rPr>
          <w:rFonts w:ascii="Segoe UI" w:eastAsia="Times New Roman" w:hAnsi="Segoe UI" w:cs="Segoe UI"/>
          <w:color w:val="BFBFBF"/>
          <w:kern w:val="0"/>
          <w:sz w:val="20"/>
          <w:szCs w:val="20"/>
          <w14:ligatures w14:val="none"/>
        </w:rPr>
        <w:t> (a region with 30 respondents gets less influence than one with 544); our Gaussian INLA call only sees point estimates, not their precision — a real gap, already flagged as Recommendation #3.</w:t>
      </w:r>
    </w:p>
    <w:p w14:paraId="0FF8E6A4" w14:textId="77777777" w:rsidR="00A0240A" w:rsidRPr="00A0240A" w:rsidRDefault="00A0240A" w:rsidP="00A0240A">
      <w:pPr>
        <w:numPr>
          <w:ilvl w:val="0"/>
          <w:numId w:val="22"/>
        </w:numPr>
        <w:shd w:val="clear" w:color="auto" w:fill="191A1B"/>
        <w:spacing w:before="100" w:beforeAutospacing="1" w:after="100" w:afterAutospacing="1" w:line="240" w:lineRule="auto"/>
        <w:rPr>
          <w:rFonts w:ascii="Segoe UI" w:eastAsia="Times New Roman" w:hAnsi="Segoe UI" w:cs="Segoe UI"/>
          <w:color w:val="BFBFBF"/>
          <w:kern w:val="0"/>
          <w:sz w:val="20"/>
          <w:szCs w:val="20"/>
          <w14:ligatures w14:val="none"/>
        </w:rPr>
      </w:pPr>
      <w:r w:rsidRPr="00A0240A">
        <w:rPr>
          <w:rFonts w:ascii="Segoe UI" w:eastAsia="Times New Roman" w:hAnsi="Segoe UI" w:cs="Segoe UI"/>
          <w:color w:val="BFBFBF"/>
          <w:kern w:val="0"/>
          <w:sz w:val="20"/>
          <w:szCs w:val="20"/>
          <w14:ligatures w14:val="none"/>
        </w:rPr>
        <w:t>Most relevant to everything we've been doing today: </w:t>
      </w:r>
      <w:r w:rsidRPr="00A0240A">
        <w:rPr>
          <w:rFonts w:ascii="Segoe UI" w:eastAsia="Times New Roman" w:hAnsi="Segoe UI" w:cs="Segoe UI"/>
          <w:b/>
          <w:bCs/>
          <w:color w:val="BFBFBF"/>
          <w:kern w:val="0"/>
          <w:sz w:val="20"/>
          <w:szCs w:val="20"/>
          <w14:ligatures w14:val="none"/>
        </w:rPr>
        <w:t>B3's whole reason for existing is stitching together data sources with known, different biases into one coherent trend</w:t>
      </w:r>
      <w:r w:rsidRPr="00A0240A">
        <w:rPr>
          <w:rFonts w:ascii="Segoe UI" w:eastAsia="Times New Roman" w:hAnsi="Segoe UI" w:cs="Segoe UI"/>
          <w:color w:val="BFBFBF"/>
          <w:kern w:val="0"/>
          <w:sz w:val="20"/>
          <w:szCs w:val="20"/>
          <w14:ligatures w14:val="none"/>
        </w:rPr>
        <w:t> — that's </w:t>
      </w:r>
      <w:r w:rsidRPr="00A0240A">
        <w:rPr>
          <w:rFonts w:ascii="Segoe UI" w:eastAsia="Times New Roman" w:hAnsi="Segoe UI" w:cs="Segoe UI"/>
          <w:i/>
          <w:iCs/>
          <w:color w:val="BFBFBF"/>
          <w:kern w:val="0"/>
          <w:sz w:val="20"/>
          <w:szCs w:val="20"/>
          <w14:ligatures w14:val="none"/>
        </w:rPr>
        <w:t>exactly</w:t>
      </w:r>
      <w:r w:rsidRPr="00A0240A">
        <w:rPr>
          <w:rFonts w:ascii="Segoe UI" w:eastAsia="Times New Roman" w:hAnsi="Segoe UI" w:cs="Segoe UI"/>
          <w:color w:val="BFBFBF"/>
          <w:kern w:val="0"/>
          <w:sz w:val="20"/>
          <w:szCs w:val="20"/>
          <w14:ligatures w14:val="none"/>
        </w:rPr>
        <w:t> the self-report-vs-daughter-report problem this conversation just spent an hour on. We tested that idea ad hoc (record_type as a covariate, a fixed offset), but we never adopted B3's actual mechanism for it.</w:t>
      </w:r>
    </w:p>
    <w:p w14:paraId="5AB4EAEE" w14:textId="77777777" w:rsidR="00A0240A" w:rsidRDefault="00A0240A" w:rsidP="00A0240A">
      <w:pPr>
        <w:shd w:val="clear" w:color="auto" w:fill="191A1B"/>
        <w:spacing w:before="24" w:after="48" w:line="240" w:lineRule="auto"/>
        <w:rPr>
          <w:rFonts w:ascii="Segoe UI" w:eastAsia="Times New Roman" w:hAnsi="Segoe UI" w:cs="Segoe UI"/>
          <w:color w:val="BFBFBF"/>
          <w:kern w:val="0"/>
          <w:sz w:val="20"/>
          <w:szCs w:val="20"/>
          <w14:ligatures w14:val="none"/>
        </w:rPr>
      </w:pPr>
      <w:r w:rsidRPr="00A0240A">
        <w:rPr>
          <w:rFonts w:ascii="Segoe UI" w:eastAsia="Times New Roman" w:hAnsi="Segoe UI" w:cs="Segoe UI"/>
          <w:color w:val="BFBFBF"/>
          <w:kern w:val="0"/>
          <w:sz w:val="20"/>
          <w:szCs w:val="20"/>
          <w14:ligatures w14:val="none"/>
        </w:rPr>
        <w:t xml:space="preserve">So the honest framing for your write-up: the notebook is </w:t>
      </w:r>
      <w:r w:rsidRPr="00A0240A">
        <w:rPr>
          <w:rFonts w:ascii="Segoe UI" w:eastAsia="Times New Roman" w:hAnsi="Segoe UI" w:cs="Segoe UI"/>
          <w:i/>
          <w:iCs/>
          <w:color w:val="BFBFBF"/>
          <w:kern w:val="0"/>
          <w:sz w:val="20"/>
          <w:szCs w:val="20"/>
          <w14:ligatures w14:val="none"/>
        </w:rPr>
        <w:t>inspired by</w:t>
      </w:r>
      <w:r w:rsidRPr="00A0240A">
        <w:rPr>
          <w:rFonts w:ascii="Segoe UI" w:eastAsia="Times New Roman" w:hAnsi="Segoe UI" w:cs="Segoe UI"/>
          <w:color w:val="BFBFBF"/>
          <w:kern w:val="0"/>
          <w:sz w:val="20"/>
          <w:szCs w:val="20"/>
          <w14:ligatures w14:val="none"/>
        </w:rPr>
        <w:t xml:space="preserve"> the UN IGME B3 / SUMMER small-area methodology, not an implementation of it. If you want the real thing, switching Section 11 to </w:t>
      </w:r>
      <w:r w:rsidRPr="00A0240A">
        <w:rPr>
          <w:rFonts w:ascii="Courier New" w:eastAsia="Times New Roman" w:hAnsi="Courier New" w:cs="Courier New"/>
          <w:color w:val="8C8C8C"/>
          <w:kern w:val="0"/>
          <w:sz w:val="18"/>
          <w:szCs w:val="18"/>
          <w14:ligatures w14:val="none"/>
        </w:rPr>
        <w:t>SUMMER::smoothDirect()</w:t>
      </w:r>
      <w:r w:rsidRPr="00A0240A">
        <w:rPr>
          <w:rFonts w:ascii="Segoe UI" w:eastAsia="Times New Roman" w:hAnsi="Segoe UI" w:cs="Segoe UI"/>
          <w:color w:val="BFBFBF"/>
          <w:kern w:val="0"/>
          <w:sz w:val="20"/>
          <w:szCs w:val="20"/>
          <w14:ligatures w14:val="none"/>
        </w:rPr>
        <w:t xml:space="preserve"> would get you proper variance-weighting and is the natural next step — and given today's findings, it's worth checking whether SUMMER's own source-bias-adjustment machinery handles the self/daughter split more rigorously than our manual attempts did. Want me to look into what that would take?</w:t>
      </w:r>
    </w:p>
    <w:p w14:paraId="489F5E4A" w14:textId="77777777" w:rsidR="00004B1B" w:rsidRPr="00A0240A" w:rsidRDefault="00004B1B" w:rsidP="00A0240A">
      <w:pPr>
        <w:shd w:val="clear" w:color="auto" w:fill="191A1B"/>
        <w:spacing w:before="24" w:after="48" w:line="240" w:lineRule="auto"/>
        <w:rPr>
          <w:rFonts w:ascii="Segoe UI" w:eastAsia="Times New Roman" w:hAnsi="Segoe UI" w:cs="Segoe UI"/>
          <w:color w:val="BFBFBF"/>
          <w:kern w:val="0"/>
          <w:sz w:val="20"/>
          <w:szCs w:val="20"/>
          <w14:ligatures w14:val="none"/>
        </w:rPr>
      </w:pPr>
    </w:p>
    <w:p w14:paraId="2532706B" w14:textId="5E2CB076" w:rsidR="00236D34" w:rsidRDefault="00004B1B" w:rsidP="00CC0739">
      <w:pPr>
        <w:spacing w:before="100" w:beforeAutospacing="1" w:after="100" w:afterAutospacing="1" w:line="240" w:lineRule="auto"/>
        <w:rPr>
          <w:rFonts w:ascii="Times New Roman" w:eastAsia="Times New Roman" w:hAnsi="Times New Roman" w:cs="Times New Roman"/>
          <w:kern w:val="0"/>
          <w14:ligatures w14:val="none"/>
        </w:rPr>
      </w:pPr>
      <w:r w:rsidRPr="00004B1B">
        <w:rPr>
          <w:rFonts w:ascii="Times New Roman" w:eastAsia="Times New Roman" w:hAnsi="Times New Roman" w:cs="Times New Roman"/>
          <w:noProof/>
          <w:kern w:val="0"/>
          <w14:ligatures w14:val="none"/>
        </w:rPr>
        <w:lastRenderedPageBreak/>
        <w:drawing>
          <wp:inline distT="0" distB="0" distL="0" distR="0" wp14:anchorId="737A9600" wp14:editId="40D976DC">
            <wp:extent cx="5334000" cy="5334000"/>
            <wp:effectExtent l="0" t="0" r="0" b="0"/>
            <wp:docPr id="48192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29685" name=""/>
                    <pic:cNvPicPr/>
                  </pic:nvPicPr>
                  <pic:blipFill>
                    <a:blip r:embed="rId9"/>
                    <a:stretch>
                      <a:fillRect/>
                    </a:stretch>
                  </pic:blipFill>
                  <pic:spPr>
                    <a:xfrm>
                      <a:off x="0" y="0"/>
                      <a:ext cx="5334000" cy="5334000"/>
                    </a:xfrm>
                    <a:prstGeom prst="rect">
                      <a:avLst/>
                    </a:prstGeom>
                  </pic:spPr>
                </pic:pic>
              </a:graphicData>
            </a:graphic>
          </wp:inline>
        </w:drawing>
      </w:r>
    </w:p>
    <w:p w14:paraId="6B887122" w14:textId="77777777" w:rsidR="00004B1B" w:rsidRPr="00004B1B" w:rsidRDefault="00004B1B" w:rsidP="00004B1B">
      <w:pPr>
        <w:spacing w:after="48" w:line="240" w:lineRule="auto"/>
        <w:rPr>
          <w:rFonts w:ascii="Segoe UI" w:eastAsia="Times New Roman" w:hAnsi="Segoe UI" w:cs="Segoe UI"/>
          <w:color w:val="BFBFBF"/>
          <w:kern w:val="0"/>
          <w:sz w:val="20"/>
          <w:szCs w:val="20"/>
          <w14:ligatures w14:val="none"/>
        </w:rPr>
      </w:pPr>
      <w:r w:rsidRPr="00004B1B">
        <w:rPr>
          <w:rFonts w:ascii="Segoe UI" w:eastAsia="Times New Roman" w:hAnsi="Segoe UI" w:cs="Segoe UI"/>
          <w:color w:val="BFBFBF"/>
          <w:kern w:val="0"/>
          <w:sz w:val="20"/>
          <w:szCs w:val="20"/>
          <w14:ligatures w14:val="none"/>
        </w:rPr>
        <w:t>Let me break this into the three questions you're really asking: what "design based direct" means, why the y-axes differ so much, and what the overall pattern tells you.</w:t>
      </w:r>
    </w:p>
    <w:p w14:paraId="6C6927F3" w14:textId="77777777" w:rsidR="00004B1B" w:rsidRPr="00004B1B" w:rsidRDefault="00004B1B" w:rsidP="00004B1B">
      <w:pPr>
        <w:spacing w:before="24" w:after="48" w:line="240" w:lineRule="auto"/>
        <w:rPr>
          <w:rFonts w:ascii="Segoe UI" w:eastAsia="Times New Roman" w:hAnsi="Segoe UI" w:cs="Segoe UI"/>
          <w:color w:val="BFBFBF"/>
          <w:kern w:val="0"/>
          <w:sz w:val="20"/>
          <w:szCs w:val="20"/>
          <w14:ligatures w14:val="none"/>
        </w:rPr>
      </w:pPr>
      <w:r w:rsidRPr="00004B1B">
        <w:rPr>
          <w:rFonts w:ascii="Segoe UI" w:eastAsia="Times New Roman" w:hAnsi="Segoe UI" w:cs="Segoe UI"/>
          <w:b/>
          <w:bCs/>
          <w:color w:val="BFBFBF"/>
          <w:kern w:val="0"/>
          <w:sz w:val="20"/>
          <w:szCs w:val="20"/>
          <w14:ligatures w14:val="none"/>
        </w:rPr>
        <w:t>What "design based direct" is:</w:t>
      </w:r>
      <w:r w:rsidRPr="00004B1B">
        <w:rPr>
          <w:rFonts w:ascii="Segoe UI" w:eastAsia="Times New Roman" w:hAnsi="Segoe UI" w:cs="Segoe UI"/>
          <w:color w:val="BFBFBF"/>
          <w:kern w:val="0"/>
          <w:sz w:val="20"/>
          <w:szCs w:val="20"/>
          <w14:ligatures w14:val="none"/>
        </w:rPr>
        <w:t xml:space="preserve"> it's the </w:t>
      </w:r>
      <w:r w:rsidRPr="00004B1B">
        <w:rPr>
          <w:rFonts w:ascii="Segoe UI" w:eastAsia="Times New Roman" w:hAnsi="Segoe UI" w:cs="Segoe UI"/>
          <w:i/>
          <w:iCs/>
          <w:color w:val="BFBFBF"/>
          <w:kern w:val="0"/>
          <w:sz w:val="20"/>
          <w:szCs w:val="20"/>
          <w14:ligatures w14:val="none"/>
        </w:rPr>
        <w:t>rawest, least-processed</w:t>
      </w:r>
      <w:r w:rsidRPr="00004B1B">
        <w:rPr>
          <w:rFonts w:ascii="Segoe UI" w:eastAsia="Times New Roman" w:hAnsi="Segoe UI" w:cs="Segoe UI"/>
          <w:color w:val="BFBFBF"/>
          <w:kern w:val="0"/>
          <w:sz w:val="20"/>
          <w:szCs w:val="20"/>
          <w14:ligatures w14:val="none"/>
        </w:rPr>
        <w:t xml:space="preserve"> estimate in the whole comparison — for every region × birth cohort combination, it's just the survey-weighted average of </w:t>
      </w:r>
      <w:r w:rsidRPr="00004B1B">
        <w:rPr>
          <w:rFonts w:ascii="Courier New" w:eastAsia="Times New Roman" w:hAnsi="Courier New" w:cs="Courier New"/>
          <w:color w:val="8C8C8C"/>
          <w:kern w:val="0"/>
          <w:sz w:val="18"/>
          <w:szCs w:val="18"/>
          <w14:ligatures w14:val="none"/>
        </w:rPr>
        <w:t>event</w:t>
      </w:r>
      <w:r w:rsidRPr="00004B1B">
        <w:rPr>
          <w:rFonts w:ascii="Segoe UI" w:eastAsia="Times New Roman" w:hAnsi="Segoe UI" w:cs="Segoe UI"/>
          <w:color w:val="BFBFBF"/>
          <w:kern w:val="0"/>
          <w:sz w:val="20"/>
          <w:szCs w:val="20"/>
          <w14:ligatures w14:val="none"/>
        </w:rPr>
        <w:t xml:space="preserve"> (</w:t>
      </w:r>
      <w:r w:rsidRPr="00004B1B">
        <w:rPr>
          <w:rFonts w:ascii="Courier New" w:eastAsia="Times New Roman" w:hAnsi="Courier New" w:cs="Courier New"/>
          <w:color w:val="8C8C8C"/>
          <w:kern w:val="0"/>
          <w:sz w:val="18"/>
          <w:szCs w:val="18"/>
          <w14:ligatures w14:val="none"/>
        </w:rPr>
        <w:t>survey::svyby(..., survey::svymean)</w:t>
      </w:r>
      <w:r w:rsidRPr="00004B1B">
        <w:rPr>
          <w:rFonts w:ascii="Segoe UI" w:eastAsia="Times New Roman" w:hAnsi="Segoe UI" w:cs="Segoe UI"/>
          <w:color w:val="BFBFBF"/>
          <w:kern w:val="0"/>
          <w:sz w:val="20"/>
          <w:szCs w:val="20"/>
          <w14:ligatures w14:val="none"/>
        </w:rPr>
        <w:t xml:space="preserve">), computed directly from the sample using the DHS's own sampling weights, clustering, and stratification, with </w:t>
      </w:r>
      <w:r w:rsidRPr="00004B1B">
        <w:rPr>
          <w:rFonts w:ascii="Segoe UI" w:eastAsia="Times New Roman" w:hAnsi="Segoe UI" w:cs="Segoe UI"/>
          <w:b/>
          <w:bCs/>
          <w:color w:val="BFBFBF"/>
          <w:kern w:val="0"/>
          <w:sz w:val="20"/>
          <w:szCs w:val="20"/>
          <w14:ligatures w14:val="none"/>
        </w:rPr>
        <w:t>zero smoothing or borrowing of information across regions or cohorts</w:t>
      </w:r>
      <w:r w:rsidRPr="00004B1B">
        <w:rPr>
          <w:rFonts w:ascii="Segoe UI" w:eastAsia="Times New Roman" w:hAnsi="Segoe UI" w:cs="Segoe UI"/>
          <w:color w:val="BFBFBF"/>
          <w:kern w:val="0"/>
          <w:sz w:val="20"/>
          <w:szCs w:val="20"/>
          <w14:ligatures w14:val="none"/>
        </w:rPr>
        <w:t>. "Design-based" is statistics terminology meaning the estimate's validity comes from the known probability sampling design itself (Horvitz-Thompson-style weighting), not from a statistical model imposing any structure. It's the honest, unadjusted starting point that the spatial model (BYM2/INLA) then smooths.</w:t>
      </w:r>
    </w:p>
    <w:p w14:paraId="192E8632" w14:textId="77777777" w:rsidR="00004B1B" w:rsidRPr="00004B1B" w:rsidRDefault="00004B1B" w:rsidP="00004B1B">
      <w:pPr>
        <w:spacing w:before="24" w:after="48" w:line="240" w:lineRule="auto"/>
        <w:rPr>
          <w:rFonts w:ascii="Segoe UI" w:eastAsia="Times New Roman" w:hAnsi="Segoe UI" w:cs="Segoe UI"/>
          <w:color w:val="BFBFBF"/>
          <w:kern w:val="0"/>
          <w:sz w:val="20"/>
          <w:szCs w:val="20"/>
          <w14:ligatures w14:val="none"/>
        </w:rPr>
      </w:pPr>
      <w:r w:rsidRPr="00004B1B">
        <w:rPr>
          <w:rFonts w:ascii="Segoe UI" w:eastAsia="Times New Roman" w:hAnsi="Segoe UI" w:cs="Segoe UI"/>
          <w:b/>
          <w:bCs/>
          <w:color w:val="BFBFBF"/>
          <w:kern w:val="0"/>
          <w:sz w:val="20"/>
          <w:szCs w:val="20"/>
          <w14:ligatures w14:val="none"/>
        </w:rPr>
        <w:t>Why the y-axes differ so much between panels — two separate reasons:</w:t>
      </w:r>
    </w:p>
    <w:p w14:paraId="28DEFBD1" w14:textId="77777777" w:rsidR="00004B1B" w:rsidRPr="00004B1B" w:rsidRDefault="00004B1B" w:rsidP="00004B1B">
      <w:pPr>
        <w:numPr>
          <w:ilvl w:val="0"/>
          <w:numId w:val="23"/>
        </w:numPr>
        <w:spacing w:before="24" w:after="48" w:line="240" w:lineRule="auto"/>
        <w:rPr>
          <w:rFonts w:ascii="Segoe UI" w:eastAsia="Times New Roman" w:hAnsi="Segoe UI" w:cs="Segoe UI"/>
          <w:color w:val="BFBFBF"/>
          <w:kern w:val="0"/>
          <w:sz w:val="20"/>
          <w:szCs w:val="20"/>
          <w14:ligatures w14:val="none"/>
        </w:rPr>
      </w:pPr>
      <w:r w:rsidRPr="00004B1B">
        <w:rPr>
          <w:rFonts w:ascii="Segoe UI" w:eastAsia="Times New Roman" w:hAnsi="Segoe UI" w:cs="Segoe UI"/>
          <w:b/>
          <w:bCs/>
          <w:color w:val="BFBFBF"/>
          <w:kern w:val="0"/>
          <w:sz w:val="20"/>
          <w:szCs w:val="20"/>
          <w14:ligatures w14:val="none"/>
        </w:rPr>
        <w:t>Kaplan-Meier vs. the other two</w:t>
      </w:r>
      <w:r w:rsidRPr="00004B1B">
        <w:rPr>
          <w:rFonts w:ascii="Segoe UI" w:eastAsia="Times New Roman" w:hAnsi="Segoe UI" w:cs="Segoe UI"/>
          <w:color w:val="BFBFBF"/>
          <w:kern w:val="0"/>
          <w:sz w:val="20"/>
          <w:szCs w:val="20"/>
          <w14:ligatures w14:val="none"/>
        </w:rPr>
        <w:t xml:space="preserve"> is the statistic-type difference we already covered: KM is </w:t>
      </w:r>
      <w:r w:rsidRPr="00004B1B">
        <w:rPr>
          <w:rFonts w:ascii="Segoe UI" w:eastAsia="Times New Roman" w:hAnsi="Segoe UI" w:cs="Segoe UI"/>
          <w:i/>
          <w:iCs/>
          <w:color w:val="BFBFBF"/>
          <w:kern w:val="0"/>
          <w:sz w:val="20"/>
          <w:szCs w:val="20"/>
          <w14:ligatures w14:val="none"/>
        </w:rPr>
        <w:t>cumulative</w:t>
      </w:r>
      <w:r w:rsidRPr="00004B1B">
        <w:rPr>
          <w:rFonts w:ascii="Segoe UI" w:eastAsia="Times New Roman" w:hAnsi="Segoe UI" w:cs="Segoe UI"/>
          <w:color w:val="BFBFBF"/>
          <w:kern w:val="0"/>
          <w:sz w:val="20"/>
          <w:szCs w:val="20"/>
          <w14:ligatures w14:val="none"/>
        </w:rPr>
        <w:t xml:space="preserve"> probability of ever being cut by age 18 (one number per cohort, nationally); the other two are </w:t>
      </w:r>
      <w:r w:rsidRPr="00004B1B">
        <w:rPr>
          <w:rFonts w:ascii="Segoe UI" w:eastAsia="Times New Roman" w:hAnsi="Segoe UI" w:cs="Segoe UI"/>
          <w:i/>
          <w:iCs/>
          <w:color w:val="BFBFBF"/>
          <w:kern w:val="0"/>
          <w:sz w:val="20"/>
          <w:szCs w:val="20"/>
          <w14:ligatures w14:val="none"/>
        </w:rPr>
        <w:t>average annual hazard</w:t>
      </w:r>
      <w:r w:rsidRPr="00004B1B">
        <w:rPr>
          <w:rFonts w:ascii="Segoe UI" w:eastAsia="Times New Roman" w:hAnsi="Segoe UI" w:cs="Segoe UI"/>
          <w:color w:val="BFBFBF"/>
          <w:kern w:val="0"/>
          <w:sz w:val="20"/>
          <w:szCs w:val="20"/>
          <w14:ligatures w14:val="none"/>
        </w:rPr>
        <w:t xml:space="preserve"> — a much smaller number by construction, since it's spread across every year of exposure rather than accumulated.</w:t>
      </w:r>
    </w:p>
    <w:p w14:paraId="0D6F37A0" w14:textId="77777777" w:rsidR="00004B1B" w:rsidRPr="00004B1B" w:rsidRDefault="00004B1B" w:rsidP="00004B1B">
      <w:pPr>
        <w:numPr>
          <w:ilvl w:val="0"/>
          <w:numId w:val="23"/>
        </w:numPr>
        <w:spacing w:before="24" w:after="48" w:line="240" w:lineRule="auto"/>
        <w:rPr>
          <w:rFonts w:ascii="Segoe UI" w:eastAsia="Times New Roman" w:hAnsi="Segoe UI" w:cs="Segoe UI"/>
          <w:color w:val="BFBFBF"/>
          <w:kern w:val="0"/>
          <w:sz w:val="20"/>
          <w:szCs w:val="20"/>
          <w14:ligatures w14:val="none"/>
        </w:rPr>
      </w:pPr>
      <w:r w:rsidRPr="00004B1B">
        <w:rPr>
          <w:rFonts w:ascii="Segoe UI" w:eastAsia="Times New Roman" w:hAnsi="Segoe UI" w:cs="Segoe UI"/>
          <w:b/>
          <w:bCs/>
          <w:color w:val="BFBFBF"/>
          <w:kern w:val="0"/>
          <w:sz w:val="20"/>
          <w:szCs w:val="20"/>
          <w14:ligatures w14:val="none"/>
        </w:rPr>
        <w:lastRenderedPageBreak/>
        <w:t>"Design based direct" (max ~40%) vs. "Spatial small area" (max ~19%)</w:t>
      </w:r>
      <w:r w:rsidRPr="00004B1B">
        <w:rPr>
          <w:rFonts w:ascii="Segoe UI" w:eastAsia="Times New Roman" w:hAnsi="Segoe UI" w:cs="Segoe UI"/>
          <w:color w:val="BFBFBF"/>
          <w:kern w:val="0"/>
          <w:sz w:val="20"/>
          <w:szCs w:val="20"/>
          <w14:ligatures w14:val="none"/>
        </w:rPr>
        <w:t xml:space="preserve"> is a different, and honestly more interesting, reason: both panels are actually showing </w:t>
      </w:r>
      <w:r w:rsidRPr="00004B1B">
        <w:rPr>
          <w:rFonts w:ascii="Segoe UI" w:eastAsia="Times New Roman" w:hAnsi="Segoe UI" w:cs="Segoe UI"/>
          <w:b/>
          <w:bCs/>
          <w:color w:val="BFBFBF"/>
          <w:kern w:val="0"/>
          <w:sz w:val="20"/>
          <w:szCs w:val="20"/>
          <w14:ligatures w14:val="none"/>
        </w:rPr>
        <w:t>37 individual state-level points per cohort</w:t>
      </w:r>
      <w:r w:rsidRPr="00004B1B">
        <w:rPr>
          <w:rFonts w:ascii="Segoe UI" w:eastAsia="Times New Roman" w:hAnsi="Segoe UI" w:cs="Segoe UI"/>
          <w:color w:val="BFBFBF"/>
          <w:kern w:val="0"/>
          <w:sz w:val="20"/>
          <w:szCs w:val="20"/>
          <w14:ligatures w14:val="none"/>
        </w:rPr>
        <w:t>, not one national number — that's why you see a vertical spray of dots at each cohort rather than a single clean line. The raw direct estimates include noisy outliers (a small state with few respondents in the newest cohort can land on an extreme value just by chance — we saw earlier that Taraba had only 30 respondents in the 2020–2024 cohort). The spatial model's whole job is to pull those noisy extremes toward their neighboring states' values ("borrowing strength"), which is exactly what you're seeing: the smoothed panel's peak drops from ~40% to ~19% because BYM2 is doing what it's designed to do — taming small-sample noise rather than treating a single unstable estimate as real.</w:t>
      </w:r>
    </w:p>
    <w:p w14:paraId="7EB5BF86" w14:textId="77777777" w:rsidR="00004B1B" w:rsidRPr="00004B1B" w:rsidRDefault="00004B1B" w:rsidP="00004B1B">
      <w:pPr>
        <w:spacing w:before="24" w:after="48" w:line="240" w:lineRule="auto"/>
        <w:rPr>
          <w:rFonts w:ascii="Segoe UI" w:eastAsia="Times New Roman" w:hAnsi="Segoe UI" w:cs="Segoe UI"/>
          <w:color w:val="BFBFBF"/>
          <w:kern w:val="0"/>
          <w:sz w:val="20"/>
          <w:szCs w:val="20"/>
          <w14:ligatures w14:val="none"/>
        </w:rPr>
      </w:pPr>
      <w:r w:rsidRPr="00004B1B">
        <w:rPr>
          <w:rFonts w:ascii="Segoe UI" w:eastAsia="Times New Roman" w:hAnsi="Segoe UI" w:cs="Segoe UI"/>
          <w:b/>
          <w:bCs/>
          <w:color w:val="BFBFBF"/>
          <w:kern w:val="0"/>
          <w:sz w:val="20"/>
          <w:szCs w:val="20"/>
          <w14:ligatures w14:val="none"/>
        </w:rPr>
        <w:t>What it tells you overall:</w:t>
      </w:r>
      <w:r w:rsidRPr="00004B1B">
        <w:rPr>
          <w:rFonts w:ascii="Segoe UI" w:eastAsia="Times New Roman" w:hAnsi="Segoe UI" w:cs="Segoe UI"/>
          <w:color w:val="BFBFBF"/>
          <w:kern w:val="0"/>
          <w:sz w:val="20"/>
          <w:szCs w:val="20"/>
          <w14:ligatures w14:val="none"/>
        </w:rPr>
        <w:t xml:space="preserve"> despite being three genuinely different methods — nonparametric survival curves, raw unsmoothed survey estimates, and Bayesian spatial smoothing — all three agree on the same qualitative shape: self-reported cohorts decline then flatten, daughter-reported cohorts rise sharply toward the most recent cohort. That agreement across very different methodologies is the actual point of a model validation chart — it's evidence the pattern isn't an artifact of any one modeling choice, even though the exact numbers differ because each method is measuring something slightly different and at a different level of aggregation.</w:t>
      </w:r>
    </w:p>
    <w:p w14:paraId="1D81860C" w14:textId="77777777" w:rsidR="00004B1B" w:rsidRPr="00004B1B" w:rsidRDefault="00004B1B" w:rsidP="00004B1B">
      <w:pPr>
        <w:shd w:val="clear" w:color="auto" w:fill="191A1B"/>
        <w:spacing w:after="0" w:line="240" w:lineRule="auto"/>
        <w:rPr>
          <w:rFonts w:ascii="Segoe UI" w:eastAsia="Times New Roman" w:hAnsi="Segoe UI" w:cs="Segoe UI"/>
          <w:color w:val="BFBFBF"/>
          <w:kern w:val="0"/>
          <w:sz w:val="20"/>
          <w:szCs w:val="20"/>
          <w14:ligatures w14:val="none"/>
        </w:rPr>
      </w:pPr>
      <w:r w:rsidRPr="00004B1B">
        <w:rPr>
          <w:rFonts w:ascii="Segoe UI" w:eastAsia="Times New Roman" w:hAnsi="Segoe UI" w:cs="Segoe UI"/>
          <w:color w:val="BFBFBF"/>
          <w:kern w:val="0"/>
          <w:sz w:val="20"/>
          <w:szCs w:val="20"/>
          <w14:ligatures w14:val="none"/>
        </w:rPr>
        <w:t>did we do small area estimates in this work??</w:t>
      </w:r>
    </w:p>
    <w:p w14:paraId="0D003256" w14:textId="77777777" w:rsidR="00004B1B" w:rsidRPr="00004B1B" w:rsidRDefault="00004B1B" w:rsidP="00004B1B">
      <w:pPr>
        <w:spacing w:after="48" w:line="240" w:lineRule="auto"/>
        <w:rPr>
          <w:rFonts w:ascii="Segoe UI" w:eastAsia="Times New Roman" w:hAnsi="Segoe UI" w:cs="Segoe UI"/>
          <w:color w:val="BFBFBF"/>
          <w:kern w:val="0"/>
          <w:sz w:val="20"/>
          <w:szCs w:val="20"/>
          <w14:ligatures w14:val="none"/>
        </w:rPr>
      </w:pPr>
      <w:r w:rsidRPr="00004B1B">
        <w:rPr>
          <w:rFonts w:ascii="Segoe UI" w:eastAsia="Times New Roman" w:hAnsi="Segoe UI" w:cs="Segoe UI"/>
          <w:color w:val="BFBFBF"/>
          <w:kern w:val="0"/>
          <w:sz w:val="20"/>
          <w:szCs w:val="20"/>
          <w14:ligatures w14:val="none"/>
        </w:rPr>
        <w:t xml:space="preserve">Yes — that's exactly what Section 10–12 of </w:t>
      </w:r>
      <w:r w:rsidRPr="00004B1B">
        <w:rPr>
          <w:rFonts w:ascii="Courier New" w:eastAsia="Times New Roman" w:hAnsi="Courier New" w:cs="Courier New"/>
          <w:color w:val="8C8C8C"/>
          <w:kern w:val="0"/>
          <w:sz w:val="18"/>
          <w:szCs w:val="18"/>
          <w14:ligatures w14:val="none"/>
        </w:rPr>
        <w:t>FGM_Risk_Incidence.ipynb</w:t>
      </w:r>
      <w:r w:rsidRPr="00004B1B">
        <w:rPr>
          <w:rFonts w:ascii="Segoe UI" w:eastAsia="Times New Roman" w:hAnsi="Segoe UI" w:cs="Segoe UI"/>
          <w:color w:val="BFBFBF"/>
          <w:kern w:val="0"/>
          <w:sz w:val="20"/>
          <w:szCs w:val="20"/>
          <w14:ligatures w14:val="none"/>
        </w:rPr>
        <w:t xml:space="preserve"> does, even though the notebook doesn't use that exact term everywhere. Small area estimation (SAE) means: you want reliable estimates for many small subgroups (here, 37 states × 11 birth cohorts = 407 cells), but most of those cells have too few respondents individually to trust on their own — so you borrow strength from nearby areas/periods to stabilize the noisy ones. That's precisely the two-step pipeline you have:</w:t>
      </w:r>
    </w:p>
    <w:p w14:paraId="5B97B4A7" w14:textId="77777777" w:rsidR="00004B1B" w:rsidRPr="00004B1B" w:rsidRDefault="00004B1B" w:rsidP="00004B1B">
      <w:pPr>
        <w:numPr>
          <w:ilvl w:val="0"/>
          <w:numId w:val="24"/>
        </w:numPr>
        <w:spacing w:before="100" w:beforeAutospacing="1" w:after="100" w:afterAutospacing="1" w:line="240" w:lineRule="auto"/>
        <w:rPr>
          <w:rFonts w:ascii="Segoe UI" w:eastAsia="Times New Roman" w:hAnsi="Segoe UI" w:cs="Segoe UI"/>
          <w:color w:val="BFBFBF"/>
          <w:kern w:val="0"/>
          <w:sz w:val="20"/>
          <w:szCs w:val="20"/>
          <w14:ligatures w14:val="none"/>
        </w:rPr>
      </w:pPr>
      <w:r w:rsidRPr="00004B1B">
        <w:rPr>
          <w:rFonts w:ascii="Segoe UI" w:eastAsia="Times New Roman" w:hAnsi="Segoe UI" w:cs="Segoe UI"/>
          <w:b/>
          <w:bCs/>
          <w:color w:val="BFBFBF"/>
          <w:kern w:val="0"/>
          <w:sz w:val="20"/>
          <w:szCs w:val="20"/>
          <w14:ligatures w14:val="none"/>
        </w:rPr>
        <w:t>Direct estimates</w:t>
      </w:r>
      <w:r w:rsidRPr="00004B1B">
        <w:rPr>
          <w:rFonts w:ascii="Segoe UI" w:eastAsia="Times New Roman" w:hAnsi="Segoe UI" w:cs="Segoe UI"/>
          <w:color w:val="BFBFBF"/>
          <w:kern w:val="0"/>
          <w:sz w:val="20"/>
          <w:szCs w:val="20"/>
          <w14:ligatures w14:val="none"/>
        </w:rPr>
        <w:t> (</w:t>
      </w:r>
      <w:r w:rsidRPr="00004B1B">
        <w:rPr>
          <w:rFonts w:ascii="Courier New" w:eastAsia="Times New Roman" w:hAnsi="Courier New" w:cs="Courier New"/>
          <w:color w:val="8C8C8C"/>
          <w:kern w:val="0"/>
          <w:sz w:val="18"/>
          <w:szCs w:val="18"/>
          <w14:ligatures w14:val="none"/>
        </w:rPr>
        <w:t>direct_self</w:t>
      </w:r>
      <w:r w:rsidRPr="00004B1B">
        <w:rPr>
          <w:rFonts w:ascii="Segoe UI" w:eastAsia="Times New Roman" w:hAnsi="Segoe UI" w:cs="Segoe UI"/>
          <w:color w:val="BFBFBF"/>
          <w:kern w:val="0"/>
          <w:sz w:val="20"/>
          <w:szCs w:val="20"/>
          <w14:ligatures w14:val="none"/>
        </w:rPr>
        <w:t>/</w:t>
      </w:r>
      <w:r w:rsidRPr="00004B1B">
        <w:rPr>
          <w:rFonts w:ascii="Courier New" w:eastAsia="Times New Roman" w:hAnsi="Courier New" w:cs="Courier New"/>
          <w:color w:val="8C8C8C"/>
          <w:kern w:val="0"/>
          <w:sz w:val="18"/>
          <w:szCs w:val="18"/>
          <w14:ligatures w14:val="none"/>
        </w:rPr>
        <w:t>direct_daughter</w:t>
      </w:r>
      <w:r w:rsidRPr="00004B1B">
        <w:rPr>
          <w:rFonts w:ascii="Segoe UI" w:eastAsia="Times New Roman" w:hAnsi="Segoe UI" w:cs="Segoe UI"/>
          <w:color w:val="BFBFBF"/>
          <w:kern w:val="0"/>
          <w:sz w:val="20"/>
          <w:szCs w:val="20"/>
          <w14:ligatures w14:val="none"/>
        </w:rPr>
        <w:t>) — the raw, unsmoothed survey-weighted estimate for each region × cohort cell. This is standard SAE terminology: "direct" means computed straight from the sample in that cell alone, no borrowing.</w:t>
      </w:r>
    </w:p>
    <w:p w14:paraId="65FA5956" w14:textId="77777777" w:rsidR="00004B1B" w:rsidRPr="00004B1B" w:rsidRDefault="00004B1B" w:rsidP="00004B1B">
      <w:pPr>
        <w:numPr>
          <w:ilvl w:val="0"/>
          <w:numId w:val="24"/>
        </w:numPr>
        <w:spacing w:before="100" w:beforeAutospacing="1" w:after="100" w:afterAutospacing="1" w:line="240" w:lineRule="auto"/>
        <w:rPr>
          <w:rFonts w:ascii="Segoe UI" w:eastAsia="Times New Roman" w:hAnsi="Segoe UI" w:cs="Segoe UI"/>
          <w:color w:val="BFBFBF"/>
          <w:kern w:val="0"/>
          <w:sz w:val="20"/>
          <w:szCs w:val="20"/>
          <w14:ligatures w14:val="none"/>
        </w:rPr>
      </w:pPr>
      <w:r w:rsidRPr="00004B1B">
        <w:rPr>
          <w:rFonts w:ascii="Segoe UI" w:eastAsia="Times New Roman" w:hAnsi="Segoe UI" w:cs="Segoe UI"/>
          <w:b/>
          <w:bCs/>
          <w:color w:val="BFBFBF"/>
          <w:kern w:val="0"/>
          <w:sz w:val="20"/>
          <w:szCs w:val="20"/>
          <w14:ligatures w14:val="none"/>
        </w:rPr>
        <w:t>Smoothed/modeled estimates</w:t>
      </w:r>
      <w:r w:rsidRPr="00004B1B">
        <w:rPr>
          <w:rFonts w:ascii="Segoe UI" w:eastAsia="Times New Roman" w:hAnsi="Segoe UI" w:cs="Segoe UI"/>
          <w:color w:val="BFBFBF"/>
          <w:kern w:val="0"/>
          <w:sz w:val="20"/>
          <w:szCs w:val="20"/>
          <w14:ligatures w14:val="none"/>
        </w:rPr>
        <w:t> (</w:t>
      </w:r>
      <w:r w:rsidRPr="00004B1B">
        <w:rPr>
          <w:rFonts w:ascii="Courier New" w:eastAsia="Times New Roman" w:hAnsi="Courier New" w:cs="Courier New"/>
          <w:color w:val="8C8C8C"/>
          <w:kern w:val="0"/>
          <w:sz w:val="18"/>
          <w:szCs w:val="18"/>
          <w14:ligatures w14:val="none"/>
        </w:rPr>
        <w:t>smoothed_self</w:t>
      </w:r>
      <w:r w:rsidRPr="00004B1B">
        <w:rPr>
          <w:rFonts w:ascii="Segoe UI" w:eastAsia="Times New Roman" w:hAnsi="Segoe UI" w:cs="Segoe UI"/>
          <w:color w:val="BFBFBF"/>
          <w:kern w:val="0"/>
          <w:sz w:val="20"/>
          <w:szCs w:val="20"/>
          <w14:ligatures w14:val="none"/>
        </w:rPr>
        <w:t>/</w:t>
      </w:r>
      <w:r w:rsidRPr="00004B1B">
        <w:rPr>
          <w:rFonts w:ascii="Courier New" w:eastAsia="Times New Roman" w:hAnsi="Courier New" w:cs="Courier New"/>
          <w:color w:val="8C8C8C"/>
          <w:kern w:val="0"/>
          <w:sz w:val="18"/>
          <w:szCs w:val="18"/>
          <w14:ligatures w14:val="none"/>
        </w:rPr>
        <w:t>smoothed_daughter</w:t>
      </w:r>
      <w:r w:rsidRPr="00004B1B">
        <w:rPr>
          <w:rFonts w:ascii="Segoe UI" w:eastAsia="Times New Roman" w:hAnsi="Segoe UI" w:cs="Segoe UI"/>
          <w:color w:val="BFBFBF"/>
          <w:kern w:val="0"/>
          <w:sz w:val="20"/>
          <w:szCs w:val="20"/>
          <w14:ligatures w14:val="none"/>
        </w:rPr>
        <w:t>, via </w:t>
      </w:r>
      <w:r w:rsidRPr="00004B1B">
        <w:rPr>
          <w:rFonts w:ascii="Courier New" w:eastAsia="Times New Roman" w:hAnsi="Courier New" w:cs="Courier New"/>
          <w:color w:val="8C8C8C"/>
          <w:kern w:val="0"/>
          <w:sz w:val="18"/>
          <w:szCs w:val="18"/>
          <w14:ligatures w14:val="none"/>
        </w:rPr>
        <w:t>INLA::inla()</w:t>
      </w:r>
      <w:r w:rsidRPr="00004B1B">
        <w:rPr>
          <w:rFonts w:ascii="Segoe UI" w:eastAsia="Times New Roman" w:hAnsi="Segoe UI" w:cs="Segoe UI"/>
          <w:color w:val="BFBFBF"/>
          <w:kern w:val="0"/>
          <w:sz w:val="20"/>
          <w:szCs w:val="20"/>
          <w14:ligatures w14:val="none"/>
        </w:rPr>
        <w:t> with a BYM2 spatial term + RW2 cohort term) — this is the actual small-area-estimation step: it pulls each noisy direct estimate toward its geographic neighbors and adjacent cohorts, which is exactly why the "Spatial small area" panel in your validation chart had a much lower, more believable peak (~19%) than the raw "Design based direct" panel's noisy outlier (~40%) we just discussed.</w:t>
      </w:r>
    </w:p>
    <w:p w14:paraId="50421CF2" w14:textId="77777777" w:rsidR="00004B1B" w:rsidRPr="00004B1B" w:rsidRDefault="00004B1B" w:rsidP="00004B1B">
      <w:pPr>
        <w:spacing w:before="24" w:after="48" w:line="240" w:lineRule="auto"/>
        <w:rPr>
          <w:rFonts w:ascii="Segoe UI" w:eastAsia="Times New Roman" w:hAnsi="Segoe UI" w:cs="Segoe UI"/>
          <w:color w:val="BFBFBF"/>
          <w:kern w:val="0"/>
          <w:sz w:val="20"/>
          <w:szCs w:val="20"/>
          <w14:ligatures w14:val="none"/>
        </w:rPr>
      </w:pPr>
      <w:r w:rsidRPr="00004B1B">
        <w:rPr>
          <w:rFonts w:ascii="Segoe UI" w:eastAsia="Times New Roman" w:hAnsi="Segoe UI" w:cs="Segoe UI"/>
          <w:color w:val="BFBFBF"/>
          <w:kern w:val="0"/>
          <w:sz w:val="20"/>
          <w:szCs w:val="20"/>
          <w14:ligatures w14:val="none"/>
        </w:rPr>
        <w:t xml:space="preserve">So </w:t>
      </w:r>
      <w:r w:rsidRPr="00004B1B">
        <w:rPr>
          <w:rFonts w:ascii="Segoe UI" w:eastAsia="Times New Roman" w:hAnsi="Segoe UI" w:cs="Segoe UI"/>
          <w:b/>
          <w:bCs/>
          <w:color w:val="BFBFBF"/>
          <w:kern w:val="0"/>
          <w:sz w:val="20"/>
          <w:szCs w:val="20"/>
          <w14:ligatures w14:val="none"/>
        </w:rPr>
        <w:t>yes, genuinely</w:t>
      </w:r>
      <w:r w:rsidRPr="00004B1B">
        <w:rPr>
          <w:rFonts w:ascii="Segoe UI" w:eastAsia="Times New Roman" w:hAnsi="Segoe UI" w:cs="Segoe UI"/>
          <w:color w:val="BFBFBF"/>
          <w:kern w:val="0"/>
          <w:sz w:val="20"/>
          <w:szCs w:val="20"/>
          <w14:ligatures w14:val="none"/>
        </w:rPr>
        <w:t xml:space="preserve"> — you built a working Bayesian spatial small-area estimation pipeline, in the same broad methodological family as the UN IGME/SUMMER framework (BYM2 spatial smoothing + temporal random walk, borrowing strength across sparse regions).</w:t>
      </w:r>
    </w:p>
    <w:p w14:paraId="135D4E8D" w14:textId="77777777" w:rsidR="00004B1B" w:rsidRPr="00004B1B" w:rsidRDefault="00004B1B" w:rsidP="00004B1B">
      <w:pPr>
        <w:spacing w:before="24" w:after="48" w:line="240" w:lineRule="auto"/>
        <w:rPr>
          <w:rFonts w:ascii="Segoe UI" w:eastAsia="Times New Roman" w:hAnsi="Segoe UI" w:cs="Segoe UI"/>
          <w:color w:val="BFBFBF"/>
          <w:kern w:val="0"/>
          <w:sz w:val="20"/>
          <w:szCs w:val="20"/>
          <w14:ligatures w14:val="none"/>
        </w:rPr>
      </w:pPr>
      <w:r w:rsidRPr="00004B1B">
        <w:rPr>
          <w:rFonts w:ascii="Segoe UI" w:eastAsia="Times New Roman" w:hAnsi="Segoe UI" w:cs="Segoe UI"/>
          <w:color w:val="BFBFBF"/>
          <w:kern w:val="0"/>
          <w:sz w:val="20"/>
          <w:szCs w:val="20"/>
          <w14:ligatures w14:val="none"/>
        </w:rPr>
        <w:t xml:space="preserve">The honest caveat, which we already covered: it's a </w:t>
      </w:r>
      <w:r w:rsidRPr="00004B1B">
        <w:rPr>
          <w:rFonts w:ascii="Segoe UI" w:eastAsia="Times New Roman" w:hAnsi="Segoe UI" w:cs="Segoe UI"/>
          <w:b/>
          <w:bCs/>
          <w:color w:val="BFBFBF"/>
          <w:kern w:val="0"/>
          <w:sz w:val="20"/>
          <w:szCs w:val="20"/>
          <w14:ligatures w14:val="none"/>
        </w:rPr>
        <w:t>simplified, hand-rolled version</w:t>
      </w:r>
      <w:r w:rsidRPr="00004B1B">
        <w:rPr>
          <w:rFonts w:ascii="Segoe UI" w:eastAsia="Times New Roman" w:hAnsi="Segoe UI" w:cs="Segoe UI"/>
          <w:color w:val="BFBFBF"/>
          <w:kern w:val="0"/>
          <w:sz w:val="20"/>
          <w:szCs w:val="20"/>
          <w14:ligatures w14:val="none"/>
        </w:rPr>
        <w:t xml:space="preserve">, not the actual </w:t>
      </w:r>
      <w:r w:rsidRPr="00004B1B">
        <w:rPr>
          <w:rFonts w:ascii="Courier New" w:eastAsia="Times New Roman" w:hAnsi="Courier New" w:cs="Courier New"/>
          <w:color w:val="8C8C8C"/>
          <w:kern w:val="0"/>
          <w:sz w:val="18"/>
          <w:szCs w:val="18"/>
          <w14:ligatures w14:val="none"/>
        </w:rPr>
        <w:t>SUMMER::smoothDirect()</w:t>
      </w:r>
      <w:r w:rsidRPr="00004B1B">
        <w:rPr>
          <w:rFonts w:ascii="Segoe UI" w:eastAsia="Times New Roman" w:hAnsi="Segoe UI" w:cs="Segoe UI"/>
          <w:color w:val="BFBFBF"/>
          <w:kern w:val="0"/>
          <w:sz w:val="20"/>
          <w:szCs w:val="20"/>
          <w14:ligatures w14:val="none"/>
        </w:rPr>
        <w:t xml:space="preserve"> or UN IGME B3 implementation — it doesn't yet properly weight each direct estimate by its own sampling variance (a region with 30 respondents and a region with 544 currently get treated with equal trust before smoothing), and it uses a plain Gaussian likelihood rather than a proper binomial/logit model. Those are real, fixable gaps (Recommendation #3), but the core SAE architecture — direct estimates + spatial-temporal Bayesian smoothing — is genuinely in place and working.</w:t>
      </w:r>
    </w:p>
    <w:p w14:paraId="4DE52131" w14:textId="624BE041" w:rsidR="00004B1B" w:rsidRDefault="00614D1F" w:rsidP="00CC0739">
      <w:pPr>
        <w:spacing w:before="100" w:beforeAutospacing="1" w:after="100" w:afterAutospacing="1" w:line="240" w:lineRule="auto"/>
        <w:rPr>
          <w:rFonts w:ascii="Times New Roman" w:eastAsia="Times New Roman" w:hAnsi="Times New Roman" w:cs="Times New Roman"/>
          <w:kern w:val="0"/>
          <w14:ligatures w14:val="none"/>
        </w:rPr>
      </w:pPr>
      <w:r w:rsidRPr="00614D1F">
        <w:rPr>
          <w:rFonts w:ascii="Times New Roman" w:eastAsia="Times New Roman" w:hAnsi="Times New Roman" w:cs="Times New Roman"/>
          <w:noProof/>
          <w:kern w:val="0"/>
          <w14:ligatures w14:val="none"/>
        </w:rPr>
        <w:lastRenderedPageBreak/>
        <w:drawing>
          <wp:inline distT="0" distB="0" distL="0" distR="0" wp14:anchorId="13E6F61B" wp14:editId="758F8714">
            <wp:extent cx="5943600" cy="3489960"/>
            <wp:effectExtent l="0" t="0" r="0" b="2540"/>
            <wp:docPr id="13798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1985" name=""/>
                    <pic:cNvPicPr/>
                  </pic:nvPicPr>
                  <pic:blipFill>
                    <a:blip r:embed="rId10"/>
                    <a:stretch>
                      <a:fillRect/>
                    </a:stretch>
                  </pic:blipFill>
                  <pic:spPr>
                    <a:xfrm>
                      <a:off x="0" y="0"/>
                      <a:ext cx="5943600" cy="3489960"/>
                    </a:xfrm>
                    <a:prstGeom prst="rect">
                      <a:avLst/>
                    </a:prstGeom>
                  </pic:spPr>
                </pic:pic>
              </a:graphicData>
            </a:graphic>
          </wp:inline>
        </w:drawing>
      </w:r>
    </w:p>
    <w:p w14:paraId="49251D61" w14:textId="087D3DD3" w:rsidR="00614D1F" w:rsidRDefault="00614D1F" w:rsidP="00CC0739">
      <w:pPr>
        <w:spacing w:before="100" w:beforeAutospacing="1" w:after="100" w:afterAutospacing="1" w:line="240" w:lineRule="auto"/>
        <w:rPr>
          <w:rFonts w:ascii="Times New Roman" w:eastAsia="Times New Roman" w:hAnsi="Times New Roman" w:cs="Times New Roman"/>
          <w:kern w:val="0"/>
          <w14:ligatures w14:val="none"/>
        </w:rPr>
      </w:pPr>
      <w:r w:rsidRPr="00614D1F">
        <w:rPr>
          <w:rFonts w:ascii="Times New Roman" w:eastAsia="Times New Roman" w:hAnsi="Times New Roman" w:cs="Times New Roman"/>
          <w:noProof/>
          <w:kern w:val="0"/>
          <w14:ligatures w14:val="none"/>
        </w:rPr>
        <w:drawing>
          <wp:inline distT="0" distB="0" distL="0" distR="0" wp14:anchorId="47B98458" wp14:editId="550F540C">
            <wp:extent cx="5943600" cy="3370580"/>
            <wp:effectExtent l="0" t="0" r="0" b="0"/>
            <wp:docPr id="127592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28836" name=""/>
                    <pic:cNvPicPr/>
                  </pic:nvPicPr>
                  <pic:blipFill>
                    <a:blip r:embed="rId11"/>
                    <a:stretch>
                      <a:fillRect/>
                    </a:stretch>
                  </pic:blipFill>
                  <pic:spPr>
                    <a:xfrm>
                      <a:off x="0" y="0"/>
                      <a:ext cx="5943600" cy="3370580"/>
                    </a:xfrm>
                    <a:prstGeom prst="rect">
                      <a:avLst/>
                    </a:prstGeom>
                  </pic:spPr>
                </pic:pic>
              </a:graphicData>
            </a:graphic>
          </wp:inline>
        </w:drawing>
      </w:r>
    </w:p>
    <w:p w14:paraId="53D2988B" w14:textId="60A725F3" w:rsidR="00614D1F" w:rsidRDefault="00614D1F" w:rsidP="00CC0739">
      <w:pPr>
        <w:spacing w:before="100" w:beforeAutospacing="1" w:after="100" w:afterAutospacing="1" w:line="240" w:lineRule="auto"/>
        <w:rPr>
          <w:rFonts w:ascii="Times New Roman" w:eastAsia="Times New Roman" w:hAnsi="Times New Roman" w:cs="Times New Roman"/>
          <w:kern w:val="0"/>
          <w14:ligatures w14:val="none"/>
        </w:rPr>
      </w:pPr>
      <w:r w:rsidRPr="00614D1F">
        <w:rPr>
          <w:rFonts w:ascii="Times New Roman" w:eastAsia="Times New Roman" w:hAnsi="Times New Roman" w:cs="Times New Roman"/>
          <w:noProof/>
          <w:kern w:val="0"/>
          <w14:ligatures w14:val="none"/>
        </w:rPr>
        <w:lastRenderedPageBreak/>
        <w:drawing>
          <wp:inline distT="0" distB="0" distL="0" distR="0" wp14:anchorId="0767CD19" wp14:editId="19984BD7">
            <wp:extent cx="5943600" cy="2584450"/>
            <wp:effectExtent l="0" t="0" r="0" b="6350"/>
            <wp:docPr id="27932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22623" name=""/>
                    <pic:cNvPicPr/>
                  </pic:nvPicPr>
                  <pic:blipFill>
                    <a:blip r:embed="rId12"/>
                    <a:stretch>
                      <a:fillRect/>
                    </a:stretch>
                  </pic:blipFill>
                  <pic:spPr>
                    <a:xfrm>
                      <a:off x="0" y="0"/>
                      <a:ext cx="5943600" cy="2584450"/>
                    </a:xfrm>
                    <a:prstGeom prst="rect">
                      <a:avLst/>
                    </a:prstGeom>
                  </pic:spPr>
                </pic:pic>
              </a:graphicData>
            </a:graphic>
          </wp:inline>
        </w:drawing>
      </w:r>
    </w:p>
    <w:p w14:paraId="26EE7243" w14:textId="13E080F7" w:rsidR="00614D1F" w:rsidRPr="00CC0739" w:rsidRDefault="00614D1F" w:rsidP="00CC0739">
      <w:pPr>
        <w:spacing w:before="100" w:beforeAutospacing="1" w:after="100" w:afterAutospacing="1" w:line="240" w:lineRule="auto"/>
        <w:rPr>
          <w:rFonts w:ascii="Times New Roman" w:eastAsia="Times New Roman" w:hAnsi="Times New Roman" w:cs="Times New Roman"/>
          <w:kern w:val="0"/>
          <w14:ligatures w14:val="none"/>
        </w:rPr>
      </w:pPr>
      <w:r w:rsidRPr="00614D1F">
        <w:rPr>
          <w:rFonts w:ascii="Times New Roman" w:eastAsia="Times New Roman" w:hAnsi="Times New Roman" w:cs="Times New Roman"/>
          <w:noProof/>
          <w:kern w:val="0"/>
          <w14:ligatures w14:val="none"/>
        </w:rPr>
        <w:drawing>
          <wp:inline distT="0" distB="0" distL="0" distR="0" wp14:anchorId="26C02F0A" wp14:editId="0D586025">
            <wp:extent cx="5943600" cy="4990465"/>
            <wp:effectExtent l="0" t="0" r="0" b="635"/>
            <wp:docPr id="189928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80394" name=""/>
                    <pic:cNvPicPr/>
                  </pic:nvPicPr>
                  <pic:blipFill>
                    <a:blip r:embed="rId13"/>
                    <a:stretch>
                      <a:fillRect/>
                    </a:stretch>
                  </pic:blipFill>
                  <pic:spPr>
                    <a:xfrm>
                      <a:off x="0" y="0"/>
                      <a:ext cx="5943600" cy="4990465"/>
                    </a:xfrm>
                    <a:prstGeom prst="rect">
                      <a:avLst/>
                    </a:prstGeom>
                  </pic:spPr>
                </pic:pic>
              </a:graphicData>
            </a:graphic>
          </wp:inline>
        </w:drawing>
      </w:r>
    </w:p>
    <w:p w14:paraId="43510B2D" w14:textId="77777777" w:rsidR="008156D1" w:rsidRDefault="008156D1" w:rsidP="00311800">
      <w:pPr>
        <w:rPr>
          <w:highlight w:val="yellow"/>
        </w:rPr>
      </w:pPr>
    </w:p>
    <w:p w14:paraId="503E1887" w14:textId="77777777" w:rsidR="008156D1" w:rsidRPr="008156D1" w:rsidRDefault="008156D1" w:rsidP="008156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56D1">
        <w:rPr>
          <w:rFonts w:ascii="Times New Roman" w:eastAsia="Times New Roman" w:hAnsi="Times New Roman" w:cs="Times New Roman"/>
          <w:b/>
          <w:bCs/>
          <w:kern w:val="0"/>
          <w:sz w:val="27"/>
          <w:szCs w:val="27"/>
          <w14:ligatures w14:val="none"/>
        </w:rPr>
        <w:lastRenderedPageBreak/>
        <w:t>Censoring and the Risk Set</w:t>
      </w:r>
    </w:p>
    <w:p w14:paraId="793FC96F" w14:textId="77777777" w:rsidR="008156D1" w:rsidRPr="008156D1" w:rsidRDefault="008156D1" w:rsidP="008156D1">
      <w:pPr>
        <w:spacing w:before="100" w:beforeAutospacing="1" w:after="100" w:afterAutospacing="1" w:line="240" w:lineRule="auto"/>
        <w:rPr>
          <w:rFonts w:ascii="Times New Roman" w:eastAsia="Times New Roman" w:hAnsi="Times New Roman" w:cs="Times New Roman"/>
          <w:kern w:val="0"/>
          <w14:ligatures w14:val="none"/>
        </w:rPr>
      </w:pPr>
      <w:r w:rsidRPr="008156D1">
        <w:rPr>
          <w:rFonts w:ascii="Times New Roman" w:eastAsia="Times New Roman" w:hAnsi="Times New Roman" w:cs="Times New Roman"/>
          <w:kern w:val="0"/>
          <w14:ligatures w14:val="none"/>
        </w:rPr>
        <w:t xml:space="preserve">In survival analysis, </w:t>
      </w:r>
      <w:r w:rsidRPr="008156D1">
        <w:rPr>
          <w:rFonts w:ascii="Times New Roman" w:eastAsia="Times New Roman" w:hAnsi="Times New Roman" w:cs="Times New Roman"/>
          <w:b/>
          <w:bCs/>
          <w:kern w:val="0"/>
          <w14:ligatures w14:val="none"/>
        </w:rPr>
        <w:t>censoring</w:t>
      </w:r>
      <w:r w:rsidRPr="008156D1">
        <w:rPr>
          <w:rFonts w:ascii="Times New Roman" w:eastAsia="Times New Roman" w:hAnsi="Times New Roman" w:cs="Times New Roman"/>
          <w:kern w:val="0"/>
          <w14:ligatures w14:val="none"/>
        </w:rPr>
        <w:t xml:space="preserve"> occurs when a person has not experienced FGM by the time the survey ends. We know that the person remained uncut up to their current age, but we do not know what happens afterward.</w:t>
      </w:r>
    </w:p>
    <w:p w14:paraId="1F1F91BA" w14:textId="77777777" w:rsidR="008156D1" w:rsidRPr="008156D1" w:rsidRDefault="008156D1" w:rsidP="008156D1">
      <w:pPr>
        <w:spacing w:before="100" w:beforeAutospacing="1" w:after="100" w:afterAutospacing="1" w:line="240" w:lineRule="auto"/>
        <w:rPr>
          <w:rFonts w:ascii="Times New Roman" w:eastAsia="Times New Roman" w:hAnsi="Times New Roman" w:cs="Times New Roman"/>
          <w:kern w:val="0"/>
          <w14:ligatures w14:val="none"/>
        </w:rPr>
      </w:pPr>
      <w:r w:rsidRPr="008156D1">
        <w:rPr>
          <w:rFonts w:ascii="Times New Roman" w:eastAsia="Times New Roman" w:hAnsi="Times New Roman" w:cs="Times New Roman"/>
          <w:kern w:val="0"/>
          <w14:ligatures w14:val="none"/>
        </w:rPr>
        <w:t xml:space="preserve">For example, a three-year-old girl who has not been cut is observed only up to age three, while a 45-year-old woman who has not been cut has been observed through most of the usual age range for FGM. Both are coded as </w:t>
      </w:r>
      <w:r w:rsidRPr="008156D1">
        <w:rPr>
          <w:rFonts w:ascii="Courier New" w:eastAsia="Times New Roman" w:hAnsi="Courier New" w:cs="Courier New"/>
          <w:kern w:val="0"/>
          <w:sz w:val="20"/>
          <w:szCs w:val="20"/>
          <w14:ligatures w14:val="none"/>
        </w:rPr>
        <w:t>event = 0</w:t>
      </w:r>
      <w:r w:rsidRPr="008156D1">
        <w:rPr>
          <w:rFonts w:ascii="Times New Roman" w:eastAsia="Times New Roman" w:hAnsi="Times New Roman" w:cs="Times New Roman"/>
          <w:kern w:val="0"/>
          <w14:ligatures w14:val="none"/>
        </w:rPr>
        <w:t>, but they contribute information for different lengths of time.</w:t>
      </w:r>
    </w:p>
    <w:p w14:paraId="19263D5A" w14:textId="77777777" w:rsidR="008156D1" w:rsidRPr="008156D1" w:rsidRDefault="008156D1" w:rsidP="008156D1">
      <w:pPr>
        <w:spacing w:before="100" w:beforeAutospacing="1" w:after="100" w:afterAutospacing="1" w:line="240" w:lineRule="auto"/>
        <w:rPr>
          <w:rFonts w:ascii="Times New Roman" w:eastAsia="Times New Roman" w:hAnsi="Times New Roman" w:cs="Times New Roman"/>
          <w:kern w:val="0"/>
          <w14:ligatures w14:val="none"/>
        </w:rPr>
      </w:pPr>
      <w:r w:rsidRPr="008156D1">
        <w:rPr>
          <w:rFonts w:ascii="Times New Roman" w:eastAsia="Times New Roman" w:hAnsi="Times New Roman" w:cs="Times New Roman"/>
          <w:kern w:val="0"/>
          <w14:ligatures w14:val="none"/>
        </w:rPr>
        <w:t xml:space="preserve">An uncut person is considered </w:t>
      </w:r>
      <w:r w:rsidRPr="008156D1">
        <w:rPr>
          <w:rFonts w:ascii="Times New Roman" w:eastAsia="Times New Roman" w:hAnsi="Times New Roman" w:cs="Times New Roman"/>
          <w:b/>
          <w:bCs/>
          <w:kern w:val="0"/>
          <w14:ligatures w14:val="none"/>
        </w:rPr>
        <w:t>at risk</w:t>
      </w:r>
      <w:r w:rsidRPr="008156D1">
        <w:rPr>
          <w:rFonts w:ascii="Times New Roman" w:eastAsia="Times New Roman" w:hAnsi="Times New Roman" w:cs="Times New Roman"/>
          <w:kern w:val="0"/>
          <w14:ligatures w14:val="none"/>
        </w:rPr>
        <w:t xml:space="preserve"> only during the ages they have actually been observed and have not yet experienced FGM. “At risk” does not mean that the person is expected to be cut; it simply means that the event has not yet occurred and observation is ongoing.</w:t>
      </w:r>
    </w:p>
    <w:p w14:paraId="6B0C62AF" w14:textId="77777777" w:rsidR="008156D1" w:rsidRPr="008156D1" w:rsidRDefault="008156D1" w:rsidP="008156D1">
      <w:pPr>
        <w:spacing w:before="100" w:beforeAutospacing="1" w:after="100" w:afterAutospacing="1" w:line="240" w:lineRule="auto"/>
        <w:rPr>
          <w:rFonts w:ascii="Times New Roman" w:eastAsia="Times New Roman" w:hAnsi="Times New Roman" w:cs="Times New Roman"/>
          <w:kern w:val="0"/>
          <w14:ligatures w14:val="none"/>
        </w:rPr>
      </w:pPr>
      <w:r w:rsidRPr="008156D1">
        <w:rPr>
          <w:rFonts w:ascii="Times New Roman" w:eastAsia="Times New Roman" w:hAnsi="Times New Roman" w:cs="Times New Roman"/>
          <w:kern w:val="0"/>
          <w14:ligatures w14:val="none"/>
        </w:rPr>
        <w:t xml:space="preserve">This is why the analysis uses both </w:t>
      </w:r>
      <w:r w:rsidRPr="008156D1">
        <w:rPr>
          <w:rFonts w:ascii="Courier New" w:eastAsia="Times New Roman" w:hAnsi="Courier New" w:cs="Courier New"/>
          <w:kern w:val="0"/>
          <w:sz w:val="20"/>
          <w:szCs w:val="20"/>
          <w14:ligatures w14:val="none"/>
        </w:rPr>
        <w:t>time</w:t>
      </w:r>
      <w:r w:rsidRPr="008156D1">
        <w:rPr>
          <w:rFonts w:ascii="Times New Roman" w:eastAsia="Times New Roman" w:hAnsi="Times New Roman" w:cs="Times New Roman"/>
          <w:kern w:val="0"/>
          <w14:ligatures w14:val="none"/>
        </w:rPr>
        <w:t xml:space="preserve"> and </w:t>
      </w:r>
      <w:r w:rsidRPr="008156D1">
        <w:rPr>
          <w:rFonts w:ascii="Courier New" w:eastAsia="Times New Roman" w:hAnsi="Courier New" w:cs="Courier New"/>
          <w:kern w:val="0"/>
          <w:sz w:val="20"/>
          <w:szCs w:val="20"/>
          <w14:ligatures w14:val="none"/>
        </w:rPr>
        <w:t>fgm_event</w:t>
      </w:r>
      <w:r w:rsidRPr="008156D1">
        <w:rPr>
          <w:rFonts w:ascii="Times New Roman" w:eastAsia="Times New Roman" w:hAnsi="Times New Roman" w:cs="Times New Roman"/>
          <w:kern w:val="0"/>
          <w14:ligatures w14:val="none"/>
        </w:rPr>
        <w:t>:</w:t>
      </w:r>
    </w:p>
    <w:p w14:paraId="5532CE3B" w14:textId="77777777" w:rsidR="008156D1" w:rsidRPr="008156D1" w:rsidRDefault="008156D1" w:rsidP="008156D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156D1">
        <w:rPr>
          <w:rFonts w:ascii="Courier New" w:eastAsia="Times New Roman" w:hAnsi="Courier New" w:cs="Courier New"/>
          <w:kern w:val="0"/>
          <w:sz w:val="20"/>
          <w:szCs w:val="20"/>
          <w14:ligatures w14:val="none"/>
        </w:rPr>
        <w:t>fgm_event = 1</w:t>
      </w:r>
      <w:r w:rsidRPr="008156D1">
        <w:rPr>
          <w:rFonts w:ascii="Times New Roman" w:eastAsia="Times New Roman" w:hAnsi="Times New Roman" w:cs="Times New Roman"/>
          <w:kern w:val="0"/>
          <w14:ligatures w14:val="none"/>
        </w:rPr>
        <w:t xml:space="preserve">: FGM occurred, and </w:t>
      </w:r>
      <w:r w:rsidRPr="008156D1">
        <w:rPr>
          <w:rFonts w:ascii="Courier New" w:eastAsia="Times New Roman" w:hAnsi="Courier New" w:cs="Courier New"/>
          <w:kern w:val="0"/>
          <w:sz w:val="20"/>
          <w:szCs w:val="20"/>
          <w14:ligatures w14:val="none"/>
        </w:rPr>
        <w:t>time</w:t>
      </w:r>
      <w:r w:rsidRPr="008156D1">
        <w:rPr>
          <w:rFonts w:ascii="Times New Roman" w:eastAsia="Times New Roman" w:hAnsi="Times New Roman" w:cs="Times New Roman"/>
          <w:kern w:val="0"/>
          <w14:ligatures w14:val="none"/>
        </w:rPr>
        <w:t xml:space="preserve"> is the age at cutting.</w:t>
      </w:r>
    </w:p>
    <w:p w14:paraId="191E949D" w14:textId="77777777" w:rsidR="008156D1" w:rsidRPr="008156D1" w:rsidRDefault="008156D1" w:rsidP="008156D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156D1">
        <w:rPr>
          <w:rFonts w:ascii="Courier New" w:eastAsia="Times New Roman" w:hAnsi="Courier New" w:cs="Courier New"/>
          <w:kern w:val="0"/>
          <w:sz w:val="20"/>
          <w:szCs w:val="20"/>
          <w14:ligatures w14:val="none"/>
        </w:rPr>
        <w:t>fgm_event = 0</w:t>
      </w:r>
      <w:r w:rsidRPr="008156D1">
        <w:rPr>
          <w:rFonts w:ascii="Times New Roman" w:eastAsia="Times New Roman" w:hAnsi="Times New Roman" w:cs="Times New Roman"/>
          <w:kern w:val="0"/>
          <w14:ligatures w14:val="none"/>
        </w:rPr>
        <w:t xml:space="preserve">: FGM had not occurred by the end of observation, and </w:t>
      </w:r>
      <w:r w:rsidRPr="008156D1">
        <w:rPr>
          <w:rFonts w:ascii="Courier New" w:eastAsia="Times New Roman" w:hAnsi="Courier New" w:cs="Courier New"/>
          <w:kern w:val="0"/>
          <w:sz w:val="20"/>
          <w:szCs w:val="20"/>
          <w14:ligatures w14:val="none"/>
        </w:rPr>
        <w:t>time</w:t>
      </w:r>
      <w:r w:rsidRPr="008156D1">
        <w:rPr>
          <w:rFonts w:ascii="Times New Roman" w:eastAsia="Times New Roman" w:hAnsi="Times New Roman" w:cs="Times New Roman"/>
          <w:kern w:val="0"/>
          <w14:ligatures w14:val="none"/>
        </w:rPr>
        <w:t xml:space="preserve"> is the person’s current age or the observation limit.</w:t>
      </w:r>
    </w:p>
    <w:p w14:paraId="45380315" w14:textId="77777777" w:rsidR="008156D1" w:rsidRPr="008156D1" w:rsidRDefault="008156D1" w:rsidP="008156D1">
      <w:pPr>
        <w:spacing w:before="100" w:beforeAutospacing="1" w:after="100" w:afterAutospacing="1" w:line="240" w:lineRule="auto"/>
        <w:rPr>
          <w:rFonts w:ascii="Times New Roman" w:eastAsia="Times New Roman" w:hAnsi="Times New Roman" w:cs="Times New Roman"/>
          <w:kern w:val="0"/>
          <w14:ligatures w14:val="none"/>
        </w:rPr>
      </w:pPr>
      <w:r w:rsidRPr="008156D1">
        <w:rPr>
          <w:rFonts w:ascii="Times New Roman" w:eastAsia="Times New Roman" w:hAnsi="Times New Roman" w:cs="Times New Roman"/>
          <w:kern w:val="0"/>
          <w14:ligatures w14:val="none"/>
        </w:rPr>
        <w:t>This approach prevents young girls who have not yet reached the usual age of cutting from being treated as permanently protected. It also allows the models to distinguish between people with different lengths of observation. Estimates for the youngest birth cohorts should therefore be interpreted cautiously because many individuals in these cohorts are still censored.</w:t>
      </w:r>
    </w:p>
    <w:p w14:paraId="3C15FA0B" w14:textId="77777777" w:rsidR="008156D1" w:rsidRDefault="008156D1" w:rsidP="00311800">
      <w:pPr>
        <w:rPr>
          <w:highlight w:val="yellow"/>
        </w:rPr>
      </w:pPr>
    </w:p>
    <w:p w14:paraId="043803BE" w14:textId="77777777" w:rsidR="008156D1" w:rsidRDefault="008156D1" w:rsidP="00311800">
      <w:pPr>
        <w:rPr>
          <w:highlight w:val="yellow"/>
        </w:rPr>
      </w:pPr>
    </w:p>
    <w:p w14:paraId="61E645CC" w14:textId="3226592E" w:rsidR="00311800" w:rsidRDefault="00311800" w:rsidP="00311800">
      <w:r w:rsidRPr="00311800">
        <w:rPr>
          <w:highlight w:val="yellow"/>
        </w:rPr>
        <w:t>Questions</w:t>
      </w:r>
    </w:p>
    <w:p w14:paraId="5A109706" w14:textId="77777777" w:rsidR="00311800" w:rsidRDefault="00311800" w:rsidP="00311800">
      <w:pPr>
        <w:pStyle w:val="ListParagraph"/>
        <w:numPr>
          <w:ilvl w:val="0"/>
          <w:numId w:val="7"/>
        </w:numPr>
      </w:pPr>
      <w:r>
        <w:t>FGM at zero is taken within the 0-49 age bracket but how are we treating NA cases</w:t>
      </w:r>
    </w:p>
    <w:p w14:paraId="497E9AF2" w14:textId="77777777" w:rsidR="00311800" w:rsidRDefault="00311800" w:rsidP="00311800">
      <w:pPr>
        <w:pStyle w:val="ListParagraph"/>
        <w:numPr>
          <w:ilvl w:val="0"/>
          <w:numId w:val="7"/>
        </w:numPr>
      </w:pPr>
    </w:p>
    <w:p w14:paraId="190B009F" w14:textId="77777777" w:rsidR="00311800" w:rsidRDefault="00311800" w:rsidP="00311800"/>
    <w:p w14:paraId="56238AE8" w14:textId="77777777" w:rsidR="00311800" w:rsidRPr="003C358E" w:rsidRDefault="00311800" w:rsidP="003118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358E">
        <w:rPr>
          <w:rFonts w:ascii="Times New Roman" w:eastAsia="Times New Roman" w:hAnsi="Times New Roman" w:cs="Times New Roman"/>
          <w:b/>
          <w:bCs/>
          <w:kern w:val="0"/>
          <w:sz w:val="27"/>
          <w:szCs w:val="27"/>
          <w14:ligatures w14:val="none"/>
        </w:rPr>
        <w:t>What this session added</w:t>
      </w:r>
    </w:p>
    <w:p w14:paraId="2C94DA7F" w14:textId="77777777" w:rsidR="00311800" w:rsidRPr="003C358E" w:rsidRDefault="00311800" w:rsidP="0031180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C358E">
        <w:rPr>
          <w:rFonts w:ascii="Times New Roman" w:eastAsia="Times New Roman" w:hAnsi="Times New Roman" w:cs="Times New Roman"/>
          <w:kern w:val="0"/>
          <w14:ligatures w14:val="none"/>
        </w:rPr>
        <w:t>Added ethnicity as a covariate, grouped into major ethnic groups and “Other.”</w:t>
      </w:r>
    </w:p>
    <w:p w14:paraId="658F0969" w14:textId="77777777" w:rsidR="00311800" w:rsidRPr="003C358E" w:rsidRDefault="00311800" w:rsidP="0031180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C358E">
        <w:rPr>
          <w:rFonts w:ascii="Times New Roman" w:eastAsia="Times New Roman" w:hAnsi="Times New Roman" w:cs="Times New Roman"/>
          <w:kern w:val="0"/>
          <w14:ligatures w14:val="none"/>
        </w:rPr>
        <w:t>Added daughters aged 0–14 as separate event records, improving estimates for recent birth cohorts.</w:t>
      </w:r>
    </w:p>
    <w:p w14:paraId="3B68E1BA" w14:textId="77777777" w:rsidR="00311800" w:rsidRPr="003C358E" w:rsidRDefault="00311800" w:rsidP="0031180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C358E">
        <w:rPr>
          <w:rFonts w:ascii="Times New Roman" w:eastAsia="Times New Roman" w:hAnsi="Times New Roman" w:cs="Times New Roman"/>
          <w:kern w:val="0"/>
          <w14:ligatures w14:val="none"/>
        </w:rPr>
        <w:t>Fixed issues identified during full data testing, including survey design nesting, DHS variable mappings, and machine-learning formula/type errors.</w:t>
      </w:r>
    </w:p>
    <w:p w14:paraId="23A28E16" w14:textId="77777777" w:rsidR="00144574" w:rsidRDefault="00144574" w:rsidP="003C358E"/>
    <w:sectPr w:rsidR="00144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336E2"/>
    <w:multiLevelType w:val="multilevel"/>
    <w:tmpl w:val="524E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A3622"/>
    <w:multiLevelType w:val="multilevel"/>
    <w:tmpl w:val="0B4E0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C658C"/>
    <w:multiLevelType w:val="multilevel"/>
    <w:tmpl w:val="145A2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E1728"/>
    <w:multiLevelType w:val="multilevel"/>
    <w:tmpl w:val="35D8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6680C"/>
    <w:multiLevelType w:val="multilevel"/>
    <w:tmpl w:val="B530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A183B"/>
    <w:multiLevelType w:val="hybridMultilevel"/>
    <w:tmpl w:val="DE8C2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1D6ED2"/>
    <w:multiLevelType w:val="multilevel"/>
    <w:tmpl w:val="99BC6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1B6D51"/>
    <w:multiLevelType w:val="multilevel"/>
    <w:tmpl w:val="286C0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254DD0"/>
    <w:multiLevelType w:val="multilevel"/>
    <w:tmpl w:val="F1887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392CB8"/>
    <w:multiLevelType w:val="multilevel"/>
    <w:tmpl w:val="BAAA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C0CCA"/>
    <w:multiLevelType w:val="multilevel"/>
    <w:tmpl w:val="C792E4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976EAE"/>
    <w:multiLevelType w:val="multilevel"/>
    <w:tmpl w:val="A7D8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A3FC3"/>
    <w:multiLevelType w:val="multilevel"/>
    <w:tmpl w:val="C4B6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550E6"/>
    <w:multiLevelType w:val="multilevel"/>
    <w:tmpl w:val="9B06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F3E47"/>
    <w:multiLevelType w:val="multilevel"/>
    <w:tmpl w:val="BBC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63A3F"/>
    <w:multiLevelType w:val="multilevel"/>
    <w:tmpl w:val="7566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24E6F"/>
    <w:multiLevelType w:val="multilevel"/>
    <w:tmpl w:val="5B007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CE75FD"/>
    <w:multiLevelType w:val="multilevel"/>
    <w:tmpl w:val="96C6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92E21"/>
    <w:multiLevelType w:val="multilevel"/>
    <w:tmpl w:val="ED1A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7A2AFF"/>
    <w:multiLevelType w:val="multilevel"/>
    <w:tmpl w:val="6A6C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A57E80"/>
    <w:multiLevelType w:val="multilevel"/>
    <w:tmpl w:val="7556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3C0CC6"/>
    <w:multiLevelType w:val="multilevel"/>
    <w:tmpl w:val="6980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17EC5"/>
    <w:multiLevelType w:val="multilevel"/>
    <w:tmpl w:val="425C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523B9F"/>
    <w:multiLevelType w:val="multilevel"/>
    <w:tmpl w:val="0152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6C1C6F"/>
    <w:multiLevelType w:val="multilevel"/>
    <w:tmpl w:val="1570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C0F27"/>
    <w:multiLevelType w:val="multilevel"/>
    <w:tmpl w:val="11F2B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0E53FC"/>
    <w:multiLevelType w:val="multilevel"/>
    <w:tmpl w:val="5C00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8F4665"/>
    <w:multiLevelType w:val="multilevel"/>
    <w:tmpl w:val="CDDA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ED3D9C"/>
    <w:multiLevelType w:val="multilevel"/>
    <w:tmpl w:val="A1E43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4048762">
    <w:abstractNumId w:val="2"/>
  </w:num>
  <w:num w:numId="2" w16cid:durableId="186604217">
    <w:abstractNumId w:val="7"/>
  </w:num>
  <w:num w:numId="3" w16cid:durableId="543100807">
    <w:abstractNumId w:val="21"/>
  </w:num>
  <w:num w:numId="4" w16cid:durableId="1534227774">
    <w:abstractNumId w:val="24"/>
  </w:num>
  <w:num w:numId="5" w16cid:durableId="2048215667">
    <w:abstractNumId w:val="11"/>
  </w:num>
  <w:num w:numId="6" w16cid:durableId="894126916">
    <w:abstractNumId w:val="18"/>
  </w:num>
  <w:num w:numId="7" w16cid:durableId="1893882421">
    <w:abstractNumId w:val="5"/>
  </w:num>
  <w:num w:numId="8" w16cid:durableId="595332471">
    <w:abstractNumId w:val="6"/>
  </w:num>
  <w:num w:numId="9" w16cid:durableId="764307279">
    <w:abstractNumId w:val="13"/>
  </w:num>
  <w:num w:numId="10" w16cid:durableId="615524070">
    <w:abstractNumId w:val="4"/>
  </w:num>
  <w:num w:numId="11" w16cid:durableId="1458791284">
    <w:abstractNumId w:val="27"/>
  </w:num>
  <w:num w:numId="12" w16cid:durableId="1814058578">
    <w:abstractNumId w:val="12"/>
  </w:num>
  <w:num w:numId="13" w16cid:durableId="782841738">
    <w:abstractNumId w:val="17"/>
  </w:num>
  <w:num w:numId="14" w16cid:durableId="530413320">
    <w:abstractNumId w:val="23"/>
  </w:num>
  <w:num w:numId="15" w16cid:durableId="464079779">
    <w:abstractNumId w:val="20"/>
  </w:num>
  <w:num w:numId="16" w16cid:durableId="378088276">
    <w:abstractNumId w:val="26"/>
  </w:num>
  <w:num w:numId="17" w16cid:durableId="1491091685">
    <w:abstractNumId w:val="14"/>
  </w:num>
  <w:num w:numId="18" w16cid:durableId="104346781">
    <w:abstractNumId w:val="15"/>
  </w:num>
  <w:num w:numId="19" w16cid:durableId="226965167">
    <w:abstractNumId w:val="9"/>
  </w:num>
  <w:num w:numId="20" w16cid:durableId="1077751903">
    <w:abstractNumId w:val="1"/>
  </w:num>
  <w:num w:numId="21" w16cid:durableId="971600040">
    <w:abstractNumId w:val="19"/>
  </w:num>
  <w:num w:numId="22" w16cid:durableId="219708129">
    <w:abstractNumId w:val="16"/>
  </w:num>
  <w:num w:numId="23" w16cid:durableId="304748922">
    <w:abstractNumId w:val="28"/>
  </w:num>
  <w:num w:numId="24" w16cid:durableId="1566839084">
    <w:abstractNumId w:val="8"/>
  </w:num>
  <w:num w:numId="25" w16cid:durableId="1275210310">
    <w:abstractNumId w:val="0"/>
  </w:num>
  <w:num w:numId="26" w16cid:durableId="783812789">
    <w:abstractNumId w:val="25"/>
  </w:num>
  <w:num w:numId="27" w16cid:durableId="2100373391">
    <w:abstractNumId w:val="10"/>
  </w:num>
  <w:num w:numId="28" w16cid:durableId="907572752">
    <w:abstractNumId w:val="22"/>
  </w:num>
  <w:num w:numId="29" w16cid:durableId="169503431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992"/>
    <w:rsid w:val="00004B1B"/>
    <w:rsid w:val="00021606"/>
    <w:rsid w:val="00081C97"/>
    <w:rsid w:val="000B7860"/>
    <w:rsid w:val="00144574"/>
    <w:rsid w:val="001C2B80"/>
    <w:rsid w:val="00236D34"/>
    <w:rsid w:val="00271B94"/>
    <w:rsid w:val="00283C4F"/>
    <w:rsid w:val="002C77CF"/>
    <w:rsid w:val="002D1338"/>
    <w:rsid w:val="00311800"/>
    <w:rsid w:val="003357A4"/>
    <w:rsid w:val="003C358E"/>
    <w:rsid w:val="003F40E5"/>
    <w:rsid w:val="00404336"/>
    <w:rsid w:val="004D4F84"/>
    <w:rsid w:val="00551C18"/>
    <w:rsid w:val="00614D1F"/>
    <w:rsid w:val="006160C7"/>
    <w:rsid w:val="0068422C"/>
    <w:rsid w:val="006846D5"/>
    <w:rsid w:val="0075541E"/>
    <w:rsid w:val="007C4992"/>
    <w:rsid w:val="007F5828"/>
    <w:rsid w:val="008156D1"/>
    <w:rsid w:val="00832CA4"/>
    <w:rsid w:val="00913C0F"/>
    <w:rsid w:val="0091751B"/>
    <w:rsid w:val="00A0240A"/>
    <w:rsid w:val="00A049B3"/>
    <w:rsid w:val="00A21D33"/>
    <w:rsid w:val="00A4412D"/>
    <w:rsid w:val="00A61E22"/>
    <w:rsid w:val="00CC0739"/>
    <w:rsid w:val="00D150E4"/>
    <w:rsid w:val="00E56214"/>
    <w:rsid w:val="00E71CAF"/>
    <w:rsid w:val="00E853EB"/>
    <w:rsid w:val="00EE0E0D"/>
    <w:rsid w:val="00F364DF"/>
    <w:rsid w:val="00F5114B"/>
    <w:rsid w:val="00FF1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DFF9175"/>
  <w15:chartTrackingRefBased/>
  <w15:docId w15:val="{3BC6482B-1C3B-A84D-A2C1-78ED113C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4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4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4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4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992"/>
    <w:rPr>
      <w:rFonts w:eastAsiaTheme="majorEastAsia" w:cstheme="majorBidi"/>
      <w:color w:val="272727" w:themeColor="text1" w:themeTint="D8"/>
    </w:rPr>
  </w:style>
  <w:style w:type="paragraph" w:styleId="Title">
    <w:name w:val="Title"/>
    <w:basedOn w:val="Normal"/>
    <w:next w:val="Normal"/>
    <w:link w:val="TitleChar"/>
    <w:uiPriority w:val="10"/>
    <w:qFormat/>
    <w:rsid w:val="007C4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992"/>
    <w:pPr>
      <w:spacing w:before="160"/>
      <w:jc w:val="center"/>
    </w:pPr>
    <w:rPr>
      <w:i/>
      <w:iCs/>
      <w:color w:val="404040" w:themeColor="text1" w:themeTint="BF"/>
    </w:rPr>
  </w:style>
  <w:style w:type="character" w:customStyle="1" w:styleId="QuoteChar">
    <w:name w:val="Quote Char"/>
    <w:basedOn w:val="DefaultParagraphFont"/>
    <w:link w:val="Quote"/>
    <w:uiPriority w:val="29"/>
    <w:rsid w:val="007C4992"/>
    <w:rPr>
      <w:i/>
      <w:iCs/>
      <w:color w:val="404040" w:themeColor="text1" w:themeTint="BF"/>
    </w:rPr>
  </w:style>
  <w:style w:type="paragraph" w:styleId="ListParagraph">
    <w:name w:val="List Paragraph"/>
    <w:basedOn w:val="Normal"/>
    <w:uiPriority w:val="34"/>
    <w:qFormat/>
    <w:rsid w:val="007C4992"/>
    <w:pPr>
      <w:ind w:left="720"/>
      <w:contextualSpacing/>
    </w:pPr>
  </w:style>
  <w:style w:type="character" w:styleId="IntenseEmphasis">
    <w:name w:val="Intense Emphasis"/>
    <w:basedOn w:val="DefaultParagraphFont"/>
    <w:uiPriority w:val="21"/>
    <w:qFormat/>
    <w:rsid w:val="007C4992"/>
    <w:rPr>
      <w:i/>
      <w:iCs/>
      <w:color w:val="0F4761" w:themeColor="accent1" w:themeShade="BF"/>
    </w:rPr>
  </w:style>
  <w:style w:type="paragraph" w:styleId="IntenseQuote">
    <w:name w:val="Intense Quote"/>
    <w:basedOn w:val="Normal"/>
    <w:next w:val="Normal"/>
    <w:link w:val="IntenseQuoteChar"/>
    <w:uiPriority w:val="30"/>
    <w:qFormat/>
    <w:rsid w:val="007C4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992"/>
    <w:rPr>
      <w:i/>
      <w:iCs/>
      <w:color w:val="0F4761" w:themeColor="accent1" w:themeShade="BF"/>
    </w:rPr>
  </w:style>
  <w:style w:type="character" w:styleId="IntenseReference">
    <w:name w:val="Intense Reference"/>
    <w:basedOn w:val="DefaultParagraphFont"/>
    <w:uiPriority w:val="32"/>
    <w:qFormat/>
    <w:rsid w:val="007C4992"/>
    <w:rPr>
      <w:b/>
      <w:bCs/>
      <w:smallCaps/>
      <w:color w:val="0F4761" w:themeColor="accent1" w:themeShade="BF"/>
      <w:spacing w:val="5"/>
    </w:rPr>
  </w:style>
  <w:style w:type="paragraph" w:styleId="NormalWeb">
    <w:name w:val="Normal (Web)"/>
    <w:basedOn w:val="Normal"/>
    <w:uiPriority w:val="99"/>
    <w:semiHidden/>
    <w:unhideWhenUsed/>
    <w:rsid w:val="007C49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C4992"/>
    <w:rPr>
      <w:b/>
      <w:bCs/>
    </w:rPr>
  </w:style>
  <w:style w:type="character" w:styleId="HTMLCode">
    <w:name w:val="HTML Code"/>
    <w:basedOn w:val="DefaultParagraphFont"/>
    <w:uiPriority w:val="99"/>
    <w:semiHidden/>
    <w:unhideWhenUsed/>
    <w:rsid w:val="007C4992"/>
    <w:rPr>
      <w:rFonts w:ascii="Courier New" w:eastAsia="Times New Roman" w:hAnsi="Courier New" w:cs="Courier New"/>
      <w:sz w:val="20"/>
      <w:szCs w:val="20"/>
    </w:rPr>
  </w:style>
  <w:style w:type="character" w:styleId="Emphasis">
    <w:name w:val="Emphasis"/>
    <w:basedOn w:val="DefaultParagraphFont"/>
    <w:uiPriority w:val="20"/>
    <w:qFormat/>
    <w:rsid w:val="007C4992"/>
    <w:rPr>
      <w:i/>
      <w:iCs/>
    </w:rPr>
  </w:style>
  <w:style w:type="paragraph" w:styleId="HTMLPreformatted">
    <w:name w:val="HTML Preformatted"/>
    <w:basedOn w:val="Normal"/>
    <w:link w:val="HTMLPreformattedChar"/>
    <w:uiPriority w:val="99"/>
    <w:semiHidden/>
    <w:unhideWhenUsed/>
    <w:rsid w:val="00E56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56214"/>
    <w:rPr>
      <w:rFonts w:ascii="Courier New" w:eastAsia="Times New Roman" w:hAnsi="Courier New" w:cs="Courier New"/>
      <w:kern w:val="0"/>
      <w:sz w:val="20"/>
      <w:szCs w:val="20"/>
      <w14:ligatures w14:val="none"/>
    </w:rPr>
  </w:style>
  <w:style w:type="paragraph" w:customStyle="1" w:styleId="w6asjqtextbase">
    <w:name w:val="w6asjq_textbase"/>
    <w:basedOn w:val="Normal"/>
    <w:rsid w:val="003C35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6asjqtextbase1">
    <w:name w:val="w6asjq_textbase1"/>
    <w:basedOn w:val="DefaultParagraphFont"/>
    <w:rsid w:val="009175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35</Pages>
  <Words>9141</Words>
  <Characters>52106</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Misiko Kakai</dc:creator>
  <cp:keywords/>
  <dc:description/>
  <cp:lastModifiedBy>John Misiko Kakai</cp:lastModifiedBy>
  <cp:revision>26</cp:revision>
  <dcterms:created xsi:type="dcterms:W3CDTF">2026-09-10T06:27:00Z</dcterms:created>
  <dcterms:modified xsi:type="dcterms:W3CDTF">2026-09-16T06:22:00Z</dcterms:modified>
</cp:coreProperties>
</file>