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39F596" w14:textId="77777777" w:rsidR="00085B82" w:rsidRPr="00085B82" w:rsidRDefault="00085B82" w:rsidP="00085B82">
      <w:pPr>
        <w:spacing w:before="100" w:beforeAutospacing="1" w:after="100" w:afterAutospacing="1"/>
        <w:outlineLvl w:val="0"/>
        <w:rPr>
          <w:b/>
          <w:bCs/>
          <w:kern w:val="36"/>
          <w:sz w:val="48"/>
          <w:szCs w:val="48"/>
        </w:rPr>
      </w:pPr>
      <w:r w:rsidRPr="00085B82">
        <w:rPr>
          <w:b/>
          <w:bCs/>
          <w:kern w:val="36"/>
          <w:sz w:val="48"/>
          <w:szCs w:val="48"/>
        </w:rPr>
        <w:t>Methodology and Findings: Covariate-Adjusted FGM Prevalence in Nigeria</w:t>
      </w:r>
    </w:p>
    <w:p w14:paraId="0F8F3C9C"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1. Introduction</w:t>
      </w:r>
    </w:p>
    <w:p w14:paraId="0514DA3B" w14:textId="77777777" w:rsidR="00085B82" w:rsidRPr="00085B82" w:rsidRDefault="00085B82" w:rsidP="00085B82">
      <w:pPr>
        <w:spacing w:before="100" w:beforeAutospacing="1" w:after="100" w:afterAutospacing="1"/>
      </w:pPr>
      <w:r w:rsidRPr="00085B82">
        <w:t>This study estimated national and subnational prevalence of female genital mutilation (FGM) in Nigeria among women aged 15–49 years and girls aged 0–14 years. FGM prevalence was defined as the cumulative proportion reported as ever having undergone FGM, consistent with the definition underlying Sustainable Development Goal indicator 5.3.2.</w:t>
      </w:r>
    </w:p>
    <w:p w14:paraId="0C04CDB2" w14:textId="77777777" w:rsidR="00085B82" w:rsidRPr="00085B82" w:rsidRDefault="00085B82" w:rsidP="00085B82">
      <w:pPr>
        <w:spacing w:before="100" w:beforeAutospacing="1" w:after="100" w:afterAutospacing="1"/>
      </w:pPr>
      <w:r w:rsidRPr="00085B82">
        <w:t>The analysis combined complex-survey estimation, exploratory feature selection, covariate-adjusted Bayesian spatial modelling and birth-cohort analysis. Separate models were fitted for women’s self-reported FGM status and mothers’ reports of FGM among their daughters.</w:t>
      </w:r>
    </w:p>
    <w:p w14:paraId="2F53EB59" w14:textId="77777777" w:rsidR="00085B82" w:rsidRPr="00085B82" w:rsidRDefault="00085B82" w:rsidP="00085B82">
      <w:pPr>
        <w:spacing w:before="100" w:beforeAutospacing="1" w:after="100" w:afterAutospacing="1"/>
      </w:pPr>
      <w:r w:rsidRPr="00085B82">
        <w:t>The principal objective was to produce survey-weighted, covariate-adjusted prevalence estimates and maps while accounting for demographic composition, age-related exposure and residual geographical variation across Nigeria’s 36 states and the Federal Capital Territory.</w:t>
      </w:r>
    </w:p>
    <w:p w14:paraId="41788C53"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2. Data sources</w:t>
      </w:r>
    </w:p>
    <w:p w14:paraId="48AC2192"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2.1 Nigeria Demographic and Health Survey</w:t>
      </w:r>
    </w:p>
    <w:p w14:paraId="0E90BA94" w14:textId="77777777" w:rsidR="00085B82" w:rsidRPr="00085B82" w:rsidRDefault="00085B82" w:rsidP="00085B82">
      <w:pPr>
        <w:spacing w:before="100" w:beforeAutospacing="1" w:after="100" w:afterAutospacing="1"/>
      </w:pPr>
      <w:r w:rsidRPr="00085B82">
        <w:t>Individual-level data were obtained from the 2024 Nigeria Demographic and Health Survey individual recode file. The dataset contained 39,050 women aged 15–49 years.</w:t>
      </w:r>
    </w:p>
    <w:p w14:paraId="61527FC1" w14:textId="77777777" w:rsidR="00085B82" w:rsidRPr="00085B82" w:rsidRDefault="00085B82" w:rsidP="00085B82">
      <w:pPr>
        <w:spacing w:before="100" w:beforeAutospacing="1" w:after="100" w:afterAutospacing="1"/>
      </w:pPr>
      <w:r w:rsidRPr="00085B82">
        <w:t>The analysis retained the following survey-design variables:</w:t>
      </w:r>
    </w:p>
    <w:p w14:paraId="34FBED99" w14:textId="77777777" w:rsidR="00085B82" w:rsidRPr="00085B82" w:rsidRDefault="00085B82" w:rsidP="00085B82">
      <w:pPr>
        <w:numPr>
          <w:ilvl w:val="0"/>
          <w:numId w:val="1"/>
        </w:numPr>
        <w:spacing w:before="100" w:beforeAutospacing="1" w:after="100" w:afterAutospacing="1"/>
      </w:pPr>
      <w:r w:rsidRPr="00085B82">
        <w:t>DHS sampling weight</w:t>
      </w:r>
    </w:p>
    <w:p w14:paraId="3FD6E24B" w14:textId="77777777" w:rsidR="00085B82" w:rsidRPr="00085B82" w:rsidRDefault="00085B82" w:rsidP="00085B82">
      <w:pPr>
        <w:numPr>
          <w:ilvl w:val="0"/>
          <w:numId w:val="1"/>
        </w:numPr>
        <w:spacing w:before="100" w:beforeAutospacing="1" w:after="100" w:afterAutospacing="1"/>
      </w:pPr>
      <w:r w:rsidRPr="00085B82">
        <w:t>Primary sampling unit or survey cluster</w:t>
      </w:r>
    </w:p>
    <w:p w14:paraId="31B43DAD" w14:textId="77777777" w:rsidR="00085B82" w:rsidRPr="00085B82" w:rsidRDefault="00085B82" w:rsidP="00085B82">
      <w:pPr>
        <w:numPr>
          <w:ilvl w:val="0"/>
          <w:numId w:val="1"/>
        </w:numPr>
        <w:spacing w:before="100" w:beforeAutospacing="1" w:after="100" w:afterAutospacing="1"/>
      </w:pPr>
      <w:r w:rsidRPr="00085B82">
        <w:t>Survey stratum</w:t>
      </w:r>
    </w:p>
    <w:p w14:paraId="6AAED4EF" w14:textId="77777777" w:rsidR="00085B82" w:rsidRPr="00085B82" w:rsidRDefault="00085B82" w:rsidP="00085B82">
      <w:pPr>
        <w:numPr>
          <w:ilvl w:val="0"/>
          <w:numId w:val="1"/>
        </w:numPr>
        <w:spacing w:before="100" w:beforeAutospacing="1" w:after="100" w:afterAutospacing="1"/>
      </w:pPr>
      <w:r w:rsidRPr="00085B82">
        <w:t>State of residence</w:t>
      </w:r>
    </w:p>
    <w:p w14:paraId="502BD2C7" w14:textId="77777777" w:rsidR="00085B82" w:rsidRPr="00085B82" w:rsidRDefault="00085B82" w:rsidP="00085B82">
      <w:pPr>
        <w:numPr>
          <w:ilvl w:val="0"/>
          <w:numId w:val="1"/>
        </w:numPr>
        <w:spacing w:before="100" w:beforeAutospacing="1" w:after="100" w:afterAutospacing="1"/>
      </w:pPr>
      <w:r w:rsidRPr="00085B82">
        <w:t>Urban or rural residence</w:t>
      </w:r>
    </w:p>
    <w:p w14:paraId="3C420318" w14:textId="77777777" w:rsidR="00085B82" w:rsidRPr="00085B82" w:rsidRDefault="00085B82" w:rsidP="00085B82">
      <w:pPr>
        <w:spacing w:before="100" w:beforeAutospacing="1" w:after="100" w:afterAutospacing="1"/>
      </w:pPr>
      <w:r w:rsidRPr="00085B82">
        <w:t>The original DHS sampling weight was divided by 1,000,000 before analysis, following the standard DHS weight transformation.</w:t>
      </w:r>
    </w:p>
    <w:p w14:paraId="4B7D91A6"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2.2 Geographic data</w:t>
      </w:r>
    </w:p>
    <w:p w14:paraId="2B4976A8" w14:textId="77777777" w:rsidR="00085B82" w:rsidRPr="00085B82" w:rsidRDefault="00085B82" w:rsidP="00085B82">
      <w:pPr>
        <w:spacing w:before="100" w:beforeAutospacing="1" w:after="100" w:afterAutospacing="1"/>
      </w:pPr>
      <w:r w:rsidRPr="00085B82">
        <w:t>The DHS geographic dataset contained coordinates for 1,380 survey clusters. These were linked to the individual records using the DHS cluster identifier.</w:t>
      </w:r>
    </w:p>
    <w:p w14:paraId="3C59CD58" w14:textId="77777777" w:rsidR="00085B82" w:rsidRPr="00085B82" w:rsidRDefault="00085B82" w:rsidP="00085B82">
      <w:pPr>
        <w:spacing w:before="100" w:beforeAutospacing="1" w:after="100" w:afterAutospacing="1"/>
      </w:pPr>
      <w:r w:rsidRPr="00085B82">
        <w:lastRenderedPageBreak/>
        <w:t>Nigeria’s Admin-1 boundary shapefile was used to define the 36 states and the Federal Capital Territory. State names were converted to uppercase and standardized before matching. The name “FCT” in the boundary data was harmonized with “FCT ABUJA” in the survey data.</w:t>
      </w:r>
    </w:p>
    <w:p w14:paraId="5C27794A" w14:textId="77777777" w:rsidR="00085B82" w:rsidRPr="00085B82" w:rsidRDefault="00085B82" w:rsidP="00085B82">
      <w:pPr>
        <w:spacing w:before="100" w:beforeAutospacing="1" w:after="100" w:afterAutospacing="1"/>
      </w:pPr>
      <w:r w:rsidRPr="00085B82">
        <w:t xml:space="preserve">Polygon contiguity was used to identify </w:t>
      </w:r>
      <w:proofErr w:type="spellStart"/>
      <w:r w:rsidRPr="00085B82">
        <w:t>neighbouring</w:t>
      </w:r>
      <w:proofErr w:type="spellEnd"/>
      <w:r w:rsidRPr="00085B82">
        <w:t xml:space="preserve"> states and construct a binary state-adjacency matrix for the spatial models.</w:t>
      </w:r>
    </w:p>
    <w:p w14:paraId="7165014B"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3. Outcome construction</w:t>
      </w:r>
    </w:p>
    <w:p w14:paraId="4AEF8C49"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3.1 Self-reported prevalence among women</w:t>
      </w:r>
    </w:p>
    <w:p w14:paraId="62E5B7E4" w14:textId="77777777" w:rsidR="00085B82" w:rsidRPr="00085B82" w:rsidRDefault="00085B82" w:rsidP="00085B82">
      <w:pPr>
        <w:spacing w:before="100" w:beforeAutospacing="1" w:after="100" w:afterAutospacing="1"/>
      </w:pPr>
      <w:r w:rsidRPr="00085B82">
        <w:t>The women’s outcome indicated whether each woman aged 15–49 years reported ever having undergone FGM:</w:t>
      </w:r>
    </w:p>
    <w:p w14:paraId="21CC8AD5" w14:textId="77777777" w:rsidR="00085B82" w:rsidRPr="00085B82" w:rsidRDefault="00085B82" w:rsidP="00085B82">
      <w:proofErr w:type="gramStart"/>
      <w:r w:rsidRPr="00085B82">
        <w:t>\[</w:t>
      </w:r>
      <w:proofErr w:type="gramEnd"/>
      <w:r w:rsidRPr="00085B82">
        <w:t xml:space="preserve"> </w:t>
      </w:r>
      <w:proofErr w:type="spellStart"/>
      <w:r w:rsidRPr="00085B82">
        <w:t>Y_i</w:t>
      </w:r>
      <w:proofErr w:type="spellEnd"/>
      <w:r w:rsidRPr="00085B82">
        <w:t xml:space="preserve"> = \begin{cases} 1, &amp; \</w:t>
      </w:r>
      <w:proofErr w:type="gramStart"/>
      <w:r w:rsidRPr="00085B82">
        <w:t>text{</w:t>
      </w:r>
      <w:proofErr w:type="gramEnd"/>
      <w:r w:rsidRPr="00085B82">
        <w:t>woman reported having undergone FGM} \\ 0, &amp; \</w:t>
      </w:r>
      <w:proofErr w:type="gramStart"/>
      <w:r w:rsidRPr="00085B82">
        <w:t>text{</w:t>
      </w:r>
      <w:proofErr w:type="gramEnd"/>
      <w:r w:rsidRPr="00085B82">
        <w:t>woman reported not having undergone FGM} \end{cases} \]</w:t>
      </w:r>
    </w:p>
    <w:p w14:paraId="3EF6E186" w14:textId="77777777" w:rsidR="00085B82" w:rsidRPr="00085B82" w:rsidRDefault="00085B82" w:rsidP="00085B82">
      <w:pPr>
        <w:spacing w:before="100" w:beforeAutospacing="1" w:after="100" w:afterAutospacing="1"/>
      </w:pPr>
      <w:r w:rsidRPr="00085B82">
        <w:t>Women who answered “no” to both the initial FGM-awareness question and its follow-up probe were skipped past the personal FGM-status question. Following the DHS questionnaire logic, these women were classified as not having undergone FGM rather than being treated as missing.</w:t>
      </w:r>
    </w:p>
    <w:p w14:paraId="2036AAD9" w14:textId="77777777" w:rsidR="00085B82" w:rsidRPr="00085B82" w:rsidRDefault="00085B82" w:rsidP="00085B82">
      <w:pPr>
        <w:spacing w:before="100" w:beforeAutospacing="1" w:after="100" w:afterAutospacing="1"/>
      </w:pPr>
      <w:r w:rsidRPr="00085B82">
        <w:t>This correction was important because treating these skipped responses as missing would have removed approximately 15,576 predominantly low-prevalence women from the denominator and substantially inflated prevalence. After applying the correction, all 39,050 women had a valid binary outcome.</w:t>
      </w:r>
    </w:p>
    <w:p w14:paraId="6C450026"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3.2 Daughter-reported prevalence</w:t>
      </w:r>
    </w:p>
    <w:p w14:paraId="2E23B049" w14:textId="77777777" w:rsidR="00085B82" w:rsidRPr="00085B82" w:rsidRDefault="00085B82" w:rsidP="00085B82">
      <w:pPr>
        <w:spacing w:before="100" w:beforeAutospacing="1" w:after="100" w:afterAutospacing="1"/>
      </w:pPr>
      <w:r w:rsidRPr="00085B82">
        <w:t>The daughters’ dataset was constructed from the full birth histories of surveyed women. Living female children aged 0–14 years were identified and linked to the mother’s daughter-specific FGM responses using the child’s birth-order identifier.</w:t>
      </w:r>
    </w:p>
    <w:p w14:paraId="2A2EAB60" w14:textId="77777777" w:rsidR="00085B82" w:rsidRPr="00085B82" w:rsidRDefault="00085B82" w:rsidP="00085B82">
      <w:pPr>
        <w:spacing w:before="100" w:beforeAutospacing="1" w:after="100" w:afterAutospacing="1"/>
      </w:pPr>
      <w:r w:rsidRPr="00085B82">
        <w:t>The final dataset included:</w:t>
      </w:r>
    </w:p>
    <w:p w14:paraId="5B7146F5" w14:textId="77777777" w:rsidR="00085B82" w:rsidRPr="00085B82" w:rsidRDefault="00085B82" w:rsidP="00085B82">
      <w:pPr>
        <w:numPr>
          <w:ilvl w:val="0"/>
          <w:numId w:val="2"/>
        </w:numPr>
        <w:spacing w:before="100" w:beforeAutospacing="1" w:after="100" w:afterAutospacing="1"/>
      </w:pPr>
      <w:r w:rsidRPr="00085B82">
        <w:t>22,430 daughters with direct FGM reports</w:t>
      </w:r>
    </w:p>
    <w:p w14:paraId="23BC10FA" w14:textId="77777777" w:rsidR="00085B82" w:rsidRPr="00085B82" w:rsidRDefault="00085B82" w:rsidP="00085B82">
      <w:pPr>
        <w:numPr>
          <w:ilvl w:val="0"/>
          <w:numId w:val="2"/>
        </w:numPr>
        <w:spacing w:before="100" w:beforeAutospacing="1" w:after="100" w:afterAutospacing="1"/>
      </w:pPr>
      <w:r w:rsidRPr="00085B82">
        <w:t>11,768 daughters classified as not cut because their mothers had never heard of FGM and were consequently skipped past the daughter FGM module</w:t>
      </w:r>
    </w:p>
    <w:p w14:paraId="00E416D9" w14:textId="77777777" w:rsidR="00085B82" w:rsidRPr="00085B82" w:rsidRDefault="00085B82" w:rsidP="00085B82">
      <w:pPr>
        <w:numPr>
          <w:ilvl w:val="0"/>
          <w:numId w:val="2"/>
        </w:numPr>
        <w:spacing w:before="100" w:beforeAutospacing="1" w:after="100" w:afterAutospacing="1"/>
      </w:pPr>
      <w:r w:rsidRPr="00085B82">
        <w:t>34,198 daughters in total</w:t>
      </w:r>
    </w:p>
    <w:p w14:paraId="494D3602" w14:textId="77777777" w:rsidR="00085B82" w:rsidRPr="00085B82" w:rsidRDefault="00085B82" w:rsidP="00085B82">
      <w:pPr>
        <w:spacing w:before="100" w:beforeAutospacing="1" w:after="100" w:afterAutospacing="1"/>
      </w:pPr>
      <w:r w:rsidRPr="00085B82">
        <w:t>Each daughter inherited her mother’s sampling weight, cluster, stratum, state and household-level covariates.</w:t>
      </w:r>
    </w:p>
    <w:p w14:paraId="321DC6E4"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4. Exploratory data analysis</w:t>
      </w:r>
    </w:p>
    <w:p w14:paraId="3B63E7CE" w14:textId="77777777" w:rsidR="00085B82" w:rsidRPr="00085B82" w:rsidRDefault="00085B82" w:rsidP="00085B82">
      <w:pPr>
        <w:spacing w:before="100" w:beforeAutospacing="1" w:after="100" w:afterAutospacing="1"/>
      </w:pPr>
      <w:r w:rsidRPr="00085B82">
        <w:lastRenderedPageBreak/>
        <w:t>Initial exploratory analysis examined outcome completeness, predictor missingness, category frequencies, survey structure and geographic matching.</w:t>
      </w:r>
    </w:p>
    <w:p w14:paraId="02C08E8D" w14:textId="77777777" w:rsidR="00085B82" w:rsidRPr="00085B82" w:rsidRDefault="00085B82" w:rsidP="00085B82">
      <w:pPr>
        <w:spacing w:before="100" w:beforeAutospacing="1" w:after="100" w:afterAutospacing="1"/>
      </w:pPr>
      <w:r w:rsidRPr="00085B82">
        <w:t>The candidate predictors were:</w:t>
      </w:r>
    </w:p>
    <w:p w14:paraId="302959FE" w14:textId="77777777" w:rsidR="00085B82" w:rsidRPr="00085B82" w:rsidRDefault="00085B82" w:rsidP="00085B82">
      <w:pPr>
        <w:numPr>
          <w:ilvl w:val="0"/>
          <w:numId w:val="3"/>
        </w:numPr>
        <w:spacing w:before="100" w:beforeAutospacing="1" w:after="100" w:afterAutospacing="1"/>
      </w:pPr>
      <w:r w:rsidRPr="00085B82">
        <w:t>Age</w:t>
      </w:r>
    </w:p>
    <w:p w14:paraId="3D6E238B" w14:textId="77777777" w:rsidR="00085B82" w:rsidRPr="00085B82" w:rsidRDefault="00085B82" w:rsidP="00085B82">
      <w:pPr>
        <w:numPr>
          <w:ilvl w:val="0"/>
          <w:numId w:val="3"/>
        </w:numPr>
        <w:spacing w:before="100" w:beforeAutospacing="1" w:after="100" w:afterAutospacing="1"/>
      </w:pPr>
      <w:r w:rsidRPr="00085B82">
        <w:t>State or region</w:t>
      </w:r>
    </w:p>
    <w:p w14:paraId="455653CD" w14:textId="77777777" w:rsidR="00085B82" w:rsidRPr="00085B82" w:rsidRDefault="00085B82" w:rsidP="00085B82">
      <w:pPr>
        <w:numPr>
          <w:ilvl w:val="0"/>
          <w:numId w:val="3"/>
        </w:numPr>
        <w:spacing w:before="100" w:beforeAutospacing="1" w:after="100" w:afterAutospacing="1"/>
      </w:pPr>
      <w:r w:rsidRPr="00085B82">
        <w:t>Ethnicity</w:t>
      </w:r>
    </w:p>
    <w:p w14:paraId="1BD9C42E" w14:textId="77777777" w:rsidR="00085B82" w:rsidRPr="00085B82" w:rsidRDefault="00085B82" w:rsidP="00085B82">
      <w:pPr>
        <w:numPr>
          <w:ilvl w:val="0"/>
          <w:numId w:val="3"/>
        </w:numPr>
        <w:spacing w:before="100" w:beforeAutospacing="1" w:after="100" w:afterAutospacing="1"/>
      </w:pPr>
      <w:r w:rsidRPr="00085B82">
        <w:t>Household wealth</w:t>
      </w:r>
    </w:p>
    <w:p w14:paraId="0C47D0FC" w14:textId="77777777" w:rsidR="00085B82" w:rsidRPr="00085B82" w:rsidRDefault="00085B82" w:rsidP="00085B82">
      <w:pPr>
        <w:numPr>
          <w:ilvl w:val="0"/>
          <w:numId w:val="3"/>
        </w:numPr>
        <w:spacing w:before="100" w:beforeAutospacing="1" w:after="100" w:afterAutospacing="1"/>
      </w:pPr>
      <w:r w:rsidRPr="00085B82">
        <w:t>Educational attainment</w:t>
      </w:r>
    </w:p>
    <w:p w14:paraId="3A2916D5" w14:textId="77777777" w:rsidR="00085B82" w:rsidRPr="00085B82" w:rsidRDefault="00085B82" w:rsidP="00085B82">
      <w:pPr>
        <w:numPr>
          <w:ilvl w:val="0"/>
          <w:numId w:val="3"/>
        </w:numPr>
        <w:spacing w:before="100" w:beforeAutospacing="1" w:after="100" w:afterAutospacing="1"/>
      </w:pPr>
      <w:r w:rsidRPr="00085B82">
        <w:t>Religion</w:t>
      </w:r>
    </w:p>
    <w:p w14:paraId="555DC790" w14:textId="77777777" w:rsidR="00085B82" w:rsidRPr="00085B82" w:rsidRDefault="00085B82" w:rsidP="00085B82">
      <w:pPr>
        <w:numPr>
          <w:ilvl w:val="0"/>
          <w:numId w:val="3"/>
        </w:numPr>
        <w:spacing w:before="100" w:beforeAutospacing="1" w:after="100" w:afterAutospacing="1"/>
      </w:pPr>
      <w:r w:rsidRPr="00085B82">
        <w:t>Urban or rural residence</w:t>
      </w:r>
    </w:p>
    <w:p w14:paraId="09BDC585" w14:textId="77777777" w:rsidR="00085B82" w:rsidRPr="00085B82" w:rsidRDefault="00085B82" w:rsidP="00085B82">
      <w:pPr>
        <w:spacing w:before="100" w:beforeAutospacing="1" w:after="100" w:afterAutospacing="1"/>
      </w:pPr>
      <w:r w:rsidRPr="00085B82">
        <w:t xml:space="preserve">Ethnicity initially contained 303 categories. To avoid extremely sparse model categories, the eight most frequent ethnic groups were retained </w:t>
      </w:r>
      <w:proofErr w:type="gramStart"/>
      <w:r w:rsidRPr="00085B82">
        <w:t>individually</w:t>
      </w:r>
      <w:proofErr w:type="gramEnd"/>
      <w:r w:rsidRPr="00085B82">
        <w:t xml:space="preserve"> and the remaining categories were combined into </w:t>
      </w:r>
      <w:proofErr w:type="gramStart"/>
      <w:r w:rsidRPr="00085B82">
        <w:t>an “other”</w:t>
      </w:r>
      <w:proofErr w:type="gramEnd"/>
      <w:r w:rsidRPr="00085B82">
        <w:t xml:space="preserve"> category.</w:t>
      </w:r>
    </w:p>
    <w:p w14:paraId="504F2980" w14:textId="77777777" w:rsidR="00085B82" w:rsidRPr="00085B82" w:rsidRDefault="00085B82" w:rsidP="00085B82">
      <w:pPr>
        <w:spacing w:before="100" w:beforeAutospacing="1" w:after="100" w:afterAutospacing="1"/>
      </w:pPr>
      <w:r w:rsidRPr="00085B82">
        <w:t>All seven candidate predictors had less than the prespecified 30% missingness threshold and were therefore retained for feature-importance assessment.</w:t>
      </w:r>
    </w:p>
    <w:p w14:paraId="07F7F775"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5. Feature importance</w:t>
      </w:r>
    </w:p>
    <w:p w14:paraId="4EDD02D1" w14:textId="77777777" w:rsidR="00085B82" w:rsidRPr="00085B82" w:rsidRDefault="00085B82" w:rsidP="00085B82">
      <w:pPr>
        <w:spacing w:before="100" w:beforeAutospacing="1" w:after="100" w:afterAutospacing="1"/>
      </w:pPr>
      <w:r w:rsidRPr="00085B82">
        <w:t>A random forest classifier with 500 trees was fitted to the women’s self-reported FGM outcome. Predictor importance was assessed using the mean decrease in Gini impurity.</w:t>
      </w:r>
    </w:p>
    <w:p w14:paraId="0FC1F86D" w14:textId="77777777" w:rsidR="00085B82" w:rsidRPr="00085B82" w:rsidRDefault="00085B82" w:rsidP="00085B82">
      <w:pPr>
        <w:spacing w:before="100" w:beforeAutospacing="1" w:after="100" w:afterAutospacing="1"/>
      </w:pPr>
      <w:r w:rsidRPr="00085B82">
        <w:t>The predictors were ranked as follows:</w:t>
      </w:r>
    </w:p>
    <w:p w14:paraId="1F6421AD" w14:textId="77777777" w:rsidR="00085B82" w:rsidRPr="00085B82" w:rsidRDefault="00085B82" w:rsidP="00085B82">
      <w:pPr>
        <w:numPr>
          <w:ilvl w:val="0"/>
          <w:numId w:val="4"/>
        </w:numPr>
        <w:spacing w:before="100" w:beforeAutospacing="1" w:after="100" w:afterAutospacing="1"/>
      </w:pPr>
      <w:r w:rsidRPr="00085B82">
        <w:t>State or region</w:t>
      </w:r>
    </w:p>
    <w:p w14:paraId="5F6CA68A" w14:textId="77777777" w:rsidR="00085B82" w:rsidRPr="00085B82" w:rsidRDefault="00085B82" w:rsidP="00085B82">
      <w:pPr>
        <w:numPr>
          <w:ilvl w:val="0"/>
          <w:numId w:val="4"/>
        </w:numPr>
        <w:spacing w:before="100" w:beforeAutospacing="1" w:after="100" w:afterAutospacing="1"/>
      </w:pPr>
      <w:r w:rsidRPr="00085B82">
        <w:t>Age</w:t>
      </w:r>
    </w:p>
    <w:p w14:paraId="663DDAEA" w14:textId="77777777" w:rsidR="00085B82" w:rsidRPr="00085B82" w:rsidRDefault="00085B82" w:rsidP="00085B82">
      <w:pPr>
        <w:numPr>
          <w:ilvl w:val="0"/>
          <w:numId w:val="4"/>
        </w:numPr>
        <w:spacing w:before="100" w:beforeAutospacing="1" w:after="100" w:afterAutospacing="1"/>
      </w:pPr>
      <w:r w:rsidRPr="00085B82">
        <w:t>Ethnicity</w:t>
      </w:r>
    </w:p>
    <w:p w14:paraId="6E043A97" w14:textId="77777777" w:rsidR="00085B82" w:rsidRPr="00085B82" w:rsidRDefault="00085B82" w:rsidP="00085B82">
      <w:pPr>
        <w:numPr>
          <w:ilvl w:val="0"/>
          <w:numId w:val="4"/>
        </w:numPr>
        <w:spacing w:before="100" w:beforeAutospacing="1" w:after="100" w:afterAutospacing="1"/>
      </w:pPr>
      <w:r w:rsidRPr="00085B82">
        <w:t>Household wealth</w:t>
      </w:r>
    </w:p>
    <w:p w14:paraId="3348AF2A" w14:textId="77777777" w:rsidR="00085B82" w:rsidRPr="00085B82" w:rsidRDefault="00085B82" w:rsidP="00085B82">
      <w:pPr>
        <w:numPr>
          <w:ilvl w:val="0"/>
          <w:numId w:val="4"/>
        </w:numPr>
        <w:spacing w:before="100" w:beforeAutospacing="1" w:after="100" w:afterAutospacing="1"/>
      </w:pPr>
      <w:r w:rsidRPr="00085B82">
        <w:t>Education</w:t>
      </w:r>
    </w:p>
    <w:p w14:paraId="06749EED" w14:textId="77777777" w:rsidR="00085B82" w:rsidRPr="00085B82" w:rsidRDefault="00085B82" w:rsidP="00085B82">
      <w:pPr>
        <w:numPr>
          <w:ilvl w:val="0"/>
          <w:numId w:val="4"/>
        </w:numPr>
        <w:spacing w:before="100" w:beforeAutospacing="1" w:after="100" w:afterAutospacing="1"/>
      </w:pPr>
      <w:r w:rsidRPr="00085B82">
        <w:t>Religion</w:t>
      </w:r>
    </w:p>
    <w:p w14:paraId="43019435" w14:textId="77777777" w:rsidR="00085B82" w:rsidRPr="00085B82" w:rsidRDefault="00085B82" w:rsidP="00085B82">
      <w:pPr>
        <w:numPr>
          <w:ilvl w:val="0"/>
          <w:numId w:val="4"/>
        </w:numPr>
        <w:spacing w:before="100" w:beforeAutospacing="1" w:after="100" w:afterAutospacing="1"/>
      </w:pPr>
      <w:r w:rsidRPr="00085B82">
        <w:t>Urban or rural residence</w:t>
      </w:r>
    </w:p>
    <w:p w14:paraId="2E9F923E" w14:textId="77777777" w:rsidR="00085B82" w:rsidRPr="00085B82" w:rsidRDefault="00085B82" w:rsidP="00085B82">
      <w:pPr>
        <w:spacing w:before="100" w:beforeAutospacing="1" w:after="100" w:afterAutospacing="1"/>
      </w:pPr>
      <w:r w:rsidRPr="00085B82">
        <w:t>State and age had the greatest feature importance, indicating strong geographic and age-related variation in cumulative FGM prevalence. Ethnicity, wealth, education, religion and place of residence also contributed meaningful predictive information.</w:t>
      </w:r>
    </w:p>
    <w:p w14:paraId="3ABA17F6" w14:textId="77777777" w:rsidR="00085B82" w:rsidRPr="00085B82" w:rsidRDefault="00085B82" w:rsidP="00085B82">
      <w:pPr>
        <w:spacing w:before="100" w:beforeAutospacing="1" w:after="100" w:afterAutospacing="1"/>
      </w:pPr>
      <w:r w:rsidRPr="00085B82">
        <w:t>Random forest importance was used for predictor screening and ranking rather than causal interpretation.</w:t>
      </w:r>
    </w:p>
    <w:p w14:paraId="1035FE21"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6. Multicollinearity assessment</w:t>
      </w:r>
    </w:p>
    <w:p w14:paraId="0262EF97" w14:textId="77777777" w:rsidR="00085B82" w:rsidRPr="00085B82" w:rsidRDefault="00085B82" w:rsidP="00085B82">
      <w:pPr>
        <w:spacing w:before="100" w:beforeAutospacing="1" w:after="100" w:afterAutospacing="1"/>
      </w:pPr>
      <w:r w:rsidRPr="00085B82">
        <w:lastRenderedPageBreak/>
        <w:t>A binomial logistic regression containing all candidate predictors was used to assess multicollinearity. For categorical predictors with multiple degrees of freedom, generalized variance inflation factors were transformed using:</w:t>
      </w:r>
    </w:p>
    <w:p w14:paraId="288E1ECB" w14:textId="77777777" w:rsidR="00085B82" w:rsidRPr="00085B82" w:rsidRDefault="00085B82" w:rsidP="00085B82">
      <w:proofErr w:type="gramStart"/>
      <w:r w:rsidRPr="00085B82">
        <w:t>\[</w:t>
      </w:r>
      <w:proofErr w:type="gramEnd"/>
      <w:r w:rsidRPr="00085B82">
        <w:t xml:space="preserve"> GVIF^{1/(2df)} \]</w:t>
      </w:r>
    </w:p>
    <w:p w14:paraId="6F40084B" w14:textId="77777777" w:rsidR="00085B82" w:rsidRPr="00085B82" w:rsidRDefault="00085B82" w:rsidP="00085B82">
      <w:pPr>
        <w:spacing w:before="100" w:beforeAutospacing="1" w:after="100" w:afterAutospacing="1"/>
      </w:pPr>
      <w:r w:rsidRPr="00085B82">
        <w:t>An adjusted VIF value greater than approximately 2 was treated as requiring closer examination.</w:t>
      </w:r>
    </w:p>
    <w:p w14:paraId="068B1F15" w14:textId="77777777" w:rsidR="00085B82" w:rsidRPr="00085B82" w:rsidRDefault="00085B82" w:rsidP="00085B82">
      <w:pPr>
        <w:spacing w:before="100" w:beforeAutospacing="1" w:after="100" w:afterAutospacing="1"/>
      </w:pPr>
      <w:r w:rsidRPr="00085B82">
        <w:t>The adjusted VIF results were:</w:t>
      </w:r>
    </w:p>
    <w:tbl>
      <w:tblPr>
        <w:tblStyle w:val="TableGrid"/>
        <w:tblW w:w="0" w:type="auto"/>
        <w:tblLook w:val="04A0" w:firstRow="1" w:lastRow="0" w:firstColumn="1" w:lastColumn="0" w:noHBand="0" w:noVBand="1"/>
      </w:tblPr>
      <w:tblGrid>
        <w:gridCol w:w="2302"/>
        <w:gridCol w:w="1623"/>
      </w:tblGrid>
      <w:tr w:rsidR="00085B82" w:rsidRPr="00085B82" w14:paraId="55992D9C" w14:textId="77777777" w:rsidTr="008D10D1">
        <w:tc>
          <w:tcPr>
            <w:tcW w:w="0" w:type="auto"/>
            <w:hideMark/>
          </w:tcPr>
          <w:p w14:paraId="22342972" w14:textId="77777777" w:rsidR="00085B82" w:rsidRPr="00085B82" w:rsidRDefault="00085B82" w:rsidP="00085B82">
            <w:pPr>
              <w:jc w:val="center"/>
              <w:rPr>
                <w:b/>
                <w:bCs/>
              </w:rPr>
            </w:pPr>
            <w:r w:rsidRPr="00085B82">
              <w:rPr>
                <w:b/>
                <w:bCs/>
              </w:rPr>
              <w:t>Predictor</w:t>
            </w:r>
          </w:p>
        </w:tc>
        <w:tc>
          <w:tcPr>
            <w:tcW w:w="0" w:type="auto"/>
            <w:hideMark/>
          </w:tcPr>
          <w:p w14:paraId="4626B276" w14:textId="77777777" w:rsidR="00085B82" w:rsidRPr="00085B82" w:rsidRDefault="00085B82" w:rsidP="00085B82">
            <w:pPr>
              <w:jc w:val="center"/>
              <w:rPr>
                <w:b/>
                <w:bCs/>
              </w:rPr>
            </w:pPr>
            <w:r w:rsidRPr="00085B82">
              <w:rPr>
                <w:b/>
                <w:bCs/>
              </w:rPr>
              <w:t>Adjusted VIF</w:t>
            </w:r>
          </w:p>
        </w:tc>
      </w:tr>
      <w:tr w:rsidR="00085B82" w:rsidRPr="00085B82" w14:paraId="18B2536D" w14:textId="77777777" w:rsidTr="008D10D1">
        <w:tc>
          <w:tcPr>
            <w:tcW w:w="0" w:type="auto"/>
            <w:hideMark/>
          </w:tcPr>
          <w:p w14:paraId="7077A438" w14:textId="77777777" w:rsidR="00085B82" w:rsidRPr="00085B82" w:rsidRDefault="00085B82" w:rsidP="00085B82">
            <w:r w:rsidRPr="00085B82">
              <w:t>Ethnicity</w:t>
            </w:r>
          </w:p>
        </w:tc>
        <w:tc>
          <w:tcPr>
            <w:tcW w:w="0" w:type="auto"/>
            <w:hideMark/>
          </w:tcPr>
          <w:p w14:paraId="38E3DD6C" w14:textId="77777777" w:rsidR="00085B82" w:rsidRPr="00085B82" w:rsidRDefault="00085B82" w:rsidP="00085B82">
            <w:r w:rsidRPr="00085B82">
              <w:t>1.43</w:t>
            </w:r>
          </w:p>
        </w:tc>
      </w:tr>
      <w:tr w:rsidR="00085B82" w:rsidRPr="00085B82" w14:paraId="66CE519E" w14:textId="77777777" w:rsidTr="008D10D1">
        <w:tc>
          <w:tcPr>
            <w:tcW w:w="0" w:type="auto"/>
            <w:hideMark/>
          </w:tcPr>
          <w:p w14:paraId="0C373240" w14:textId="77777777" w:rsidR="00085B82" w:rsidRPr="00085B82" w:rsidRDefault="00085B82" w:rsidP="00085B82">
            <w:r w:rsidRPr="00085B82">
              <w:t>Urban/rural residence</w:t>
            </w:r>
          </w:p>
        </w:tc>
        <w:tc>
          <w:tcPr>
            <w:tcW w:w="0" w:type="auto"/>
            <w:hideMark/>
          </w:tcPr>
          <w:p w14:paraId="3C8F76D3" w14:textId="77777777" w:rsidR="00085B82" w:rsidRPr="00085B82" w:rsidRDefault="00085B82" w:rsidP="00085B82">
            <w:r w:rsidRPr="00085B82">
              <w:t>1.31</w:t>
            </w:r>
          </w:p>
        </w:tc>
      </w:tr>
      <w:tr w:rsidR="00085B82" w:rsidRPr="00085B82" w14:paraId="6740FEE1" w14:textId="77777777" w:rsidTr="008D10D1">
        <w:tc>
          <w:tcPr>
            <w:tcW w:w="0" w:type="auto"/>
            <w:hideMark/>
          </w:tcPr>
          <w:p w14:paraId="141E19DB" w14:textId="77777777" w:rsidR="00085B82" w:rsidRPr="00085B82" w:rsidRDefault="00085B82" w:rsidP="00085B82">
            <w:r w:rsidRPr="00085B82">
              <w:t>Religion</w:t>
            </w:r>
          </w:p>
        </w:tc>
        <w:tc>
          <w:tcPr>
            <w:tcW w:w="0" w:type="auto"/>
            <w:hideMark/>
          </w:tcPr>
          <w:p w14:paraId="61D298E9" w14:textId="77777777" w:rsidR="00085B82" w:rsidRPr="00085B82" w:rsidRDefault="00085B82" w:rsidP="00085B82">
            <w:r w:rsidRPr="00085B82">
              <w:t>1.22</w:t>
            </w:r>
          </w:p>
        </w:tc>
      </w:tr>
      <w:tr w:rsidR="00085B82" w:rsidRPr="00085B82" w14:paraId="73711082" w14:textId="77777777" w:rsidTr="008D10D1">
        <w:tc>
          <w:tcPr>
            <w:tcW w:w="0" w:type="auto"/>
            <w:hideMark/>
          </w:tcPr>
          <w:p w14:paraId="437EEE95" w14:textId="77777777" w:rsidR="00085B82" w:rsidRPr="00085B82" w:rsidRDefault="00085B82" w:rsidP="00085B82">
            <w:r w:rsidRPr="00085B82">
              <w:t>Education</w:t>
            </w:r>
          </w:p>
        </w:tc>
        <w:tc>
          <w:tcPr>
            <w:tcW w:w="0" w:type="auto"/>
            <w:hideMark/>
          </w:tcPr>
          <w:p w14:paraId="779392BB" w14:textId="77777777" w:rsidR="00085B82" w:rsidRPr="00085B82" w:rsidRDefault="00085B82" w:rsidP="00085B82">
            <w:r w:rsidRPr="00085B82">
              <w:t>1.20</w:t>
            </w:r>
          </w:p>
        </w:tc>
      </w:tr>
      <w:tr w:rsidR="00085B82" w:rsidRPr="00085B82" w14:paraId="6D57552A" w14:textId="77777777" w:rsidTr="008D10D1">
        <w:tc>
          <w:tcPr>
            <w:tcW w:w="0" w:type="auto"/>
            <w:hideMark/>
          </w:tcPr>
          <w:p w14:paraId="53933FBD" w14:textId="77777777" w:rsidR="00085B82" w:rsidRPr="00085B82" w:rsidRDefault="00085B82" w:rsidP="00085B82">
            <w:r w:rsidRPr="00085B82">
              <w:t>Wealth</w:t>
            </w:r>
          </w:p>
        </w:tc>
        <w:tc>
          <w:tcPr>
            <w:tcW w:w="0" w:type="auto"/>
            <w:hideMark/>
          </w:tcPr>
          <w:p w14:paraId="530120E2" w14:textId="77777777" w:rsidR="00085B82" w:rsidRPr="00085B82" w:rsidRDefault="00085B82" w:rsidP="00085B82">
            <w:r w:rsidRPr="00085B82">
              <w:t>1.18</w:t>
            </w:r>
          </w:p>
        </w:tc>
      </w:tr>
      <w:tr w:rsidR="00085B82" w:rsidRPr="00085B82" w14:paraId="033483AE" w14:textId="77777777" w:rsidTr="008D10D1">
        <w:tc>
          <w:tcPr>
            <w:tcW w:w="0" w:type="auto"/>
            <w:hideMark/>
          </w:tcPr>
          <w:p w14:paraId="4A6B2F02" w14:textId="77777777" w:rsidR="00085B82" w:rsidRPr="00085B82" w:rsidRDefault="00085B82" w:rsidP="00085B82">
            <w:r w:rsidRPr="00085B82">
              <w:t>State</w:t>
            </w:r>
          </w:p>
        </w:tc>
        <w:tc>
          <w:tcPr>
            <w:tcW w:w="0" w:type="auto"/>
            <w:hideMark/>
          </w:tcPr>
          <w:p w14:paraId="0CF73838" w14:textId="77777777" w:rsidR="00085B82" w:rsidRPr="00085B82" w:rsidRDefault="00085B82" w:rsidP="00085B82">
            <w:r w:rsidRPr="00085B82">
              <w:t>1.09</w:t>
            </w:r>
          </w:p>
        </w:tc>
      </w:tr>
      <w:tr w:rsidR="00085B82" w:rsidRPr="00085B82" w14:paraId="49A49770" w14:textId="77777777" w:rsidTr="008D10D1">
        <w:tc>
          <w:tcPr>
            <w:tcW w:w="0" w:type="auto"/>
            <w:hideMark/>
          </w:tcPr>
          <w:p w14:paraId="10AC5AB1" w14:textId="77777777" w:rsidR="00085B82" w:rsidRPr="00085B82" w:rsidRDefault="00085B82" w:rsidP="00085B82">
            <w:r w:rsidRPr="00085B82">
              <w:t>Age</w:t>
            </w:r>
          </w:p>
        </w:tc>
        <w:tc>
          <w:tcPr>
            <w:tcW w:w="0" w:type="auto"/>
            <w:hideMark/>
          </w:tcPr>
          <w:p w14:paraId="3F1FFFC9" w14:textId="77777777" w:rsidR="00085B82" w:rsidRPr="00085B82" w:rsidRDefault="00085B82" w:rsidP="00085B82">
            <w:r w:rsidRPr="00085B82">
              <w:t>1.07</w:t>
            </w:r>
          </w:p>
        </w:tc>
      </w:tr>
    </w:tbl>
    <w:p w14:paraId="4A528039" w14:textId="77777777" w:rsidR="00085B82" w:rsidRPr="00085B82" w:rsidRDefault="00085B82" w:rsidP="00085B82">
      <w:pPr>
        <w:spacing w:before="100" w:beforeAutospacing="1" w:after="100" w:afterAutospacing="1"/>
      </w:pPr>
      <w:r w:rsidRPr="00085B82">
        <w:t>No predictor exceeded the threshold. All candidate predictors were therefore retained.</w:t>
      </w:r>
    </w:p>
    <w:p w14:paraId="5A0DF10F" w14:textId="77777777" w:rsidR="00085B82" w:rsidRPr="00085B82" w:rsidRDefault="00085B82" w:rsidP="00085B82">
      <w:pPr>
        <w:spacing w:before="100" w:beforeAutospacing="1" w:after="100" w:afterAutospacing="1"/>
      </w:pPr>
      <w:r w:rsidRPr="00085B82">
        <w:t>In the spatial model, state was represented by the BYM2 spatial effect rather than included again as a fixed categorical predictor.</w:t>
      </w:r>
    </w:p>
    <w:p w14:paraId="63E5AAEF"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7. Design-based direct prevalence estimation</w:t>
      </w:r>
    </w:p>
    <w:p w14:paraId="7CDB6E88" w14:textId="77777777" w:rsidR="00085B82" w:rsidRPr="00085B82" w:rsidRDefault="00085B82" w:rsidP="00085B82">
      <w:pPr>
        <w:spacing w:before="100" w:beforeAutospacing="1" w:after="100" w:afterAutospacing="1"/>
      </w:pPr>
      <w:r w:rsidRPr="00085B82">
        <w:t>Separate complex-survey designs were specified for women and daughters using:</w:t>
      </w:r>
    </w:p>
    <w:p w14:paraId="092C6433" w14:textId="77777777" w:rsidR="00085B82" w:rsidRPr="00085B82" w:rsidRDefault="00085B82" w:rsidP="00085B82">
      <w:pPr>
        <w:numPr>
          <w:ilvl w:val="0"/>
          <w:numId w:val="5"/>
        </w:numPr>
        <w:spacing w:before="100" w:beforeAutospacing="1" w:after="100" w:afterAutospacing="1"/>
      </w:pPr>
      <w:r w:rsidRPr="00085B82">
        <w:t>DHS sampling weights</w:t>
      </w:r>
    </w:p>
    <w:p w14:paraId="070CB7B2" w14:textId="77777777" w:rsidR="00085B82" w:rsidRPr="00085B82" w:rsidRDefault="00085B82" w:rsidP="00085B82">
      <w:pPr>
        <w:numPr>
          <w:ilvl w:val="0"/>
          <w:numId w:val="5"/>
        </w:numPr>
        <w:spacing w:before="100" w:beforeAutospacing="1" w:after="100" w:afterAutospacing="1"/>
      </w:pPr>
      <w:r w:rsidRPr="00085B82">
        <w:t>Survey clusters as primary sampling units</w:t>
      </w:r>
    </w:p>
    <w:p w14:paraId="0DEFDFDD" w14:textId="77777777" w:rsidR="00085B82" w:rsidRPr="00085B82" w:rsidRDefault="00085B82" w:rsidP="00085B82">
      <w:pPr>
        <w:numPr>
          <w:ilvl w:val="0"/>
          <w:numId w:val="5"/>
        </w:numPr>
        <w:spacing w:before="100" w:beforeAutospacing="1" w:after="100" w:afterAutospacing="1"/>
      </w:pPr>
      <w:r w:rsidRPr="00085B82">
        <w:t>Survey strata</w:t>
      </w:r>
    </w:p>
    <w:p w14:paraId="466BDD9A" w14:textId="77777777" w:rsidR="00085B82" w:rsidRPr="00085B82" w:rsidRDefault="00085B82" w:rsidP="00085B82">
      <w:pPr>
        <w:numPr>
          <w:ilvl w:val="0"/>
          <w:numId w:val="5"/>
        </w:numPr>
        <w:spacing w:before="100" w:beforeAutospacing="1" w:after="100" w:afterAutospacing="1"/>
      </w:pPr>
      <w:r w:rsidRPr="00085B82">
        <w:t>Nested survey-design specification</w:t>
      </w:r>
    </w:p>
    <w:p w14:paraId="33213F41" w14:textId="77777777" w:rsidR="00085B82" w:rsidRPr="00085B82" w:rsidRDefault="00085B82" w:rsidP="00085B82">
      <w:pPr>
        <w:spacing w:before="100" w:beforeAutospacing="1" w:after="100" w:afterAutospacing="1"/>
      </w:pPr>
      <w:r w:rsidRPr="00085B82">
        <w:t>Survey-weighted direct prevalence and standard errors were calculated nationally and for every state.</w:t>
      </w:r>
    </w:p>
    <w:p w14:paraId="1D846014" w14:textId="77777777" w:rsidR="00085B82" w:rsidRPr="00085B82" w:rsidRDefault="00085B82" w:rsidP="00085B82">
      <w:pPr>
        <w:spacing w:before="100" w:beforeAutospacing="1" w:after="100" w:afterAutospacing="1"/>
      </w:pPr>
      <w:r w:rsidRPr="00085B82">
        <w:t>These direct estimates were considered the principal design-based benchmark because they explicitly accounted for weighting, clustering and stratification.</w:t>
      </w:r>
    </w:p>
    <w:p w14:paraId="7A66B355" w14:textId="77777777" w:rsidR="00085B82" w:rsidRPr="00085B82" w:rsidRDefault="00085B82" w:rsidP="00085B82">
      <w:pPr>
        <w:spacing w:before="100" w:beforeAutospacing="1" w:after="100" w:afterAutospacing="1"/>
      </w:pPr>
      <w:r w:rsidRPr="00085B82">
        <w:t>The design-based national estimates were:</w:t>
      </w:r>
    </w:p>
    <w:p w14:paraId="50FABC70" w14:textId="77777777" w:rsidR="00085B82" w:rsidRPr="00085B82" w:rsidRDefault="00085B82" w:rsidP="00085B82">
      <w:pPr>
        <w:numPr>
          <w:ilvl w:val="0"/>
          <w:numId w:val="6"/>
        </w:numPr>
        <w:spacing w:before="100" w:beforeAutospacing="1" w:after="100" w:afterAutospacing="1"/>
      </w:pPr>
      <w:r w:rsidRPr="00085B82">
        <w:t xml:space="preserve">Women aged 15–49 years: </w:t>
      </w:r>
      <w:r w:rsidRPr="00085B82">
        <w:rPr>
          <w:b/>
          <w:bCs/>
        </w:rPr>
        <w:t>13.87%</w:t>
      </w:r>
    </w:p>
    <w:p w14:paraId="3E1BF891" w14:textId="77777777" w:rsidR="00085B82" w:rsidRPr="00085B82" w:rsidRDefault="00085B82" w:rsidP="00085B82">
      <w:pPr>
        <w:numPr>
          <w:ilvl w:val="0"/>
          <w:numId w:val="6"/>
        </w:numPr>
        <w:spacing w:before="100" w:beforeAutospacing="1" w:after="100" w:afterAutospacing="1"/>
      </w:pPr>
      <w:r w:rsidRPr="00085B82">
        <w:t xml:space="preserve">Girls aged 0–14 years: </w:t>
      </w:r>
      <w:r w:rsidRPr="00085B82">
        <w:rPr>
          <w:b/>
          <w:bCs/>
        </w:rPr>
        <w:t>14.09%</w:t>
      </w:r>
    </w:p>
    <w:p w14:paraId="521BB162" w14:textId="77777777" w:rsidR="00085B82" w:rsidRPr="00085B82" w:rsidRDefault="00085B82" w:rsidP="00085B82">
      <w:pPr>
        <w:spacing w:before="100" w:beforeAutospacing="1" w:after="100" w:afterAutospacing="1"/>
      </w:pPr>
      <w:r w:rsidRPr="00085B82">
        <w:lastRenderedPageBreak/>
        <w:t>The estimates closely reproduced the approximately 14% national prevalence reported in the 2024 NDHS.</w:t>
      </w:r>
    </w:p>
    <w:p w14:paraId="0B70ED39" w14:textId="77777777" w:rsidR="00085B82" w:rsidRPr="00085B82" w:rsidRDefault="00085B82" w:rsidP="00085B82">
      <w:pPr>
        <w:spacing w:before="100" w:beforeAutospacing="1" w:after="100" w:afterAutospacing="1"/>
      </w:pPr>
      <w:r w:rsidRPr="00085B82">
        <w:t>Additional benchmark checks included:</w:t>
      </w:r>
    </w:p>
    <w:p w14:paraId="06495769" w14:textId="77777777" w:rsidR="00085B82" w:rsidRPr="00085B82" w:rsidRDefault="00085B82" w:rsidP="00085B82">
      <w:pPr>
        <w:numPr>
          <w:ilvl w:val="0"/>
          <w:numId w:val="7"/>
        </w:numPr>
        <w:spacing w:before="100" w:beforeAutospacing="1" w:after="100" w:afterAutospacing="1"/>
      </w:pPr>
      <w:r w:rsidRPr="00085B82">
        <w:t>Katsina women: 49.7%, compared with approximately 50%</w:t>
      </w:r>
    </w:p>
    <w:p w14:paraId="46AB175C" w14:textId="77777777" w:rsidR="00085B82" w:rsidRPr="00085B82" w:rsidRDefault="00085B82" w:rsidP="00085B82">
      <w:pPr>
        <w:numPr>
          <w:ilvl w:val="0"/>
          <w:numId w:val="7"/>
        </w:numPr>
        <w:spacing w:before="100" w:beforeAutospacing="1" w:after="100" w:afterAutospacing="1"/>
      </w:pPr>
      <w:r w:rsidRPr="00085B82">
        <w:t>Ekiti women: 47.9%, compared with approximately 48%</w:t>
      </w:r>
    </w:p>
    <w:p w14:paraId="2CABF173"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8. Baseline spatial smoothing</w:t>
      </w:r>
    </w:p>
    <w:p w14:paraId="5B5A9820" w14:textId="77777777" w:rsidR="00085B82" w:rsidRPr="00085B82" w:rsidRDefault="00085B82" w:rsidP="00085B82">
      <w:pPr>
        <w:spacing w:before="100" w:beforeAutospacing="1" w:after="100" w:afterAutospacing="1"/>
      </w:pPr>
      <w:r w:rsidRPr="00085B82">
        <w:t xml:space="preserve">The state-level direct estimates were spatially smoothed using an area-level </w:t>
      </w:r>
      <w:proofErr w:type="spellStart"/>
      <w:r w:rsidRPr="00085B82">
        <w:t>Besag</w:t>
      </w:r>
      <w:proofErr w:type="spellEnd"/>
      <w:r w:rsidRPr="00085B82">
        <w:t>–York–</w:t>
      </w:r>
      <w:proofErr w:type="spellStart"/>
      <w:r w:rsidRPr="00085B82">
        <w:t>Mollié</w:t>
      </w:r>
      <w:proofErr w:type="spellEnd"/>
      <w:r w:rsidRPr="00085B82">
        <w:t xml:space="preserve"> 2 model.</w:t>
      </w:r>
    </w:p>
    <w:p w14:paraId="3D8AEB2D" w14:textId="77777777" w:rsidR="00085B82" w:rsidRPr="00085B82" w:rsidRDefault="00085B82" w:rsidP="00085B82">
      <w:pPr>
        <w:spacing w:before="100" w:beforeAutospacing="1" w:after="100" w:afterAutospacing="1"/>
      </w:pPr>
      <w:r w:rsidRPr="00085B82">
        <w:t>Direct prevalence estimates were restricted to the interval 0.0001–0.9999 before being transformed to the logit scale. Survey standard errors were converted to logit-scale observation precision using the delta method. Extremely large precision values were capped at 1,000,000 for numerical stability.</w:t>
      </w:r>
    </w:p>
    <w:p w14:paraId="156CF83D" w14:textId="77777777" w:rsidR="00085B82" w:rsidRPr="00085B82" w:rsidRDefault="00085B82" w:rsidP="00085B82">
      <w:pPr>
        <w:spacing w:before="100" w:beforeAutospacing="1" w:after="100" w:afterAutospacing="1"/>
      </w:pPr>
      <w:r w:rsidRPr="00085B82">
        <w:t>The BYM2 model combined:</w:t>
      </w:r>
    </w:p>
    <w:p w14:paraId="107BFC4D" w14:textId="77777777" w:rsidR="00085B82" w:rsidRPr="00085B82" w:rsidRDefault="00085B82" w:rsidP="00085B82">
      <w:pPr>
        <w:numPr>
          <w:ilvl w:val="0"/>
          <w:numId w:val="8"/>
        </w:numPr>
        <w:spacing w:before="100" w:beforeAutospacing="1" w:after="100" w:afterAutospacing="1"/>
      </w:pPr>
      <w:r w:rsidRPr="00085B82">
        <w:t xml:space="preserve">A spatially structured effect shared by </w:t>
      </w:r>
      <w:proofErr w:type="spellStart"/>
      <w:r w:rsidRPr="00085B82">
        <w:t>neighbouring</w:t>
      </w:r>
      <w:proofErr w:type="spellEnd"/>
      <w:r w:rsidRPr="00085B82">
        <w:t xml:space="preserve"> states</w:t>
      </w:r>
    </w:p>
    <w:p w14:paraId="7F8ADC07" w14:textId="77777777" w:rsidR="00085B82" w:rsidRPr="00085B82" w:rsidRDefault="00085B82" w:rsidP="00085B82">
      <w:pPr>
        <w:numPr>
          <w:ilvl w:val="0"/>
          <w:numId w:val="8"/>
        </w:numPr>
        <w:spacing w:before="100" w:beforeAutospacing="1" w:after="100" w:afterAutospacing="1"/>
      </w:pPr>
      <w:r w:rsidRPr="00085B82">
        <w:t>An unstructured state-specific effect</w:t>
      </w:r>
    </w:p>
    <w:p w14:paraId="0D27F261" w14:textId="77777777" w:rsidR="00085B82" w:rsidRPr="00085B82" w:rsidRDefault="00085B82" w:rsidP="00085B82">
      <w:pPr>
        <w:spacing w:before="100" w:beforeAutospacing="1" w:after="100" w:afterAutospacing="1"/>
      </w:pPr>
      <w:r w:rsidRPr="00085B82">
        <w:t>The fitted logit estimates were converted back to probabilities to produce baseline spatially smoothed prevalence maps.</w:t>
      </w:r>
    </w:p>
    <w:p w14:paraId="508A340D"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9. Covariate-adjusted spatial model</w:t>
      </w:r>
    </w:p>
    <w:p w14:paraId="60FBB521" w14:textId="77777777" w:rsidR="00085B82" w:rsidRPr="00085B82" w:rsidRDefault="00085B82" w:rsidP="00085B82">
      <w:pPr>
        <w:spacing w:before="100" w:beforeAutospacing="1" w:after="100" w:afterAutospacing="1"/>
      </w:pPr>
      <w:r w:rsidRPr="00085B82">
        <w:t>Separate individual-level Bayesian binomial models were fitted for women and daughters using INLA.</w:t>
      </w:r>
    </w:p>
    <w:p w14:paraId="3360AE19" w14:textId="77777777" w:rsidR="00085B82" w:rsidRPr="00085B82" w:rsidRDefault="00085B82" w:rsidP="00085B82">
      <w:pPr>
        <w:spacing w:before="100" w:beforeAutospacing="1" w:after="100" w:afterAutospacing="1"/>
      </w:pPr>
      <w:r w:rsidRPr="00085B82">
        <w:t>For respondent \(</w:t>
      </w:r>
      <w:proofErr w:type="spellStart"/>
      <w:r w:rsidRPr="00085B82">
        <w:t>i</w:t>
      </w:r>
      <w:proofErr w:type="spellEnd"/>
      <w:r w:rsidRPr="00085B82">
        <w:t>\), the model was:</w:t>
      </w:r>
    </w:p>
    <w:p w14:paraId="1F03B945" w14:textId="77777777" w:rsidR="00085B82" w:rsidRDefault="00085B82" w:rsidP="00085B82">
      <w:proofErr w:type="gramStart"/>
      <w:r w:rsidRPr="00085B82">
        <w:t>\[</w:t>
      </w:r>
      <w:proofErr w:type="gramEnd"/>
      <w:r w:rsidRPr="00085B82">
        <w:t xml:space="preserve"> \text{logit}(</w:t>
      </w:r>
      <w:proofErr w:type="spellStart"/>
      <w:r w:rsidRPr="00085B82">
        <w:t>p_i</w:t>
      </w:r>
      <w:proofErr w:type="spellEnd"/>
      <w:r w:rsidRPr="00085B82">
        <w:t xml:space="preserve">) = \beta_0 + </w:t>
      </w:r>
      <w:proofErr w:type="gramStart"/>
      <w:r w:rsidRPr="00085B82">
        <w:t>\beta_1\text{</w:t>
      </w:r>
      <w:proofErr w:type="gramEnd"/>
      <w:r w:rsidRPr="00085B82">
        <w:t>Ethnicity}_</w:t>
      </w:r>
      <w:proofErr w:type="spellStart"/>
      <w:r w:rsidRPr="00085B82">
        <w:t>i</w:t>
      </w:r>
      <w:proofErr w:type="spellEnd"/>
      <w:r w:rsidRPr="00085B82">
        <w:t xml:space="preserve"> + </w:t>
      </w:r>
      <w:proofErr w:type="gramStart"/>
      <w:r w:rsidRPr="00085B82">
        <w:t>\beta_2\text{</w:t>
      </w:r>
      <w:proofErr w:type="gramEnd"/>
      <w:r w:rsidRPr="00085B82">
        <w:t>Wealth}_</w:t>
      </w:r>
      <w:proofErr w:type="spellStart"/>
      <w:r w:rsidRPr="00085B82">
        <w:t>i</w:t>
      </w:r>
      <w:proofErr w:type="spellEnd"/>
      <w:r w:rsidRPr="00085B82">
        <w:t xml:space="preserve"> + </w:t>
      </w:r>
      <w:proofErr w:type="gramStart"/>
      <w:r w:rsidRPr="00085B82">
        <w:t>\beta_3\text{</w:t>
      </w:r>
      <w:proofErr w:type="gramEnd"/>
      <w:r w:rsidRPr="00085B82">
        <w:t>Education}_</w:t>
      </w:r>
      <w:proofErr w:type="spellStart"/>
      <w:r w:rsidRPr="00085B82">
        <w:t>i</w:t>
      </w:r>
      <w:proofErr w:type="spellEnd"/>
      <w:r w:rsidRPr="00085B82">
        <w:t xml:space="preserve"> + </w:t>
      </w:r>
      <w:proofErr w:type="gramStart"/>
      <w:r w:rsidRPr="00085B82">
        <w:t>\beta_4\text{</w:t>
      </w:r>
      <w:proofErr w:type="gramEnd"/>
      <w:r w:rsidRPr="00085B82">
        <w:t>Religion}_</w:t>
      </w:r>
      <w:proofErr w:type="spellStart"/>
      <w:r w:rsidRPr="00085B82">
        <w:t>i</w:t>
      </w:r>
      <w:proofErr w:type="spellEnd"/>
      <w:r w:rsidRPr="00085B82">
        <w:t xml:space="preserve"> + </w:t>
      </w:r>
      <w:proofErr w:type="gramStart"/>
      <w:r w:rsidRPr="00085B82">
        <w:t>\beta_5\text{</w:t>
      </w:r>
      <w:proofErr w:type="gramEnd"/>
      <w:r w:rsidRPr="00085B82">
        <w:t>Residence}_</w:t>
      </w:r>
      <w:proofErr w:type="spellStart"/>
      <w:r w:rsidRPr="00085B82">
        <w:t>i</w:t>
      </w:r>
      <w:proofErr w:type="spellEnd"/>
      <w:r w:rsidRPr="00085B82">
        <w:t xml:space="preserve"> + f(\</w:t>
      </w:r>
      <w:proofErr w:type="gramStart"/>
      <w:r w:rsidRPr="00085B82">
        <w:t>text{</w:t>
      </w:r>
      <w:proofErr w:type="gramEnd"/>
      <w:r w:rsidRPr="00085B82">
        <w:t>Age}_</w:t>
      </w:r>
      <w:proofErr w:type="spellStart"/>
      <w:r w:rsidRPr="00085B82">
        <w:t>i</w:t>
      </w:r>
      <w:proofErr w:type="spellEnd"/>
      <w:r w:rsidRPr="00085B82">
        <w:t>) + u_{\</w:t>
      </w:r>
      <w:proofErr w:type="gramStart"/>
      <w:r w:rsidRPr="00085B82">
        <w:t>text{</w:t>
      </w:r>
      <w:proofErr w:type="gramEnd"/>
      <w:r w:rsidRPr="00085B82">
        <w:t>State}(</w:t>
      </w:r>
      <w:proofErr w:type="spellStart"/>
      <w:r w:rsidRPr="00085B82">
        <w:t>i</w:t>
      </w:r>
      <w:proofErr w:type="spellEnd"/>
      <w:r w:rsidRPr="00085B82">
        <w:t>)} \]</w:t>
      </w:r>
    </w:p>
    <w:p w14:paraId="3CF87BFF" w14:textId="77777777" w:rsidR="00B72FBC" w:rsidRDefault="00B72FBC" w:rsidP="00085B82"/>
    <w:p w14:paraId="280A7BF6" w14:textId="3AD2618E" w:rsidR="00B72FBC" w:rsidRPr="00B72FBC" w:rsidRDefault="00B72FBC" w:rsidP="00085B82">
      <m:oMathPara>
        <m:oMath>
          <m:r>
            <w:rPr>
              <w:rFonts w:ascii="Cambria Math" w:hAnsi="Cambria Math"/>
            </w:rPr>
            <m:t>logit(pᵢ) = β₀ + β₁Ethnicityᵢ + β₂Wealthᵢ + β₃Educationᵢ + β₄Religionᵢ + β₅Residenceᵢ + f(Ageᵢ) + uState(i)</m:t>
          </m:r>
        </m:oMath>
      </m:oMathPara>
    </w:p>
    <w:p w14:paraId="2C600FD6" w14:textId="77777777" w:rsidR="00B72FBC" w:rsidRPr="00B72FBC" w:rsidRDefault="00B72FBC" w:rsidP="00085B82"/>
    <w:p w14:paraId="6CE74AC7" w14:textId="77777777" w:rsidR="00085B82" w:rsidRPr="00085B82" w:rsidRDefault="00085B82" w:rsidP="00085B82">
      <w:pPr>
        <w:spacing w:before="100" w:beforeAutospacing="1" w:after="100" w:afterAutospacing="1"/>
      </w:pPr>
      <w:r w:rsidRPr="00085B82">
        <w:t>where:</w:t>
      </w:r>
    </w:p>
    <w:p w14:paraId="002CB5C6" w14:textId="3BF2B656" w:rsidR="00085B82" w:rsidRPr="00085B82" w:rsidRDefault="00B72FBC" w:rsidP="00085B82">
      <w:pPr>
        <w:numPr>
          <w:ilvl w:val="0"/>
          <w:numId w:val="9"/>
        </w:numPr>
        <w:spacing w:before="100" w:beforeAutospacing="1" w:after="100" w:afterAutospacing="1"/>
      </w:pPr>
      <m:oMath>
        <m:r>
          <w:rPr>
            <w:rFonts w:ascii="Cambria Math" w:hAnsi="Cambria Math"/>
          </w:rPr>
          <m:t xml:space="preserve">pᵢ </m:t>
        </m:r>
      </m:oMath>
      <w:r>
        <w:t xml:space="preserve"> is</w:t>
      </w:r>
      <w:r w:rsidR="00085B82" w:rsidRPr="00085B82">
        <w:t xml:space="preserve"> the respondent’s probability of having undergone FGM</w:t>
      </w:r>
    </w:p>
    <w:p w14:paraId="4E461B9C" w14:textId="57EE270A" w:rsidR="00085B82" w:rsidRPr="00085B82" w:rsidRDefault="00B72FBC" w:rsidP="00085B82">
      <w:pPr>
        <w:numPr>
          <w:ilvl w:val="0"/>
          <w:numId w:val="9"/>
        </w:numPr>
        <w:spacing w:before="100" w:beforeAutospacing="1" w:after="100" w:afterAutospacing="1"/>
      </w:pPr>
      <m:oMath>
        <m:r>
          <w:rPr>
            <w:rFonts w:ascii="Cambria Math" w:hAnsi="Cambria Math"/>
          </w:rPr>
          <m:t>f(Ageᵢ)</m:t>
        </m:r>
      </m:oMath>
      <w:r w:rsidR="00085B82" w:rsidRPr="00085B82">
        <w:t xml:space="preserve"> was a second-order random-walk effect</w:t>
      </w:r>
    </w:p>
    <w:p w14:paraId="729E0FBB" w14:textId="26EDF12C" w:rsidR="00085B82" w:rsidRDefault="00B72FBC" w:rsidP="00085B82">
      <w:pPr>
        <w:numPr>
          <w:ilvl w:val="0"/>
          <w:numId w:val="9"/>
        </w:numPr>
        <w:spacing w:before="100" w:beforeAutospacing="1" w:after="100" w:afterAutospacing="1"/>
      </w:pPr>
      <m:oMath>
        <m:r>
          <w:rPr>
            <w:rFonts w:ascii="Cambria Math" w:hAnsi="Cambria Math"/>
          </w:rPr>
          <w:lastRenderedPageBreak/>
          <m:t>uState(i)</m:t>
        </m:r>
      </m:oMath>
      <w:r>
        <w:t xml:space="preserve"> is</w:t>
      </w:r>
      <w:r w:rsidR="00085B82" w:rsidRPr="00085B82">
        <w:t xml:space="preserve"> the BYM2 state effect</w:t>
      </w:r>
    </w:p>
    <w:p w14:paraId="5BAE19C2" w14:textId="1C4DEAE0" w:rsidR="00B72FBC" w:rsidRPr="00085B82" w:rsidRDefault="00B72FBC" w:rsidP="00B72FBC">
      <w:pPr>
        <w:spacing w:before="100" w:beforeAutospacing="1" w:after="100" w:afterAutospacing="1"/>
        <w:ind w:left="720"/>
      </w:pPr>
    </w:p>
    <w:p w14:paraId="34CE5BEA" w14:textId="77777777" w:rsidR="00085B82" w:rsidRPr="00085B82" w:rsidRDefault="00085B82" w:rsidP="00085B82">
      <w:pPr>
        <w:spacing w:before="100" w:beforeAutospacing="1" w:after="100" w:afterAutospacing="1"/>
      </w:pPr>
      <w:r w:rsidRPr="00085B82">
        <w:t>Age was modelled flexibly because FGM prevalence is cumulative and strongly related to exposure time. The women’s and daughters’ models were fitted separately, allowing their age patterns to differ.</w:t>
      </w:r>
    </w:p>
    <w:p w14:paraId="6BA8F7E5"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9.1 Survey-weighted pseudo-likelihood</w:t>
      </w:r>
    </w:p>
    <w:p w14:paraId="4C3B0EDE" w14:textId="77777777" w:rsidR="00085B82" w:rsidRPr="00085B82" w:rsidRDefault="00085B82" w:rsidP="00085B82">
      <w:pPr>
        <w:spacing w:before="100" w:beforeAutospacing="1" w:after="100" w:afterAutospacing="1"/>
      </w:pPr>
      <w:r w:rsidRPr="00085B82">
        <w:t>The original DHS weights were normalized separately within each analytical dataset:</w:t>
      </w:r>
    </w:p>
    <w:p w14:paraId="10B62C19" w14:textId="77777777" w:rsidR="00085B82" w:rsidRPr="00085B82" w:rsidRDefault="00085B82" w:rsidP="00085B82">
      <w:proofErr w:type="gramStart"/>
      <w:r w:rsidRPr="00085B82">
        <w:t>\[</w:t>
      </w:r>
      <w:proofErr w:type="gramEnd"/>
      <w:r w:rsidRPr="00085B82">
        <w:t xml:space="preserve"> </w:t>
      </w:r>
      <w:proofErr w:type="spellStart"/>
      <w:r w:rsidRPr="00085B82">
        <w:t>w_i</w:t>
      </w:r>
      <w:proofErr w:type="spellEnd"/>
      <w:r w:rsidRPr="00085B82">
        <w:t>^* = \frac{</w:t>
      </w:r>
      <w:proofErr w:type="spellStart"/>
      <w:r w:rsidRPr="00085B82">
        <w:t>w_</w:t>
      </w:r>
      <w:proofErr w:type="gramStart"/>
      <w:r w:rsidRPr="00085B82">
        <w:t>i</w:t>
      </w:r>
      <w:proofErr w:type="spellEnd"/>
      <w:r w:rsidRPr="00085B82">
        <w:t>}{</w:t>
      </w:r>
      <w:proofErr w:type="gramEnd"/>
      <w:r w:rsidRPr="00085B82">
        <w:t>\bar{w}} \]</w:t>
      </w:r>
    </w:p>
    <w:p w14:paraId="37C67F91" w14:textId="77777777" w:rsidR="00085B82" w:rsidRPr="00085B82" w:rsidRDefault="00085B82" w:rsidP="00085B82">
      <w:pPr>
        <w:spacing w:before="100" w:beforeAutospacing="1" w:after="100" w:afterAutospacing="1"/>
      </w:pPr>
      <w:r w:rsidRPr="00085B82">
        <w:t>The normalized weights had a mean of one and were applied to each observation’s likelihood contribution. Normalization maintained the observed sample-size scale and prevented the survey weights from artificially increasing the model’s effective sample size.</w:t>
      </w:r>
    </w:p>
    <w:p w14:paraId="5518B843" w14:textId="77777777" w:rsidR="00085B82" w:rsidRPr="00085B82" w:rsidRDefault="00085B82" w:rsidP="00085B82">
      <w:pPr>
        <w:spacing w:before="100" w:beforeAutospacing="1" w:after="100" w:afterAutospacing="1"/>
      </w:pPr>
      <w:r w:rsidRPr="00085B82">
        <w:t>This produced survey-weighted pseudo-Bayesian estimates. The approach improved population representation but did not fully reproduce the stratified and clustered DHS variance estimator.</w:t>
      </w:r>
    </w:p>
    <w:p w14:paraId="3061D355"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10. Posterior prediction and adjusted prevalence</w:t>
      </w:r>
    </w:p>
    <w:p w14:paraId="33F53A6C" w14:textId="77777777" w:rsidR="00085B82" w:rsidRPr="00085B82" w:rsidRDefault="00085B82" w:rsidP="00085B82">
      <w:pPr>
        <w:spacing w:before="100" w:beforeAutospacing="1" w:after="100" w:afterAutospacing="1"/>
      </w:pPr>
      <w:r w:rsidRPr="00085B82">
        <w:t>Five hundred joint posterior samples were generated from each fitted model. For every posterior draw, the full respondent-level linear predictor was converted to a probability:</w:t>
      </w:r>
    </w:p>
    <w:p w14:paraId="61CF1334" w14:textId="77777777" w:rsidR="00085B82" w:rsidRPr="00085B82" w:rsidRDefault="00085B82" w:rsidP="00085B82">
      <w:proofErr w:type="gramStart"/>
      <w:r w:rsidRPr="00085B82">
        <w:t>\[</w:t>
      </w:r>
      <w:proofErr w:type="gramEnd"/>
      <w:r w:rsidRPr="00085B82">
        <w:t xml:space="preserve"> \hat{p}_</w:t>
      </w:r>
      <w:proofErr w:type="spellStart"/>
      <w:r w:rsidRPr="00085B82">
        <w:t>i</w:t>
      </w:r>
      <w:proofErr w:type="spellEnd"/>
      <w:r w:rsidRPr="00085B82">
        <w:t xml:space="preserve"> = \</w:t>
      </w:r>
      <w:proofErr w:type="spellStart"/>
      <w:r w:rsidRPr="00085B82">
        <w:t>operatorname</w:t>
      </w:r>
      <w:proofErr w:type="spellEnd"/>
      <w:r w:rsidRPr="00085B82">
        <w:t>{logit}</w:t>
      </w:r>
      <w:proofErr w:type="gramStart"/>
      <w:r w:rsidRPr="00085B82">
        <w:t>^{</w:t>
      </w:r>
      <w:proofErr w:type="gramEnd"/>
      <w:r w:rsidRPr="00085B82">
        <w:t>-1} \</w:t>
      </w:r>
      <w:proofErr w:type="gramStart"/>
      <w:r w:rsidRPr="00085B82">
        <w:t xml:space="preserve">left( </w:t>
      </w:r>
      <w:proofErr w:type="spellStart"/>
      <w:r w:rsidRPr="00085B82">
        <w:t>X</w:t>
      </w:r>
      <w:proofErr w:type="gramEnd"/>
      <w:r w:rsidRPr="00085B82">
        <w:t>_i</w:t>
      </w:r>
      <w:proofErr w:type="spellEnd"/>
      <w:r w:rsidRPr="00085B82">
        <w:t>\hat{\beta} + \hat{f}(\</w:t>
      </w:r>
      <w:proofErr w:type="gramStart"/>
      <w:r w:rsidRPr="00085B82">
        <w:t>text{</w:t>
      </w:r>
      <w:proofErr w:type="gramEnd"/>
      <w:r w:rsidRPr="00085B82">
        <w:t>Age}_</w:t>
      </w:r>
      <w:proofErr w:type="spellStart"/>
      <w:r w:rsidRPr="00085B82">
        <w:t>i</w:t>
      </w:r>
      <w:proofErr w:type="spellEnd"/>
      <w:r w:rsidRPr="00085B82">
        <w:t>) + \hat{u}_{\</w:t>
      </w:r>
      <w:proofErr w:type="gramStart"/>
      <w:r w:rsidRPr="00085B82">
        <w:t>text{</w:t>
      </w:r>
      <w:proofErr w:type="gramEnd"/>
      <w:r w:rsidRPr="00085B82">
        <w:t>State}(</w:t>
      </w:r>
      <w:proofErr w:type="spellStart"/>
      <w:r w:rsidRPr="00085B82">
        <w:t>i</w:t>
      </w:r>
      <w:proofErr w:type="spellEnd"/>
      <w:r w:rsidRPr="00085B82">
        <w:t>)} \right) \]</w:t>
      </w:r>
    </w:p>
    <w:p w14:paraId="6020A727" w14:textId="77777777" w:rsidR="00085B82" w:rsidRPr="00085B82" w:rsidRDefault="00085B82" w:rsidP="00085B82">
      <w:pPr>
        <w:spacing w:before="100" w:beforeAutospacing="1" w:after="100" w:afterAutospacing="1"/>
      </w:pPr>
      <w:r w:rsidRPr="00085B82">
        <w:t>Adjusted state prevalence was calculated by aggregating respondent probabilities using the original DHS sampling weights:</w:t>
      </w:r>
    </w:p>
    <w:p w14:paraId="5FB96745" w14:textId="77777777" w:rsidR="00085B82" w:rsidRPr="00085B82" w:rsidRDefault="00085B82" w:rsidP="00085B82">
      <w:proofErr w:type="gramStart"/>
      <w:r w:rsidRPr="00085B82">
        <w:t>\[</w:t>
      </w:r>
      <w:proofErr w:type="gramEnd"/>
      <w:r w:rsidRPr="00085B82">
        <w:t xml:space="preserve"> \hat{P}_r = \</w:t>
      </w:r>
      <w:proofErr w:type="gramStart"/>
      <w:r w:rsidRPr="00085B82">
        <w:t>frac{</w:t>
      </w:r>
      <w:proofErr w:type="gramEnd"/>
      <w:r w:rsidRPr="00085B82">
        <w:t>\sum</w:t>
      </w:r>
      <w:proofErr w:type="gramStart"/>
      <w:r w:rsidRPr="00085B82">
        <w:t>_{</w:t>
      </w:r>
      <w:proofErr w:type="spellStart"/>
      <w:proofErr w:type="gramEnd"/>
      <w:r w:rsidRPr="00085B82">
        <w:t>i</w:t>
      </w:r>
      <w:proofErr w:type="spellEnd"/>
      <w:r w:rsidRPr="00085B82">
        <w:t xml:space="preserve"> \in </w:t>
      </w:r>
      <w:proofErr w:type="gramStart"/>
      <w:r w:rsidRPr="00085B82">
        <w:t>r}</w:t>
      </w:r>
      <w:proofErr w:type="spellStart"/>
      <w:r w:rsidRPr="00085B82">
        <w:t>w</w:t>
      </w:r>
      <w:proofErr w:type="gramEnd"/>
      <w:r w:rsidRPr="00085B82">
        <w:t>_i</w:t>
      </w:r>
      <w:proofErr w:type="spellEnd"/>
      <w:r w:rsidRPr="00085B82">
        <w:t>\hat{p}_</w:t>
      </w:r>
      <w:proofErr w:type="spellStart"/>
      <w:r w:rsidRPr="00085B82">
        <w:t>i</w:t>
      </w:r>
      <w:proofErr w:type="spellEnd"/>
      <w:r w:rsidRPr="00085B82">
        <w:t>} {\sum</w:t>
      </w:r>
      <w:proofErr w:type="gramStart"/>
      <w:r w:rsidRPr="00085B82">
        <w:t>_{</w:t>
      </w:r>
      <w:proofErr w:type="spellStart"/>
      <w:proofErr w:type="gramEnd"/>
      <w:r w:rsidRPr="00085B82">
        <w:t>i</w:t>
      </w:r>
      <w:proofErr w:type="spellEnd"/>
      <w:r w:rsidRPr="00085B82">
        <w:t xml:space="preserve"> \in </w:t>
      </w:r>
      <w:proofErr w:type="gramStart"/>
      <w:r w:rsidRPr="00085B82">
        <w:t>r}</w:t>
      </w:r>
      <w:proofErr w:type="spellStart"/>
      <w:r w:rsidRPr="00085B82">
        <w:t>w</w:t>
      </w:r>
      <w:proofErr w:type="gramEnd"/>
      <w:r w:rsidRPr="00085B82">
        <w:t>_i</w:t>
      </w:r>
      <w:proofErr w:type="spellEnd"/>
      <w:r w:rsidRPr="00085B82">
        <w:t>} \]</w:t>
      </w:r>
    </w:p>
    <w:p w14:paraId="66BBB5AE" w14:textId="77777777" w:rsidR="00085B82" w:rsidRPr="00085B82" w:rsidRDefault="00085B82" w:rsidP="00085B82">
      <w:pPr>
        <w:spacing w:before="100" w:beforeAutospacing="1" w:after="100" w:afterAutospacing="1"/>
      </w:pPr>
      <w:r w:rsidRPr="00085B82">
        <w:t>Posterior means were used as point estimates, while the 2.5th and 97.5th percentiles formed 95% pseudo-posterior intervals.</w:t>
      </w:r>
    </w:p>
    <w:p w14:paraId="4A35B877" w14:textId="77777777" w:rsidR="00085B82" w:rsidRPr="00085B82" w:rsidRDefault="00085B82" w:rsidP="00085B82">
      <w:pPr>
        <w:spacing w:before="100" w:beforeAutospacing="1" w:after="100" w:afterAutospacing="1"/>
      </w:pPr>
      <w:r w:rsidRPr="00085B82">
        <w:t>These estimates represent model-assisted prevalence under each state’s observed survey-weighted covariate composition. They are not prevalence estimates standardized to one common national covariate distribution.</w:t>
      </w:r>
    </w:p>
    <w:p w14:paraId="09F2886C"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11. Residual geographic variation</w:t>
      </w:r>
    </w:p>
    <w:p w14:paraId="38684CE2" w14:textId="77777777" w:rsidR="00085B82" w:rsidRPr="00085B82" w:rsidRDefault="00085B82" w:rsidP="00085B82">
      <w:pPr>
        <w:spacing w:before="100" w:beforeAutospacing="1" w:after="100" w:afterAutospacing="1"/>
      </w:pPr>
      <w:r w:rsidRPr="00085B82">
        <w:t>The BYM2 state effects were extracted after accounting for ethnicity, wealth, education, religion, urban or rural residence and age.</w:t>
      </w:r>
    </w:p>
    <w:p w14:paraId="145A560B" w14:textId="77777777" w:rsidR="00085B82" w:rsidRPr="00085B82" w:rsidRDefault="00085B82" w:rsidP="00085B82">
      <w:pPr>
        <w:spacing w:before="100" w:beforeAutospacing="1" w:after="100" w:afterAutospacing="1"/>
      </w:pPr>
      <w:r w:rsidRPr="00085B82">
        <w:lastRenderedPageBreak/>
        <w:t>The residual maps were interpreted on the log-odds scale:</w:t>
      </w:r>
    </w:p>
    <w:p w14:paraId="68A39299" w14:textId="77777777" w:rsidR="00085B82" w:rsidRPr="00085B82" w:rsidRDefault="00085B82" w:rsidP="00085B82">
      <w:pPr>
        <w:numPr>
          <w:ilvl w:val="0"/>
          <w:numId w:val="10"/>
        </w:numPr>
        <w:spacing w:before="100" w:beforeAutospacing="1" w:after="100" w:afterAutospacing="1"/>
      </w:pPr>
      <w:r w:rsidRPr="00085B82">
        <w:t>Positive residuals indicated higher prevalence than expected from the measured population composition.</w:t>
      </w:r>
    </w:p>
    <w:p w14:paraId="663BF708" w14:textId="77777777" w:rsidR="00085B82" w:rsidRPr="00085B82" w:rsidRDefault="00085B82" w:rsidP="00085B82">
      <w:pPr>
        <w:numPr>
          <w:ilvl w:val="0"/>
          <w:numId w:val="10"/>
        </w:numPr>
        <w:spacing w:before="100" w:beforeAutospacing="1" w:after="100" w:afterAutospacing="1"/>
      </w:pPr>
      <w:r w:rsidRPr="00085B82">
        <w:t>Negative residuals indicated lower prevalence than expected from the measured population composition.</w:t>
      </w:r>
    </w:p>
    <w:p w14:paraId="2580ECFD" w14:textId="77777777" w:rsidR="00085B82" w:rsidRPr="00085B82" w:rsidRDefault="00085B82" w:rsidP="00085B82">
      <w:pPr>
        <w:spacing w:before="100" w:beforeAutospacing="1" w:after="100" w:afterAutospacing="1"/>
      </w:pPr>
      <w:r w:rsidRPr="00085B82">
        <w:t>These residual values were treated as relative geographic indices, not prevalence estimates.</w:t>
      </w:r>
    </w:p>
    <w:p w14:paraId="5E105BC8"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12. Covariate-adjusted birth-cohort maps</w:t>
      </w:r>
    </w:p>
    <w:p w14:paraId="349DF880" w14:textId="77777777" w:rsidR="00085B82" w:rsidRPr="00085B82" w:rsidRDefault="00085B82" w:rsidP="00085B82">
      <w:pPr>
        <w:spacing w:before="100" w:beforeAutospacing="1" w:after="100" w:afterAutospacing="1"/>
      </w:pPr>
      <w:r w:rsidRPr="00085B82">
        <w:t>Respondents were grouped into five-year birth cohorts. For every posterior draw, the full adjusted probabilities were aggregated using DHS weights within each state and birth cohort:</w:t>
      </w:r>
    </w:p>
    <w:p w14:paraId="2B530F1B" w14:textId="77777777" w:rsidR="00085B82" w:rsidRPr="00085B82" w:rsidRDefault="00085B82" w:rsidP="00085B82">
      <w:proofErr w:type="gramStart"/>
      <w:r w:rsidRPr="00085B82">
        <w:t>\[</w:t>
      </w:r>
      <w:proofErr w:type="gramEnd"/>
      <w:r w:rsidRPr="00085B82">
        <w:t xml:space="preserve"> \hat{P}_{</w:t>
      </w:r>
      <w:proofErr w:type="spellStart"/>
      <w:r w:rsidRPr="00085B82">
        <w:t>rc</w:t>
      </w:r>
      <w:proofErr w:type="spellEnd"/>
      <w:r w:rsidRPr="00085B82">
        <w:t>} = \</w:t>
      </w:r>
      <w:proofErr w:type="gramStart"/>
      <w:r w:rsidRPr="00085B82">
        <w:t>frac{</w:t>
      </w:r>
      <w:proofErr w:type="gramEnd"/>
      <w:r w:rsidRPr="00085B82">
        <w:t>\sum</w:t>
      </w:r>
      <w:proofErr w:type="gramStart"/>
      <w:r w:rsidRPr="00085B82">
        <w:t>_{</w:t>
      </w:r>
      <w:proofErr w:type="spellStart"/>
      <w:proofErr w:type="gramEnd"/>
      <w:r w:rsidRPr="00085B82">
        <w:t>i</w:t>
      </w:r>
      <w:proofErr w:type="spellEnd"/>
      <w:r w:rsidRPr="00085B82">
        <w:t xml:space="preserve"> \in(</w:t>
      </w:r>
      <w:proofErr w:type="spellStart"/>
      <w:proofErr w:type="gramStart"/>
      <w:r w:rsidRPr="00085B82">
        <w:t>r,c</w:t>
      </w:r>
      <w:proofErr w:type="spellEnd"/>
      <w:r w:rsidRPr="00085B82">
        <w:t>)}</w:t>
      </w:r>
      <w:proofErr w:type="spellStart"/>
      <w:r w:rsidRPr="00085B82">
        <w:t>w</w:t>
      </w:r>
      <w:proofErr w:type="gramEnd"/>
      <w:r w:rsidRPr="00085B82">
        <w:t>_i</w:t>
      </w:r>
      <w:proofErr w:type="spellEnd"/>
      <w:r w:rsidRPr="00085B82">
        <w:t>\hat{p}_</w:t>
      </w:r>
      <w:proofErr w:type="spellStart"/>
      <w:r w:rsidRPr="00085B82">
        <w:t>i</w:t>
      </w:r>
      <w:proofErr w:type="spellEnd"/>
      <w:r w:rsidRPr="00085B82">
        <w:t>} {\sum</w:t>
      </w:r>
      <w:proofErr w:type="gramStart"/>
      <w:r w:rsidRPr="00085B82">
        <w:t>_{</w:t>
      </w:r>
      <w:proofErr w:type="spellStart"/>
      <w:proofErr w:type="gramEnd"/>
      <w:r w:rsidRPr="00085B82">
        <w:t>i</w:t>
      </w:r>
      <w:proofErr w:type="spellEnd"/>
      <w:r w:rsidRPr="00085B82">
        <w:t xml:space="preserve"> \in(</w:t>
      </w:r>
      <w:proofErr w:type="spellStart"/>
      <w:proofErr w:type="gramStart"/>
      <w:r w:rsidRPr="00085B82">
        <w:t>r,c</w:t>
      </w:r>
      <w:proofErr w:type="spellEnd"/>
      <w:r w:rsidRPr="00085B82">
        <w:t>)}</w:t>
      </w:r>
      <w:proofErr w:type="spellStart"/>
      <w:r w:rsidRPr="00085B82">
        <w:t>w</w:t>
      </w:r>
      <w:proofErr w:type="gramEnd"/>
      <w:r w:rsidRPr="00085B82">
        <w:t>_i</w:t>
      </w:r>
      <w:proofErr w:type="spellEnd"/>
      <w:r w:rsidRPr="00085B82">
        <w:t>} \]</w:t>
      </w:r>
    </w:p>
    <w:p w14:paraId="2C775906" w14:textId="77777777" w:rsidR="00085B82" w:rsidRPr="00085B82" w:rsidRDefault="00085B82" w:rsidP="00085B82">
      <w:pPr>
        <w:spacing w:before="100" w:beforeAutospacing="1" w:after="100" w:afterAutospacing="1"/>
      </w:pPr>
      <w:r w:rsidRPr="00085B82">
        <w:t>where \(r\) represented state and \(c\) represented birth cohort.</w:t>
      </w:r>
    </w:p>
    <w:p w14:paraId="799F0954" w14:textId="77777777" w:rsidR="00085B82" w:rsidRPr="00085B82" w:rsidRDefault="00085B82" w:rsidP="00085B82">
      <w:pPr>
        <w:spacing w:before="100" w:beforeAutospacing="1" w:after="100" w:afterAutospacing="1"/>
      </w:pPr>
      <w:r w:rsidRPr="00085B82">
        <w:t>State–cohort cells containing fewer than 10 respondents were suppressed because their composition and prevalence estimates were considered too unstable for reporting. Suppressed cells appeared as blank polygons rather than zero-prevalence areas.</w:t>
      </w:r>
    </w:p>
    <w:p w14:paraId="6535C6A9" w14:textId="77777777" w:rsidR="00085B82" w:rsidRPr="00085B82" w:rsidRDefault="00085B82" w:rsidP="00085B82">
      <w:pPr>
        <w:spacing w:before="100" w:beforeAutospacing="1" w:after="100" w:afterAutospacing="1"/>
      </w:pPr>
      <w:r w:rsidRPr="00085B82">
        <w:t>The women’s 1970–1974 interval contained only women born in 1974. It was therefore an incomplete five-year cohort and was excluded from the principal national trend.</w:t>
      </w:r>
    </w:p>
    <w:p w14:paraId="5B1337DB"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13. Covariate-adjusted national cohort trends</w:t>
      </w:r>
    </w:p>
    <w:p w14:paraId="0B52AD12" w14:textId="77777777" w:rsidR="00085B82" w:rsidRPr="00085B82" w:rsidRDefault="00085B82" w:rsidP="00085B82">
      <w:pPr>
        <w:spacing w:before="100" w:beforeAutospacing="1" w:after="100" w:afterAutospacing="1"/>
      </w:pPr>
      <w:r w:rsidRPr="00085B82">
        <w:t>National adjusted prevalence was calculated separately within each birth cohort by aggregating respondent-level posterior probabilities using DHS weights.</w:t>
      </w:r>
    </w:p>
    <w:p w14:paraId="7DC63D37" w14:textId="77777777" w:rsidR="00085B82" w:rsidRPr="00085B82" w:rsidRDefault="00085B82" w:rsidP="00085B82">
      <w:pPr>
        <w:spacing w:before="100" w:beforeAutospacing="1" w:after="100" w:afterAutospacing="1"/>
      </w:pPr>
      <w:r w:rsidRPr="00085B82">
        <w:t>Women and daughters were presented in separate panels because they represented different samples, reporting mechanisms and age ranges. They were not interpreted as one continuous time series.</w:t>
      </w:r>
    </w:p>
    <w:p w14:paraId="3927513B" w14:textId="77777777" w:rsidR="00085B82" w:rsidRPr="00085B82" w:rsidRDefault="00085B82" w:rsidP="00085B82">
      <w:pPr>
        <w:spacing w:before="100" w:beforeAutospacing="1" w:after="100" w:afterAutospacing="1"/>
      </w:pPr>
      <w:r w:rsidRPr="00085B82">
        <w:t>Each trend figure presented:</w:t>
      </w:r>
    </w:p>
    <w:p w14:paraId="34640DA4" w14:textId="77777777" w:rsidR="00085B82" w:rsidRPr="00085B82" w:rsidRDefault="00085B82" w:rsidP="00085B82">
      <w:pPr>
        <w:numPr>
          <w:ilvl w:val="0"/>
          <w:numId w:val="11"/>
        </w:numPr>
        <w:spacing w:before="100" w:beforeAutospacing="1" w:after="100" w:afterAutospacing="1"/>
      </w:pPr>
      <w:r w:rsidRPr="00085B82">
        <w:t>Adjusted cohort prevalence</w:t>
      </w:r>
    </w:p>
    <w:p w14:paraId="7D6C11CF" w14:textId="77777777" w:rsidR="00085B82" w:rsidRPr="00085B82" w:rsidRDefault="00085B82" w:rsidP="00085B82">
      <w:pPr>
        <w:numPr>
          <w:ilvl w:val="0"/>
          <w:numId w:val="11"/>
        </w:numPr>
        <w:spacing w:before="100" w:beforeAutospacing="1" w:after="100" w:afterAutospacing="1"/>
      </w:pPr>
      <w:r w:rsidRPr="00085B82">
        <w:t>A 95% pseudo-posterior interval</w:t>
      </w:r>
    </w:p>
    <w:p w14:paraId="35F42C1C" w14:textId="77777777" w:rsidR="00085B82" w:rsidRPr="00085B82" w:rsidRDefault="00085B82" w:rsidP="00085B82">
      <w:pPr>
        <w:numPr>
          <w:ilvl w:val="0"/>
          <w:numId w:val="11"/>
        </w:numPr>
        <w:spacing w:before="100" w:beforeAutospacing="1" w:after="100" w:afterAutospacing="1"/>
      </w:pPr>
      <w:r w:rsidRPr="00085B82">
        <w:t>The prevalence percentage for every cohort</w:t>
      </w:r>
    </w:p>
    <w:p w14:paraId="734CF606" w14:textId="77777777" w:rsidR="00085B82" w:rsidRPr="00085B82" w:rsidRDefault="00085B82" w:rsidP="00085B82">
      <w:pPr>
        <w:numPr>
          <w:ilvl w:val="0"/>
          <w:numId w:val="11"/>
        </w:numPr>
        <w:spacing w:before="100" w:beforeAutospacing="1" w:after="100" w:afterAutospacing="1"/>
      </w:pPr>
      <w:r w:rsidRPr="00085B82">
        <w:t>A separate adjusted national-average reference line for women and daughters</w:t>
      </w:r>
    </w:p>
    <w:p w14:paraId="6A874BCC" w14:textId="77777777" w:rsidR="00085B82" w:rsidRPr="00085B82" w:rsidRDefault="00085B82" w:rsidP="00085B82">
      <w:pPr>
        <w:spacing w:before="100" w:beforeAutospacing="1" w:after="100" w:afterAutospacing="1"/>
      </w:pPr>
      <w:r w:rsidRPr="00085B82">
        <w:t>The national average was calculated as the weighted mean of adjusted cohort prevalence using the summed DHS weight in each cohort.</w:t>
      </w:r>
    </w:p>
    <w:p w14:paraId="6373C878"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14. Findings and results</w:t>
      </w:r>
    </w:p>
    <w:p w14:paraId="6BDE8AFE"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lastRenderedPageBreak/>
        <w:t>14.1 National prevalence</w:t>
      </w:r>
    </w:p>
    <w:p w14:paraId="53872596" w14:textId="77777777" w:rsidR="00085B82" w:rsidRPr="00085B82" w:rsidRDefault="00085B82" w:rsidP="00085B82">
      <w:pPr>
        <w:spacing w:before="100" w:beforeAutospacing="1" w:after="100" w:afterAutospacing="1"/>
      </w:pPr>
      <w:r w:rsidRPr="00085B82">
        <w:t>The adjusted national prevalence was approximately:</w:t>
      </w:r>
    </w:p>
    <w:p w14:paraId="02B9DA51" w14:textId="77777777" w:rsidR="00085B82" w:rsidRPr="00085B82" w:rsidRDefault="00085B82" w:rsidP="00085B82">
      <w:pPr>
        <w:numPr>
          <w:ilvl w:val="0"/>
          <w:numId w:val="12"/>
        </w:numPr>
        <w:spacing w:before="100" w:beforeAutospacing="1" w:after="100" w:afterAutospacing="1"/>
      </w:pPr>
      <w:r w:rsidRPr="00085B82">
        <w:rPr>
          <w:b/>
          <w:bCs/>
        </w:rPr>
        <w:t>13.8% among women aged 15–49 years</w:t>
      </w:r>
    </w:p>
    <w:p w14:paraId="2EF8FB57" w14:textId="77777777" w:rsidR="00085B82" w:rsidRPr="00085B82" w:rsidRDefault="00085B82" w:rsidP="00085B82">
      <w:pPr>
        <w:numPr>
          <w:ilvl w:val="0"/>
          <w:numId w:val="12"/>
        </w:numPr>
        <w:spacing w:before="100" w:beforeAutospacing="1" w:after="100" w:afterAutospacing="1"/>
      </w:pPr>
      <w:r w:rsidRPr="00085B82">
        <w:rPr>
          <w:b/>
          <w:bCs/>
        </w:rPr>
        <w:t>14.3% among girls aged 0–14 years</w:t>
      </w:r>
    </w:p>
    <w:p w14:paraId="20CF0F01" w14:textId="77777777" w:rsidR="00085B82" w:rsidRPr="00085B82" w:rsidRDefault="00085B82" w:rsidP="00085B82">
      <w:pPr>
        <w:spacing w:before="100" w:beforeAutospacing="1" w:after="100" w:afterAutospacing="1"/>
      </w:pPr>
      <w:r w:rsidRPr="00085B82">
        <w:t>These were close to the design-based estimates of 13.9% and 14.1%, respectively. The similarity provided evidence that the adjusted models remained broadly calibrated to the survey totals.</w:t>
      </w:r>
    </w:p>
    <w:p w14:paraId="427F4E0A"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14.2 Subnational prevalence</w:t>
      </w:r>
    </w:p>
    <w:p w14:paraId="28E1A3B6" w14:textId="77777777" w:rsidR="00085B82" w:rsidRPr="00085B82" w:rsidRDefault="00085B82" w:rsidP="00085B82">
      <w:pPr>
        <w:spacing w:before="100" w:beforeAutospacing="1" w:after="100" w:afterAutospacing="1"/>
      </w:pPr>
      <w:r w:rsidRPr="00085B82">
        <w:t>Substantial geographic variation remained after adjustment.</w:t>
      </w:r>
    </w:p>
    <w:p w14:paraId="73523AEE" w14:textId="77777777" w:rsidR="00085B82" w:rsidRPr="00085B82" w:rsidRDefault="00085B82" w:rsidP="00085B82">
      <w:pPr>
        <w:spacing w:before="100" w:beforeAutospacing="1" w:after="100" w:afterAutospacing="1"/>
      </w:pPr>
      <w:r w:rsidRPr="00085B82">
        <w:t>Among women, adjusted state prevalence ranged from approximately 0.7% to 49.6%. States with the highest adjusted estimates included:</w:t>
      </w:r>
    </w:p>
    <w:p w14:paraId="34ABB70B" w14:textId="77777777" w:rsidR="00085B82" w:rsidRPr="00085B82" w:rsidRDefault="00085B82" w:rsidP="00085B82">
      <w:pPr>
        <w:numPr>
          <w:ilvl w:val="0"/>
          <w:numId w:val="13"/>
        </w:numPr>
        <w:spacing w:before="100" w:beforeAutospacing="1" w:after="100" w:afterAutospacing="1"/>
      </w:pPr>
      <w:r w:rsidRPr="00085B82">
        <w:t>Katsina: approximately 49.6%</w:t>
      </w:r>
    </w:p>
    <w:p w14:paraId="3A9A0121" w14:textId="77777777" w:rsidR="00085B82" w:rsidRPr="00085B82" w:rsidRDefault="00085B82" w:rsidP="00085B82">
      <w:pPr>
        <w:numPr>
          <w:ilvl w:val="0"/>
          <w:numId w:val="13"/>
        </w:numPr>
        <w:spacing w:before="100" w:beforeAutospacing="1" w:after="100" w:afterAutospacing="1"/>
      </w:pPr>
      <w:r w:rsidRPr="00085B82">
        <w:t>Ekiti: approximately 47.2%</w:t>
      </w:r>
    </w:p>
    <w:p w14:paraId="412A2A8D" w14:textId="77777777" w:rsidR="00085B82" w:rsidRPr="00085B82" w:rsidRDefault="00085B82" w:rsidP="00085B82">
      <w:pPr>
        <w:numPr>
          <w:ilvl w:val="0"/>
          <w:numId w:val="13"/>
        </w:numPr>
        <w:spacing w:before="100" w:beforeAutospacing="1" w:after="100" w:afterAutospacing="1"/>
      </w:pPr>
      <w:r w:rsidRPr="00085B82">
        <w:t>Ebonyi: approximately 38.4%</w:t>
      </w:r>
    </w:p>
    <w:p w14:paraId="09AF3BB7" w14:textId="77777777" w:rsidR="00085B82" w:rsidRPr="00085B82" w:rsidRDefault="00085B82" w:rsidP="00085B82">
      <w:pPr>
        <w:numPr>
          <w:ilvl w:val="0"/>
          <w:numId w:val="13"/>
        </w:numPr>
        <w:spacing w:before="100" w:beforeAutospacing="1" w:after="100" w:afterAutospacing="1"/>
      </w:pPr>
      <w:r w:rsidRPr="00085B82">
        <w:t>Imo: approximately 34.1%</w:t>
      </w:r>
    </w:p>
    <w:p w14:paraId="2292A2D0" w14:textId="77777777" w:rsidR="00085B82" w:rsidRPr="00085B82" w:rsidRDefault="00085B82" w:rsidP="00085B82">
      <w:pPr>
        <w:numPr>
          <w:ilvl w:val="0"/>
          <w:numId w:val="13"/>
        </w:numPr>
        <w:spacing w:before="100" w:beforeAutospacing="1" w:after="100" w:afterAutospacing="1"/>
      </w:pPr>
      <w:r w:rsidRPr="00085B82">
        <w:t>Edo: approximately 28.4%</w:t>
      </w:r>
    </w:p>
    <w:p w14:paraId="6E7CDC67" w14:textId="77777777" w:rsidR="00085B82" w:rsidRPr="00085B82" w:rsidRDefault="00085B82" w:rsidP="00085B82">
      <w:pPr>
        <w:spacing w:before="100" w:beforeAutospacing="1" w:after="100" w:afterAutospacing="1"/>
      </w:pPr>
      <w:r w:rsidRPr="00085B82">
        <w:t>Among daughters, adjusted state prevalence ranged from approximately 0.6% to 55.7%. The highest adjusted estimates included:</w:t>
      </w:r>
    </w:p>
    <w:p w14:paraId="47204943" w14:textId="77777777" w:rsidR="00085B82" w:rsidRPr="00085B82" w:rsidRDefault="00085B82" w:rsidP="00085B82">
      <w:pPr>
        <w:numPr>
          <w:ilvl w:val="0"/>
          <w:numId w:val="14"/>
        </w:numPr>
        <w:spacing w:before="100" w:beforeAutospacing="1" w:after="100" w:afterAutospacing="1"/>
      </w:pPr>
      <w:r w:rsidRPr="00085B82">
        <w:t>Katsina: approximately 55.7%</w:t>
      </w:r>
    </w:p>
    <w:p w14:paraId="3CA7741E" w14:textId="77777777" w:rsidR="00085B82" w:rsidRPr="00085B82" w:rsidRDefault="00085B82" w:rsidP="00085B82">
      <w:pPr>
        <w:numPr>
          <w:ilvl w:val="0"/>
          <w:numId w:val="14"/>
        </w:numPr>
        <w:spacing w:before="100" w:beforeAutospacing="1" w:after="100" w:afterAutospacing="1"/>
      </w:pPr>
      <w:r w:rsidRPr="00085B82">
        <w:t>Jigawa: approximately 51.2%</w:t>
      </w:r>
    </w:p>
    <w:p w14:paraId="7F1E887F" w14:textId="77777777" w:rsidR="00085B82" w:rsidRPr="00085B82" w:rsidRDefault="00085B82" w:rsidP="00085B82">
      <w:pPr>
        <w:numPr>
          <w:ilvl w:val="0"/>
          <w:numId w:val="14"/>
        </w:numPr>
        <w:spacing w:before="100" w:beforeAutospacing="1" w:after="100" w:afterAutospacing="1"/>
      </w:pPr>
      <w:r w:rsidRPr="00085B82">
        <w:t>Nasarawa: approximately 25.6%</w:t>
      </w:r>
    </w:p>
    <w:p w14:paraId="51677C07" w14:textId="77777777" w:rsidR="00085B82" w:rsidRPr="00085B82" w:rsidRDefault="00085B82" w:rsidP="00085B82">
      <w:pPr>
        <w:numPr>
          <w:ilvl w:val="0"/>
          <w:numId w:val="14"/>
        </w:numPr>
        <w:spacing w:before="100" w:beforeAutospacing="1" w:after="100" w:afterAutospacing="1"/>
      </w:pPr>
      <w:r w:rsidRPr="00085B82">
        <w:t>Kaduna: approximately 23.9%</w:t>
      </w:r>
    </w:p>
    <w:p w14:paraId="0A0DF72E" w14:textId="77777777" w:rsidR="00085B82" w:rsidRPr="00085B82" w:rsidRDefault="00085B82" w:rsidP="00085B82">
      <w:pPr>
        <w:numPr>
          <w:ilvl w:val="0"/>
          <w:numId w:val="14"/>
        </w:numPr>
        <w:spacing w:before="100" w:beforeAutospacing="1" w:after="100" w:afterAutospacing="1"/>
      </w:pPr>
      <w:r w:rsidRPr="00085B82">
        <w:t>Kano: approximately 19.8%</w:t>
      </w:r>
    </w:p>
    <w:p w14:paraId="54D062FF" w14:textId="77777777" w:rsidR="00085B82" w:rsidRPr="00085B82" w:rsidRDefault="00085B82" w:rsidP="00085B82">
      <w:pPr>
        <w:spacing w:before="100" w:beforeAutospacing="1" w:after="100" w:afterAutospacing="1"/>
      </w:pPr>
      <w:r w:rsidRPr="00085B82">
        <w:t>The results indicated persistent geographic inequality in FGM prevalence, even after demographic and socioeconomic characteristics were included.</w:t>
      </w:r>
    </w:p>
    <w:p w14:paraId="5972AED2"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14.3 Birth-cohort patterns</w:t>
      </w:r>
    </w:p>
    <w:p w14:paraId="1FA9947E" w14:textId="77777777" w:rsidR="00085B82" w:rsidRPr="00085B82" w:rsidRDefault="00085B82" w:rsidP="00085B82">
      <w:pPr>
        <w:spacing w:before="100" w:beforeAutospacing="1" w:after="100" w:afterAutospacing="1"/>
      </w:pPr>
      <w:r w:rsidRPr="00085B82">
        <w:t>Adjusted prevalence among women showed a marked decline across birth cohorts: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175"/>
      </w:tblGrid>
      <w:tr w:rsidR="00085B82" w:rsidRPr="00085B82" w14:paraId="46395DB3" w14:textId="77777777">
        <w:trPr>
          <w:tblHeader/>
          <w:tblCellSpacing w:w="15" w:type="dxa"/>
        </w:trPr>
        <w:tc>
          <w:tcPr>
            <w:tcW w:w="0" w:type="auto"/>
            <w:vAlign w:val="center"/>
            <w:hideMark/>
          </w:tcPr>
          <w:p w14:paraId="47B27652" w14:textId="77777777" w:rsidR="00085B82" w:rsidRPr="00085B82" w:rsidRDefault="00085B82" w:rsidP="00085B82">
            <w:pPr>
              <w:jc w:val="center"/>
              <w:rPr>
                <w:b/>
                <w:bCs/>
              </w:rPr>
            </w:pPr>
            <w:r w:rsidRPr="00085B82">
              <w:rPr>
                <w:b/>
                <w:bCs/>
              </w:rPr>
              <w:t>Women’s birth cohort</w:t>
            </w:r>
          </w:p>
        </w:tc>
        <w:tc>
          <w:tcPr>
            <w:tcW w:w="0" w:type="auto"/>
            <w:vAlign w:val="center"/>
            <w:hideMark/>
          </w:tcPr>
          <w:p w14:paraId="24720BBF" w14:textId="77777777" w:rsidR="00085B82" w:rsidRPr="00085B82" w:rsidRDefault="00085B82" w:rsidP="00085B82">
            <w:pPr>
              <w:jc w:val="center"/>
              <w:rPr>
                <w:b/>
                <w:bCs/>
              </w:rPr>
            </w:pPr>
            <w:r w:rsidRPr="00085B82">
              <w:rPr>
                <w:b/>
                <w:bCs/>
              </w:rPr>
              <w:t>Adjusted prevalence</w:t>
            </w:r>
          </w:p>
        </w:tc>
      </w:tr>
      <w:tr w:rsidR="00085B82" w:rsidRPr="00085B82" w14:paraId="5B80FCF4" w14:textId="77777777">
        <w:trPr>
          <w:tblCellSpacing w:w="15" w:type="dxa"/>
        </w:trPr>
        <w:tc>
          <w:tcPr>
            <w:tcW w:w="0" w:type="auto"/>
            <w:vAlign w:val="center"/>
            <w:hideMark/>
          </w:tcPr>
          <w:p w14:paraId="21CC8887" w14:textId="77777777" w:rsidR="00085B82" w:rsidRPr="00085B82" w:rsidRDefault="00085B82" w:rsidP="00085B82">
            <w:r w:rsidRPr="00085B82">
              <w:t>1975–1979</w:t>
            </w:r>
          </w:p>
        </w:tc>
        <w:tc>
          <w:tcPr>
            <w:tcW w:w="0" w:type="auto"/>
            <w:vAlign w:val="center"/>
            <w:hideMark/>
          </w:tcPr>
          <w:p w14:paraId="3E9E571E" w14:textId="77777777" w:rsidR="00085B82" w:rsidRPr="00085B82" w:rsidRDefault="00085B82" w:rsidP="00085B82">
            <w:r w:rsidRPr="00085B82">
              <w:t>23.4%</w:t>
            </w:r>
          </w:p>
        </w:tc>
      </w:tr>
      <w:tr w:rsidR="00085B82" w:rsidRPr="00085B82" w14:paraId="348F2F3C" w14:textId="77777777">
        <w:trPr>
          <w:tblCellSpacing w:w="15" w:type="dxa"/>
        </w:trPr>
        <w:tc>
          <w:tcPr>
            <w:tcW w:w="0" w:type="auto"/>
            <w:vAlign w:val="center"/>
            <w:hideMark/>
          </w:tcPr>
          <w:p w14:paraId="7E74FB6C" w14:textId="77777777" w:rsidR="00085B82" w:rsidRPr="00085B82" w:rsidRDefault="00085B82" w:rsidP="00085B82">
            <w:r w:rsidRPr="00085B82">
              <w:t>1980–1984</w:t>
            </w:r>
          </w:p>
        </w:tc>
        <w:tc>
          <w:tcPr>
            <w:tcW w:w="0" w:type="auto"/>
            <w:vAlign w:val="center"/>
            <w:hideMark/>
          </w:tcPr>
          <w:p w14:paraId="68DE55D1" w14:textId="77777777" w:rsidR="00085B82" w:rsidRPr="00085B82" w:rsidRDefault="00085B82" w:rsidP="00085B82">
            <w:r w:rsidRPr="00085B82">
              <w:t>20.7%</w:t>
            </w:r>
          </w:p>
        </w:tc>
      </w:tr>
      <w:tr w:rsidR="00085B82" w:rsidRPr="00085B82" w14:paraId="419DB8C7" w14:textId="77777777">
        <w:trPr>
          <w:tblCellSpacing w:w="15" w:type="dxa"/>
        </w:trPr>
        <w:tc>
          <w:tcPr>
            <w:tcW w:w="0" w:type="auto"/>
            <w:vAlign w:val="center"/>
            <w:hideMark/>
          </w:tcPr>
          <w:p w14:paraId="7413D162" w14:textId="77777777" w:rsidR="00085B82" w:rsidRPr="00085B82" w:rsidRDefault="00085B82" w:rsidP="00085B82">
            <w:r w:rsidRPr="00085B82">
              <w:t>1985–1989</w:t>
            </w:r>
          </w:p>
        </w:tc>
        <w:tc>
          <w:tcPr>
            <w:tcW w:w="0" w:type="auto"/>
            <w:vAlign w:val="center"/>
            <w:hideMark/>
          </w:tcPr>
          <w:p w14:paraId="37548C78" w14:textId="77777777" w:rsidR="00085B82" w:rsidRPr="00085B82" w:rsidRDefault="00085B82" w:rsidP="00085B82">
            <w:r w:rsidRPr="00085B82">
              <w:t>17.7%</w:t>
            </w:r>
          </w:p>
        </w:tc>
      </w:tr>
      <w:tr w:rsidR="00085B82" w:rsidRPr="00085B82" w14:paraId="06941EA5" w14:textId="77777777">
        <w:trPr>
          <w:tblCellSpacing w:w="15" w:type="dxa"/>
        </w:trPr>
        <w:tc>
          <w:tcPr>
            <w:tcW w:w="0" w:type="auto"/>
            <w:vAlign w:val="center"/>
            <w:hideMark/>
          </w:tcPr>
          <w:p w14:paraId="5AC67452" w14:textId="77777777" w:rsidR="00085B82" w:rsidRPr="00085B82" w:rsidRDefault="00085B82" w:rsidP="00085B82">
            <w:r w:rsidRPr="00085B82">
              <w:t>1990–1994</w:t>
            </w:r>
          </w:p>
        </w:tc>
        <w:tc>
          <w:tcPr>
            <w:tcW w:w="0" w:type="auto"/>
            <w:vAlign w:val="center"/>
            <w:hideMark/>
          </w:tcPr>
          <w:p w14:paraId="0A695951" w14:textId="77777777" w:rsidR="00085B82" w:rsidRPr="00085B82" w:rsidRDefault="00085B82" w:rsidP="00085B82">
            <w:r w:rsidRPr="00085B82">
              <w:t>15.0%</w:t>
            </w:r>
          </w:p>
        </w:tc>
      </w:tr>
      <w:tr w:rsidR="00085B82" w:rsidRPr="00085B82" w14:paraId="75001B38" w14:textId="77777777">
        <w:trPr>
          <w:tblCellSpacing w:w="15" w:type="dxa"/>
        </w:trPr>
        <w:tc>
          <w:tcPr>
            <w:tcW w:w="0" w:type="auto"/>
            <w:vAlign w:val="center"/>
            <w:hideMark/>
          </w:tcPr>
          <w:p w14:paraId="7B68457A" w14:textId="77777777" w:rsidR="00085B82" w:rsidRPr="00085B82" w:rsidRDefault="00085B82" w:rsidP="00085B82">
            <w:r w:rsidRPr="00085B82">
              <w:t>1995–1999</w:t>
            </w:r>
          </w:p>
        </w:tc>
        <w:tc>
          <w:tcPr>
            <w:tcW w:w="0" w:type="auto"/>
            <w:vAlign w:val="center"/>
            <w:hideMark/>
          </w:tcPr>
          <w:p w14:paraId="6A3E5998" w14:textId="77777777" w:rsidR="00085B82" w:rsidRPr="00085B82" w:rsidRDefault="00085B82" w:rsidP="00085B82">
            <w:r w:rsidRPr="00085B82">
              <w:t>11.9%</w:t>
            </w:r>
          </w:p>
        </w:tc>
      </w:tr>
      <w:tr w:rsidR="00085B82" w:rsidRPr="00085B82" w14:paraId="7DA12676" w14:textId="77777777">
        <w:trPr>
          <w:tblCellSpacing w:w="15" w:type="dxa"/>
        </w:trPr>
        <w:tc>
          <w:tcPr>
            <w:tcW w:w="0" w:type="auto"/>
            <w:vAlign w:val="center"/>
            <w:hideMark/>
          </w:tcPr>
          <w:p w14:paraId="20212EFA" w14:textId="77777777" w:rsidR="00085B82" w:rsidRPr="00085B82" w:rsidRDefault="00085B82" w:rsidP="00085B82">
            <w:r w:rsidRPr="00085B82">
              <w:lastRenderedPageBreak/>
              <w:t>2000–2004</w:t>
            </w:r>
          </w:p>
        </w:tc>
        <w:tc>
          <w:tcPr>
            <w:tcW w:w="0" w:type="auto"/>
            <w:vAlign w:val="center"/>
            <w:hideMark/>
          </w:tcPr>
          <w:p w14:paraId="3413FB6C" w14:textId="77777777" w:rsidR="00085B82" w:rsidRPr="00085B82" w:rsidRDefault="00085B82" w:rsidP="00085B82">
            <w:r w:rsidRPr="00085B82">
              <w:t>9.4%</w:t>
            </w:r>
          </w:p>
        </w:tc>
      </w:tr>
      <w:tr w:rsidR="00085B82" w:rsidRPr="00085B82" w14:paraId="52C06C31" w14:textId="77777777">
        <w:trPr>
          <w:tblCellSpacing w:w="15" w:type="dxa"/>
        </w:trPr>
        <w:tc>
          <w:tcPr>
            <w:tcW w:w="0" w:type="auto"/>
            <w:vAlign w:val="center"/>
            <w:hideMark/>
          </w:tcPr>
          <w:p w14:paraId="2A4D80F8" w14:textId="77777777" w:rsidR="00085B82" w:rsidRPr="00085B82" w:rsidRDefault="00085B82" w:rsidP="00085B82">
            <w:r w:rsidRPr="00085B82">
              <w:t>2005–2009</w:t>
            </w:r>
          </w:p>
        </w:tc>
        <w:tc>
          <w:tcPr>
            <w:tcW w:w="0" w:type="auto"/>
            <w:vAlign w:val="center"/>
            <w:hideMark/>
          </w:tcPr>
          <w:p w14:paraId="7A59668F" w14:textId="77777777" w:rsidR="00085B82" w:rsidRPr="00085B82" w:rsidRDefault="00085B82" w:rsidP="00085B82">
            <w:r w:rsidRPr="00085B82">
              <w:t>7.7%</w:t>
            </w:r>
          </w:p>
        </w:tc>
      </w:tr>
    </w:tbl>
    <w:p w14:paraId="3B037163" w14:textId="77777777" w:rsidR="00085B82" w:rsidRPr="00085B82" w:rsidRDefault="00085B82" w:rsidP="00085B82">
      <w:pPr>
        <w:spacing w:before="100" w:beforeAutospacing="1" w:after="100" w:afterAutospacing="1"/>
      </w:pPr>
      <w:r w:rsidRPr="00085B82">
        <w:t>Among daughters, adjusted prevalence was comparatively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2175"/>
      </w:tblGrid>
      <w:tr w:rsidR="00085B82" w:rsidRPr="00085B82" w14:paraId="5DFA29F1" w14:textId="77777777">
        <w:trPr>
          <w:tblHeader/>
          <w:tblCellSpacing w:w="15" w:type="dxa"/>
        </w:trPr>
        <w:tc>
          <w:tcPr>
            <w:tcW w:w="0" w:type="auto"/>
            <w:vAlign w:val="center"/>
            <w:hideMark/>
          </w:tcPr>
          <w:p w14:paraId="0E21B7C9" w14:textId="77777777" w:rsidR="00085B82" w:rsidRPr="00085B82" w:rsidRDefault="00085B82" w:rsidP="00085B82">
            <w:pPr>
              <w:jc w:val="center"/>
              <w:rPr>
                <w:b/>
                <w:bCs/>
              </w:rPr>
            </w:pPr>
            <w:r w:rsidRPr="00085B82">
              <w:rPr>
                <w:b/>
                <w:bCs/>
              </w:rPr>
              <w:t>Daughters’ birth cohort</w:t>
            </w:r>
          </w:p>
        </w:tc>
        <w:tc>
          <w:tcPr>
            <w:tcW w:w="0" w:type="auto"/>
            <w:vAlign w:val="center"/>
            <w:hideMark/>
          </w:tcPr>
          <w:p w14:paraId="3E94652C" w14:textId="77777777" w:rsidR="00085B82" w:rsidRPr="00085B82" w:rsidRDefault="00085B82" w:rsidP="00085B82">
            <w:pPr>
              <w:jc w:val="center"/>
              <w:rPr>
                <w:b/>
                <w:bCs/>
              </w:rPr>
            </w:pPr>
            <w:r w:rsidRPr="00085B82">
              <w:rPr>
                <w:b/>
                <w:bCs/>
              </w:rPr>
              <w:t>Adjusted prevalence</w:t>
            </w:r>
          </w:p>
        </w:tc>
      </w:tr>
      <w:tr w:rsidR="00085B82" w:rsidRPr="00085B82" w14:paraId="687F84FB" w14:textId="77777777">
        <w:trPr>
          <w:tblCellSpacing w:w="15" w:type="dxa"/>
        </w:trPr>
        <w:tc>
          <w:tcPr>
            <w:tcW w:w="0" w:type="auto"/>
            <w:vAlign w:val="center"/>
            <w:hideMark/>
          </w:tcPr>
          <w:p w14:paraId="6127DE09" w14:textId="77777777" w:rsidR="00085B82" w:rsidRPr="00085B82" w:rsidRDefault="00085B82" w:rsidP="00085B82">
            <w:r w:rsidRPr="00085B82">
              <w:t>2005–2009</w:t>
            </w:r>
          </w:p>
        </w:tc>
        <w:tc>
          <w:tcPr>
            <w:tcW w:w="0" w:type="auto"/>
            <w:vAlign w:val="center"/>
            <w:hideMark/>
          </w:tcPr>
          <w:p w14:paraId="517DF727" w14:textId="77777777" w:rsidR="00085B82" w:rsidRPr="00085B82" w:rsidRDefault="00085B82" w:rsidP="00085B82">
            <w:r w:rsidRPr="00085B82">
              <w:t>14.4%</w:t>
            </w:r>
          </w:p>
        </w:tc>
      </w:tr>
      <w:tr w:rsidR="00085B82" w:rsidRPr="00085B82" w14:paraId="7DDE2D99" w14:textId="77777777">
        <w:trPr>
          <w:tblCellSpacing w:w="15" w:type="dxa"/>
        </w:trPr>
        <w:tc>
          <w:tcPr>
            <w:tcW w:w="0" w:type="auto"/>
            <w:vAlign w:val="center"/>
            <w:hideMark/>
          </w:tcPr>
          <w:p w14:paraId="7F1D8E03" w14:textId="77777777" w:rsidR="00085B82" w:rsidRPr="00085B82" w:rsidRDefault="00085B82" w:rsidP="00085B82">
            <w:r w:rsidRPr="00085B82">
              <w:t>2010–2014</w:t>
            </w:r>
          </w:p>
        </w:tc>
        <w:tc>
          <w:tcPr>
            <w:tcW w:w="0" w:type="auto"/>
            <w:vAlign w:val="center"/>
            <w:hideMark/>
          </w:tcPr>
          <w:p w14:paraId="2BDDFA75" w14:textId="77777777" w:rsidR="00085B82" w:rsidRPr="00085B82" w:rsidRDefault="00085B82" w:rsidP="00085B82">
            <w:r w:rsidRPr="00085B82">
              <w:t>14.7%</w:t>
            </w:r>
          </w:p>
        </w:tc>
      </w:tr>
      <w:tr w:rsidR="00085B82" w:rsidRPr="00085B82" w14:paraId="001CCF13" w14:textId="77777777">
        <w:trPr>
          <w:tblCellSpacing w:w="15" w:type="dxa"/>
        </w:trPr>
        <w:tc>
          <w:tcPr>
            <w:tcW w:w="0" w:type="auto"/>
            <w:vAlign w:val="center"/>
            <w:hideMark/>
          </w:tcPr>
          <w:p w14:paraId="4F883147" w14:textId="77777777" w:rsidR="00085B82" w:rsidRPr="00085B82" w:rsidRDefault="00085B82" w:rsidP="00085B82">
            <w:r w:rsidRPr="00085B82">
              <w:t>2015–2019</w:t>
            </w:r>
          </w:p>
        </w:tc>
        <w:tc>
          <w:tcPr>
            <w:tcW w:w="0" w:type="auto"/>
            <w:vAlign w:val="center"/>
            <w:hideMark/>
          </w:tcPr>
          <w:p w14:paraId="36D763CF" w14:textId="77777777" w:rsidR="00085B82" w:rsidRPr="00085B82" w:rsidRDefault="00085B82" w:rsidP="00085B82">
            <w:r w:rsidRPr="00085B82">
              <w:t>14.4%</w:t>
            </w:r>
          </w:p>
        </w:tc>
      </w:tr>
      <w:tr w:rsidR="00085B82" w:rsidRPr="00085B82" w14:paraId="0D7A2554" w14:textId="77777777">
        <w:trPr>
          <w:tblCellSpacing w:w="15" w:type="dxa"/>
        </w:trPr>
        <w:tc>
          <w:tcPr>
            <w:tcW w:w="0" w:type="auto"/>
            <w:vAlign w:val="center"/>
            <w:hideMark/>
          </w:tcPr>
          <w:p w14:paraId="6C40BB54" w14:textId="77777777" w:rsidR="00085B82" w:rsidRPr="00085B82" w:rsidRDefault="00085B82" w:rsidP="00085B82">
            <w:r w:rsidRPr="00085B82">
              <w:t>2020–2024</w:t>
            </w:r>
          </w:p>
        </w:tc>
        <w:tc>
          <w:tcPr>
            <w:tcW w:w="0" w:type="auto"/>
            <w:vAlign w:val="center"/>
            <w:hideMark/>
          </w:tcPr>
          <w:p w14:paraId="0A5F84E6" w14:textId="77777777" w:rsidR="00085B82" w:rsidRPr="00085B82" w:rsidRDefault="00085B82" w:rsidP="00085B82">
            <w:r w:rsidRPr="00085B82">
              <w:t>13.8%</w:t>
            </w:r>
          </w:p>
        </w:tc>
      </w:tr>
    </w:tbl>
    <w:p w14:paraId="21F6BCB8" w14:textId="77777777" w:rsidR="00085B82" w:rsidRPr="00085B82" w:rsidRDefault="00085B82" w:rsidP="00085B82">
      <w:pPr>
        <w:spacing w:before="100" w:beforeAutospacing="1" w:after="100" w:afterAutospacing="1"/>
      </w:pPr>
      <w:r w:rsidRPr="00085B82">
        <w:t>The women’s results were consistent with a generational decline. However, prevalence is cumulative, and younger cohorts have had less time to experience FGM. Consequently, the cohort gradient should not be interpreted as a pure period effect.</w:t>
      </w:r>
    </w:p>
    <w:p w14:paraId="11B290F9" w14:textId="77777777" w:rsidR="00085B82" w:rsidRPr="00085B82" w:rsidRDefault="00085B82" w:rsidP="00085B82">
      <w:pPr>
        <w:spacing w:before="100" w:beforeAutospacing="1" w:after="100" w:afterAutospacing="1"/>
      </w:pPr>
      <w:r w:rsidRPr="00085B82">
        <w:t>The daughters’ results did not show the same pronounced decline. Adjusted prevalence remained close to 14% across the four recent cohorts.</w:t>
      </w:r>
    </w:p>
    <w:p w14:paraId="0A7067CB" w14:textId="77777777" w:rsidR="00085B82" w:rsidRPr="00085B82" w:rsidRDefault="00085B82" w:rsidP="00085B82">
      <w:pPr>
        <w:spacing w:before="100" w:beforeAutospacing="1" w:after="100" w:afterAutospacing="1"/>
        <w:outlineLvl w:val="2"/>
        <w:rPr>
          <w:b/>
          <w:bCs/>
          <w:sz w:val="27"/>
          <w:szCs w:val="27"/>
        </w:rPr>
      </w:pPr>
      <w:r w:rsidRPr="00085B82">
        <w:rPr>
          <w:b/>
          <w:bCs/>
          <w:sz w:val="27"/>
          <w:szCs w:val="27"/>
        </w:rPr>
        <w:t>14.4 Effect of covariate adjustment</w:t>
      </w:r>
    </w:p>
    <w:p w14:paraId="154A873A" w14:textId="77777777" w:rsidR="00085B82" w:rsidRPr="00085B82" w:rsidRDefault="00085B82" w:rsidP="00085B82">
      <w:pPr>
        <w:spacing w:before="100" w:beforeAutospacing="1" w:after="100" w:afterAutospacing="1"/>
      </w:pPr>
      <w:r w:rsidRPr="00085B82">
        <w:t>Compared with the earlier direct/BYM2 cohort maps, covariate adjustment produced an average absolute change of:</w:t>
      </w:r>
    </w:p>
    <w:p w14:paraId="6732838D" w14:textId="77777777" w:rsidR="00085B82" w:rsidRPr="00085B82" w:rsidRDefault="00085B82" w:rsidP="00085B82">
      <w:pPr>
        <w:numPr>
          <w:ilvl w:val="0"/>
          <w:numId w:val="15"/>
        </w:numPr>
        <w:spacing w:before="100" w:beforeAutospacing="1" w:after="100" w:afterAutospacing="1"/>
      </w:pPr>
      <w:r w:rsidRPr="00085B82">
        <w:rPr>
          <w:b/>
          <w:bCs/>
        </w:rPr>
        <w:t>3.59 percentage points among women</w:t>
      </w:r>
    </w:p>
    <w:p w14:paraId="17ED9D01" w14:textId="77777777" w:rsidR="00085B82" w:rsidRPr="00085B82" w:rsidRDefault="00085B82" w:rsidP="00085B82">
      <w:pPr>
        <w:numPr>
          <w:ilvl w:val="0"/>
          <w:numId w:val="15"/>
        </w:numPr>
        <w:spacing w:before="100" w:beforeAutospacing="1" w:after="100" w:afterAutospacing="1"/>
      </w:pPr>
      <w:r w:rsidRPr="00085B82">
        <w:rPr>
          <w:b/>
          <w:bCs/>
        </w:rPr>
        <w:t>2.76 percentage points among daughters</w:t>
      </w:r>
    </w:p>
    <w:p w14:paraId="11ACEE9B" w14:textId="77777777" w:rsidR="00085B82" w:rsidRPr="00085B82" w:rsidRDefault="00085B82" w:rsidP="00085B82">
      <w:pPr>
        <w:spacing w:before="100" w:beforeAutospacing="1" w:after="100" w:afterAutospacing="1"/>
      </w:pPr>
      <w:r w:rsidRPr="00085B82">
        <w:t xml:space="preserve">Some individual state–cohort estimates changed by more than 10 percentage points, demonstrating that differences in demographic composition materially affected </w:t>
      </w:r>
      <w:proofErr w:type="gramStart"/>
      <w:r w:rsidRPr="00085B82">
        <w:t>particular local</w:t>
      </w:r>
      <w:proofErr w:type="gramEnd"/>
      <w:r w:rsidRPr="00085B82">
        <w:t xml:space="preserve"> estimates even when the overall national patterns appeared visually similar.</w:t>
      </w:r>
    </w:p>
    <w:p w14:paraId="324A6F79"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t>15. Interpretation</w:t>
      </w:r>
    </w:p>
    <w:p w14:paraId="6CA35384" w14:textId="77777777" w:rsidR="00085B82" w:rsidRPr="00085B82" w:rsidRDefault="00085B82" w:rsidP="00085B82">
      <w:pPr>
        <w:spacing w:before="100" w:beforeAutospacing="1" w:after="100" w:afterAutospacing="1"/>
      </w:pPr>
      <w:r w:rsidRPr="00085B82">
        <w:t>The analysis provides evidence of a long-term decline in FGM prevalence across women’s birth cohorts, alongside substantial continuing geographic inequality. The adjusted maps show that state differences cannot be explained entirely by measured variations in ethnicity, wealth, education, religion, residence and age.</w:t>
      </w:r>
    </w:p>
    <w:p w14:paraId="50C7D1A2" w14:textId="77777777" w:rsidR="00085B82" w:rsidRPr="00085B82" w:rsidRDefault="00085B82" w:rsidP="00085B82">
      <w:pPr>
        <w:spacing w:before="100" w:beforeAutospacing="1" w:after="100" w:afterAutospacing="1"/>
      </w:pPr>
      <w:r w:rsidRPr="00085B82">
        <w:t>The comparatively stable prevalence across recent daughters’ cohorts suggests that progress has not been uniform and that substantial exposure persists among girls.</w:t>
      </w:r>
    </w:p>
    <w:p w14:paraId="1CC2163C" w14:textId="77777777" w:rsidR="00085B82" w:rsidRPr="00085B82" w:rsidRDefault="00085B82" w:rsidP="00085B82">
      <w:pPr>
        <w:spacing w:before="100" w:beforeAutospacing="1" w:after="100" w:afterAutospacing="1"/>
      </w:pPr>
      <w:r w:rsidRPr="00085B82">
        <w:t>Because ever-cut prevalence is cumulative, the analysis alone cannot determine the exact age at which FGM occurred. Conclusions that FGM is concentrated before age five should therefore be supported by a separate age-at-cutting or survival analysis.</w:t>
      </w:r>
    </w:p>
    <w:p w14:paraId="5CDBC23A" w14:textId="77777777" w:rsidR="00085B82" w:rsidRPr="00085B82" w:rsidRDefault="00085B82" w:rsidP="00085B82">
      <w:pPr>
        <w:spacing w:before="100" w:beforeAutospacing="1" w:after="100" w:afterAutospacing="1"/>
        <w:outlineLvl w:val="1"/>
        <w:rPr>
          <w:b/>
          <w:bCs/>
          <w:sz w:val="36"/>
          <w:szCs w:val="36"/>
        </w:rPr>
      </w:pPr>
      <w:r w:rsidRPr="00085B82">
        <w:rPr>
          <w:b/>
          <w:bCs/>
          <w:sz w:val="36"/>
          <w:szCs w:val="36"/>
        </w:rPr>
        <w:lastRenderedPageBreak/>
        <w:t>16. Methodological limitations</w:t>
      </w:r>
    </w:p>
    <w:p w14:paraId="75B72161" w14:textId="77777777" w:rsidR="00085B82" w:rsidRPr="00085B82" w:rsidRDefault="00085B82" w:rsidP="00085B82">
      <w:pPr>
        <w:spacing w:before="100" w:beforeAutospacing="1" w:after="100" w:afterAutospacing="1"/>
      </w:pPr>
      <w:r w:rsidRPr="00085B82">
        <w:t>The adjusted models used normalized survey weights as likelihood weights, but INLA did not reproduce the complete DHS variance estimator. The pseudo-posterior intervals therefore did not fully account for:</w:t>
      </w:r>
    </w:p>
    <w:p w14:paraId="0D887F2D" w14:textId="77777777" w:rsidR="00085B82" w:rsidRPr="00085B82" w:rsidRDefault="00085B82" w:rsidP="00085B82">
      <w:pPr>
        <w:numPr>
          <w:ilvl w:val="0"/>
          <w:numId w:val="16"/>
        </w:numPr>
        <w:spacing w:before="100" w:beforeAutospacing="1" w:after="100" w:afterAutospacing="1"/>
      </w:pPr>
      <w:r w:rsidRPr="00085B82">
        <w:t>Survey stratification</w:t>
      </w:r>
    </w:p>
    <w:p w14:paraId="48839B44" w14:textId="77777777" w:rsidR="00085B82" w:rsidRPr="00085B82" w:rsidRDefault="00085B82" w:rsidP="00085B82">
      <w:pPr>
        <w:numPr>
          <w:ilvl w:val="0"/>
          <w:numId w:val="16"/>
        </w:numPr>
        <w:spacing w:before="100" w:beforeAutospacing="1" w:after="100" w:afterAutospacing="1"/>
      </w:pPr>
      <w:r w:rsidRPr="00085B82">
        <w:t>Primary sampling-unit clustering</w:t>
      </w:r>
    </w:p>
    <w:p w14:paraId="7BE86933" w14:textId="77777777" w:rsidR="00085B82" w:rsidRPr="00085B82" w:rsidRDefault="00085B82" w:rsidP="00085B82">
      <w:pPr>
        <w:numPr>
          <w:ilvl w:val="0"/>
          <w:numId w:val="16"/>
        </w:numPr>
        <w:spacing w:before="100" w:beforeAutospacing="1" w:after="100" w:afterAutospacing="1"/>
      </w:pPr>
      <w:r w:rsidRPr="00085B82">
        <w:t>Correlation among daughters reported by the same mother</w:t>
      </w:r>
    </w:p>
    <w:p w14:paraId="1E18C024" w14:textId="77777777" w:rsidR="00085B82" w:rsidRPr="00085B82" w:rsidRDefault="00085B82" w:rsidP="00085B82">
      <w:pPr>
        <w:numPr>
          <w:ilvl w:val="0"/>
          <w:numId w:val="16"/>
        </w:numPr>
        <w:spacing w:before="100" w:beforeAutospacing="1" w:after="100" w:afterAutospacing="1"/>
      </w:pPr>
      <w:r w:rsidRPr="00085B82">
        <w:t>Uncertainty introduced by the feature-selection process</w:t>
      </w:r>
    </w:p>
    <w:p w14:paraId="368FED3C" w14:textId="77777777" w:rsidR="00085B82" w:rsidRPr="00085B82" w:rsidRDefault="00085B82" w:rsidP="00085B82">
      <w:pPr>
        <w:spacing w:before="100" w:beforeAutospacing="1" w:after="100" w:afterAutospacing="1"/>
      </w:pPr>
      <w:r w:rsidRPr="00085B82">
        <w:t>Some minority categories exhibited near separation, resulting in large coefficients and wide uncertainty intervals.</w:t>
      </w:r>
    </w:p>
    <w:p w14:paraId="4A8CED90" w14:textId="77777777" w:rsidR="00085B82" w:rsidRPr="00085B82" w:rsidRDefault="00085B82" w:rsidP="00085B82">
      <w:pPr>
        <w:spacing w:before="100" w:beforeAutospacing="1" w:after="100" w:afterAutospacing="1"/>
      </w:pPr>
      <w:r w:rsidRPr="00085B82">
        <w:t>State–cohort cells with fewer than 10 respondents were suppressed. In particular, the 1970–1974 women’s cohort was incomplete because only women born in 1974 were represented.</w:t>
      </w:r>
    </w:p>
    <w:p w14:paraId="1B829431" w14:textId="77777777" w:rsidR="00085B82" w:rsidRPr="00085B82" w:rsidRDefault="00085B82" w:rsidP="00085B82">
      <w:pPr>
        <w:spacing w:before="100" w:beforeAutospacing="1" w:after="100" w:afterAutospacing="1"/>
      </w:pPr>
      <w:r w:rsidRPr="00085B82">
        <w:t>Finally, the adjusted estimates were averaged over the observed survey-weighted covariate distribution. Full multilevel regression and post-stratification would require external population counts for the joint distribution of age, ethnicity, wealth, education, religion, urban or rural residence, state and birth cohort.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1491"/>
        <w:gridCol w:w="1040"/>
        <w:gridCol w:w="4234"/>
      </w:tblGrid>
      <w:tr w:rsidR="00007F4D" w14:paraId="4D21B302" w14:textId="77777777" w:rsidTr="00007F4D">
        <w:trPr>
          <w:trHeight w:val="770"/>
        </w:trPr>
        <w:tc>
          <w:tcPr>
            <w:tcW w:w="0" w:type="auto"/>
            <w:tcMar>
              <w:top w:w="100" w:type="dxa"/>
              <w:left w:w="100" w:type="dxa"/>
              <w:bottom w:w="100" w:type="dxa"/>
              <w:right w:w="100" w:type="dxa"/>
            </w:tcMar>
            <w:hideMark/>
          </w:tcPr>
          <w:p w14:paraId="01453DE4" w14:textId="77777777" w:rsidR="00007F4D" w:rsidRDefault="00007F4D">
            <w:pPr>
              <w:pStyle w:val="NormalWeb"/>
              <w:spacing w:before="0" w:beforeAutospacing="0" w:after="160" w:afterAutospacing="0"/>
              <w:jc w:val="center"/>
            </w:pPr>
            <w:r>
              <w:rPr>
                <w:b/>
                <w:bCs/>
                <w:color w:val="000000"/>
              </w:rPr>
              <w:t>Population and processing step</w:t>
            </w:r>
          </w:p>
        </w:tc>
        <w:tc>
          <w:tcPr>
            <w:tcW w:w="0" w:type="auto"/>
            <w:tcMar>
              <w:top w:w="100" w:type="dxa"/>
              <w:left w:w="100" w:type="dxa"/>
              <w:bottom w:w="100" w:type="dxa"/>
              <w:right w:w="100" w:type="dxa"/>
            </w:tcMar>
            <w:hideMark/>
          </w:tcPr>
          <w:p w14:paraId="586403DB" w14:textId="77777777" w:rsidR="00007F4D" w:rsidRDefault="00007F4D">
            <w:pPr>
              <w:pStyle w:val="NormalWeb"/>
              <w:spacing w:before="0" w:beforeAutospacing="0" w:after="160" w:afterAutospacing="0"/>
              <w:jc w:val="center"/>
            </w:pPr>
            <w:r>
              <w:rPr>
                <w:b/>
                <w:bCs/>
                <w:color w:val="000000"/>
              </w:rPr>
              <w:t>Calculation</w:t>
            </w:r>
          </w:p>
        </w:tc>
        <w:tc>
          <w:tcPr>
            <w:tcW w:w="0" w:type="auto"/>
            <w:tcMar>
              <w:top w:w="100" w:type="dxa"/>
              <w:left w:w="100" w:type="dxa"/>
              <w:bottom w:w="100" w:type="dxa"/>
              <w:right w:w="100" w:type="dxa"/>
            </w:tcMar>
            <w:hideMark/>
          </w:tcPr>
          <w:p w14:paraId="0FF4D2F6" w14:textId="77777777" w:rsidR="00007F4D" w:rsidRDefault="00007F4D">
            <w:pPr>
              <w:pStyle w:val="NormalWeb"/>
              <w:spacing w:before="0" w:beforeAutospacing="0" w:after="160" w:afterAutospacing="0"/>
              <w:jc w:val="center"/>
            </w:pPr>
            <w:r>
              <w:rPr>
                <w:b/>
                <w:bCs/>
                <w:color w:val="000000"/>
              </w:rPr>
              <w:t>Records</w:t>
            </w:r>
          </w:p>
        </w:tc>
        <w:tc>
          <w:tcPr>
            <w:tcW w:w="0" w:type="auto"/>
            <w:tcMar>
              <w:top w:w="100" w:type="dxa"/>
              <w:left w:w="100" w:type="dxa"/>
              <w:bottom w:w="100" w:type="dxa"/>
              <w:right w:w="100" w:type="dxa"/>
            </w:tcMar>
            <w:hideMark/>
          </w:tcPr>
          <w:p w14:paraId="3E4DE39C" w14:textId="77777777" w:rsidR="00007F4D" w:rsidRDefault="00007F4D">
            <w:pPr>
              <w:pStyle w:val="NormalWeb"/>
              <w:spacing w:before="0" w:beforeAutospacing="0" w:after="160" w:afterAutospacing="0"/>
              <w:jc w:val="center"/>
            </w:pPr>
            <w:r>
              <w:rPr>
                <w:b/>
                <w:bCs/>
                <w:color w:val="000000"/>
              </w:rPr>
              <w:t>Why included or excluded</w:t>
            </w:r>
          </w:p>
        </w:tc>
      </w:tr>
      <w:tr w:rsidR="00007F4D" w14:paraId="15F0B96A" w14:textId="77777777" w:rsidTr="00007F4D">
        <w:trPr>
          <w:trHeight w:val="770"/>
        </w:trPr>
        <w:tc>
          <w:tcPr>
            <w:tcW w:w="0" w:type="auto"/>
            <w:tcMar>
              <w:top w:w="100" w:type="dxa"/>
              <w:left w:w="100" w:type="dxa"/>
              <w:bottom w:w="100" w:type="dxa"/>
              <w:right w:w="100" w:type="dxa"/>
            </w:tcMar>
            <w:hideMark/>
          </w:tcPr>
          <w:p w14:paraId="20DD3DAD" w14:textId="77777777" w:rsidR="00007F4D" w:rsidRDefault="00007F4D">
            <w:pPr>
              <w:pStyle w:val="NormalWeb"/>
              <w:spacing w:before="0" w:beforeAutospacing="0" w:after="160" w:afterAutospacing="0"/>
              <w:jc w:val="both"/>
            </w:pPr>
            <w:r>
              <w:rPr>
                <w:color w:val="000000"/>
              </w:rPr>
              <w:t>All interviewed women aged 15–49</w:t>
            </w:r>
          </w:p>
        </w:tc>
        <w:tc>
          <w:tcPr>
            <w:tcW w:w="0" w:type="auto"/>
            <w:tcMar>
              <w:top w:w="100" w:type="dxa"/>
              <w:left w:w="100" w:type="dxa"/>
              <w:bottom w:w="100" w:type="dxa"/>
              <w:right w:w="100" w:type="dxa"/>
            </w:tcMar>
            <w:hideMark/>
          </w:tcPr>
          <w:p w14:paraId="6293E98A"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5F734F36" w14:textId="77777777" w:rsidR="00007F4D" w:rsidRDefault="00007F4D">
            <w:pPr>
              <w:pStyle w:val="NormalWeb"/>
              <w:spacing w:before="0" w:beforeAutospacing="0" w:after="160" w:afterAutospacing="0"/>
              <w:jc w:val="both"/>
            </w:pPr>
            <w:r>
              <w:rPr>
                <w:b/>
                <w:bCs/>
                <w:color w:val="000000"/>
              </w:rPr>
              <w:t>39,050</w:t>
            </w:r>
          </w:p>
        </w:tc>
        <w:tc>
          <w:tcPr>
            <w:tcW w:w="0" w:type="auto"/>
            <w:tcMar>
              <w:top w:w="100" w:type="dxa"/>
              <w:left w:w="100" w:type="dxa"/>
              <w:bottom w:w="100" w:type="dxa"/>
              <w:right w:w="100" w:type="dxa"/>
            </w:tcMar>
            <w:hideMark/>
          </w:tcPr>
          <w:p w14:paraId="65B2C306" w14:textId="77777777" w:rsidR="00007F4D" w:rsidRDefault="00007F4D">
            <w:pPr>
              <w:pStyle w:val="NormalWeb"/>
              <w:spacing w:before="0" w:beforeAutospacing="0" w:after="160" w:afterAutospacing="0"/>
              <w:jc w:val="both"/>
            </w:pPr>
            <w:r>
              <w:rPr>
                <w:color w:val="000000"/>
              </w:rPr>
              <w:t>Target population for self-reported women’s prevalence</w:t>
            </w:r>
          </w:p>
        </w:tc>
      </w:tr>
      <w:tr w:rsidR="00007F4D" w14:paraId="15BF66B1" w14:textId="77777777" w:rsidTr="00007F4D">
        <w:trPr>
          <w:trHeight w:val="770"/>
        </w:trPr>
        <w:tc>
          <w:tcPr>
            <w:tcW w:w="0" w:type="auto"/>
            <w:tcMar>
              <w:top w:w="100" w:type="dxa"/>
              <w:left w:w="100" w:type="dxa"/>
              <w:bottom w:w="100" w:type="dxa"/>
              <w:right w:w="100" w:type="dxa"/>
            </w:tcMar>
            <w:hideMark/>
          </w:tcPr>
          <w:p w14:paraId="4F05D121" w14:textId="77777777" w:rsidR="00007F4D" w:rsidRDefault="00007F4D">
            <w:pPr>
              <w:pStyle w:val="NormalWeb"/>
              <w:spacing w:before="0" w:beforeAutospacing="0" w:after="160" w:afterAutospacing="0"/>
              <w:jc w:val="both"/>
            </w:pPr>
            <w:r>
              <w:rPr>
                <w:color w:val="000000"/>
              </w:rPr>
              <w:t>Women with directly recorded FGM status</w:t>
            </w:r>
          </w:p>
        </w:tc>
        <w:tc>
          <w:tcPr>
            <w:tcW w:w="0" w:type="auto"/>
            <w:tcMar>
              <w:top w:w="100" w:type="dxa"/>
              <w:left w:w="100" w:type="dxa"/>
              <w:bottom w:w="100" w:type="dxa"/>
              <w:right w:w="100" w:type="dxa"/>
            </w:tcMar>
            <w:hideMark/>
          </w:tcPr>
          <w:p w14:paraId="2D34AC9E"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58CEE3C4" w14:textId="77777777" w:rsidR="00007F4D" w:rsidRDefault="00007F4D">
            <w:pPr>
              <w:pStyle w:val="NormalWeb"/>
              <w:spacing w:before="0" w:beforeAutospacing="0" w:after="160" w:afterAutospacing="0"/>
              <w:jc w:val="both"/>
            </w:pPr>
            <w:r>
              <w:rPr>
                <w:color w:val="000000"/>
              </w:rPr>
              <w:t>23,474</w:t>
            </w:r>
          </w:p>
        </w:tc>
        <w:tc>
          <w:tcPr>
            <w:tcW w:w="0" w:type="auto"/>
            <w:tcMar>
              <w:top w:w="100" w:type="dxa"/>
              <w:left w:w="100" w:type="dxa"/>
              <w:bottom w:w="100" w:type="dxa"/>
              <w:right w:w="100" w:type="dxa"/>
            </w:tcMar>
            <w:hideMark/>
          </w:tcPr>
          <w:p w14:paraId="1404C327" w14:textId="77777777" w:rsidR="00007F4D" w:rsidRDefault="00007F4D">
            <w:pPr>
              <w:pStyle w:val="NormalWeb"/>
              <w:spacing w:before="0" w:beforeAutospacing="0" w:after="160" w:afterAutospacing="0"/>
              <w:jc w:val="both"/>
            </w:pPr>
            <w:proofErr w:type="gramStart"/>
            <w:r>
              <w:rPr>
                <w:color w:val="000000"/>
              </w:rPr>
              <w:t>Personally</w:t>
            </w:r>
            <w:proofErr w:type="gramEnd"/>
            <w:r>
              <w:rPr>
                <w:color w:val="000000"/>
              </w:rPr>
              <w:t xml:space="preserve"> answered the FGM-status question</w:t>
            </w:r>
          </w:p>
        </w:tc>
      </w:tr>
      <w:tr w:rsidR="00007F4D" w14:paraId="30F9FA99" w14:textId="77777777" w:rsidTr="00007F4D">
        <w:trPr>
          <w:trHeight w:val="500"/>
        </w:trPr>
        <w:tc>
          <w:tcPr>
            <w:tcW w:w="0" w:type="auto"/>
            <w:tcMar>
              <w:top w:w="100" w:type="dxa"/>
              <w:left w:w="100" w:type="dxa"/>
              <w:bottom w:w="100" w:type="dxa"/>
              <w:right w:w="100" w:type="dxa"/>
            </w:tcMar>
            <w:hideMark/>
          </w:tcPr>
          <w:p w14:paraId="6AD35EA1" w14:textId="77777777" w:rsidR="00007F4D" w:rsidRDefault="00007F4D">
            <w:pPr>
              <w:pStyle w:val="NormalWeb"/>
              <w:spacing w:before="0" w:beforeAutospacing="0" w:after="160" w:afterAutospacing="0"/>
              <w:jc w:val="both"/>
            </w:pPr>
            <w:r>
              <w:rPr>
                <w:color w:val="000000"/>
              </w:rPr>
              <w:t>Directly recorded as cut</w:t>
            </w:r>
          </w:p>
        </w:tc>
        <w:tc>
          <w:tcPr>
            <w:tcW w:w="0" w:type="auto"/>
            <w:tcMar>
              <w:top w:w="100" w:type="dxa"/>
              <w:left w:w="100" w:type="dxa"/>
              <w:bottom w:w="100" w:type="dxa"/>
              <w:right w:w="100" w:type="dxa"/>
            </w:tcMar>
            <w:hideMark/>
          </w:tcPr>
          <w:p w14:paraId="49E22785"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0412FBDA" w14:textId="77777777" w:rsidR="00007F4D" w:rsidRDefault="00007F4D">
            <w:pPr>
              <w:pStyle w:val="NormalWeb"/>
              <w:spacing w:before="0" w:beforeAutospacing="0" w:after="160" w:afterAutospacing="0"/>
              <w:jc w:val="both"/>
            </w:pPr>
            <w:r>
              <w:rPr>
                <w:color w:val="000000"/>
              </w:rPr>
              <w:t>5,496</w:t>
            </w:r>
          </w:p>
        </w:tc>
        <w:tc>
          <w:tcPr>
            <w:tcW w:w="0" w:type="auto"/>
            <w:tcMar>
              <w:top w:w="100" w:type="dxa"/>
              <w:left w:w="100" w:type="dxa"/>
              <w:bottom w:w="100" w:type="dxa"/>
              <w:right w:w="100" w:type="dxa"/>
            </w:tcMar>
            <w:hideMark/>
          </w:tcPr>
          <w:p w14:paraId="67548833" w14:textId="77777777" w:rsidR="00007F4D" w:rsidRDefault="00007F4D">
            <w:pPr>
              <w:pStyle w:val="NormalWeb"/>
              <w:spacing w:before="0" w:beforeAutospacing="0" w:after="160" w:afterAutospacing="0"/>
              <w:jc w:val="both"/>
            </w:pPr>
            <w:r>
              <w:rPr>
                <w:color w:val="000000"/>
              </w:rPr>
              <w:t>Counted as FGM-positive</w:t>
            </w:r>
          </w:p>
        </w:tc>
      </w:tr>
      <w:tr w:rsidR="00007F4D" w14:paraId="09599EFC" w14:textId="77777777" w:rsidTr="00007F4D">
        <w:trPr>
          <w:trHeight w:val="770"/>
        </w:trPr>
        <w:tc>
          <w:tcPr>
            <w:tcW w:w="0" w:type="auto"/>
            <w:tcMar>
              <w:top w:w="100" w:type="dxa"/>
              <w:left w:w="100" w:type="dxa"/>
              <w:bottom w:w="100" w:type="dxa"/>
              <w:right w:w="100" w:type="dxa"/>
            </w:tcMar>
            <w:hideMark/>
          </w:tcPr>
          <w:p w14:paraId="010F92E8" w14:textId="77777777" w:rsidR="00007F4D" w:rsidRDefault="00007F4D">
            <w:pPr>
              <w:pStyle w:val="NormalWeb"/>
              <w:spacing w:before="0" w:beforeAutospacing="0" w:after="160" w:afterAutospacing="0"/>
              <w:jc w:val="both"/>
            </w:pPr>
            <w:r>
              <w:rPr>
                <w:color w:val="000000"/>
              </w:rPr>
              <w:t>Directly recorded as not cut</w:t>
            </w:r>
          </w:p>
        </w:tc>
        <w:tc>
          <w:tcPr>
            <w:tcW w:w="0" w:type="auto"/>
            <w:tcMar>
              <w:top w:w="100" w:type="dxa"/>
              <w:left w:w="100" w:type="dxa"/>
              <w:bottom w:w="100" w:type="dxa"/>
              <w:right w:w="100" w:type="dxa"/>
            </w:tcMar>
            <w:hideMark/>
          </w:tcPr>
          <w:p w14:paraId="4D838128"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48FEC22F" w14:textId="77777777" w:rsidR="00007F4D" w:rsidRDefault="00007F4D">
            <w:pPr>
              <w:pStyle w:val="NormalWeb"/>
              <w:spacing w:before="0" w:beforeAutospacing="0" w:after="160" w:afterAutospacing="0"/>
              <w:jc w:val="both"/>
            </w:pPr>
            <w:r>
              <w:rPr>
                <w:color w:val="000000"/>
              </w:rPr>
              <w:t>17,978</w:t>
            </w:r>
          </w:p>
        </w:tc>
        <w:tc>
          <w:tcPr>
            <w:tcW w:w="0" w:type="auto"/>
            <w:tcMar>
              <w:top w:w="100" w:type="dxa"/>
              <w:left w:w="100" w:type="dxa"/>
              <w:bottom w:w="100" w:type="dxa"/>
              <w:right w:w="100" w:type="dxa"/>
            </w:tcMar>
            <w:hideMark/>
          </w:tcPr>
          <w:p w14:paraId="706C6488" w14:textId="77777777" w:rsidR="00007F4D" w:rsidRDefault="00007F4D">
            <w:pPr>
              <w:pStyle w:val="NormalWeb"/>
              <w:spacing w:before="0" w:beforeAutospacing="0" w:after="160" w:afterAutospacing="0"/>
              <w:jc w:val="both"/>
            </w:pPr>
            <w:r>
              <w:rPr>
                <w:color w:val="000000"/>
              </w:rPr>
              <w:t>Counted as FGM-negative</w:t>
            </w:r>
          </w:p>
        </w:tc>
      </w:tr>
      <w:tr w:rsidR="00007F4D" w14:paraId="10CD900E" w14:textId="77777777" w:rsidTr="00007F4D">
        <w:trPr>
          <w:trHeight w:val="1040"/>
        </w:trPr>
        <w:tc>
          <w:tcPr>
            <w:tcW w:w="0" w:type="auto"/>
            <w:tcMar>
              <w:top w:w="100" w:type="dxa"/>
              <w:left w:w="100" w:type="dxa"/>
              <w:bottom w:w="100" w:type="dxa"/>
              <w:right w:w="100" w:type="dxa"/>
            </w:tcMar>
            <w:hideMark/>
          </w:tcPr>
          <w:p w14:paraId="4E34DA79" w14:textId="77777777" w:rsidR="00007F4D" w:rsidRDefault="00007F4D">
            <w:pPr>
              <w:pStyle w:val="NormalWeb"/>
              <w:spacing w:before="0" w:beforeAutospacing="0" w:after="160" w:afterAutospacing="0"/>
              <w:jc w:val="both"/>
            </w:pPr>
            <w:r>
              <w:rPr>
                <w:color w:val="000000"/>
              </w:rPr>
              <w:t>Women classified as not cut through the DHS skip pattern</w:t>
            </w:r>
          </w:p>
        </w:tc>
        <w:tc>
          <w:tcPr>
            <w:tcW w:w="0" w:type="auto"/>
            <w:tcMar>
              <w:top w:w="100" w:type="dxa"/>
              <w:left w:w="100" w:type="dxa"/>
              <w:bottom w:w="100" w:type="dxa"/>
              <w:right w:w="100" w:type="dxa"/>
            </w:tcMar>
            <w:hideMark/>
          </w:tcPr>
          <w:p w14:paraId="5CAE453F"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24A3744E" w14:textId="77777777" w:rsidR="00007F4D" w:rsidRDefault="00007F4D">
            <w:pPr>
              <w:pStyle w:val="NormalWeb"/>
              <w:spacing w:before="0" w:beforeAutospacing="0" w:after="160" w:afterAutospacing="0"/>
              <w:jc w:val="both"/>
            </w:pPr>
            <w:r>
              <w:rPr>
                <w:color w:val="000000"/>
              </w:rPr>
              <w:t>15,576</w:t>
            </w:r>
          </w:p>
        </w:tc>
        <w:tc>
          <w:tcPr>
            <w:tcW w:w="0" w:type="auto"/>
            <w:tcMar>
              <w:top w:w="100" w:type="dxa"/>
              <w:left w:w="100" w:type="dxa"/>
              <w:bottom w:w="100" w:type="dxa"/>
              <w:right w:w="100" w:type="dxa"/>
            </w:tcMar>
            <w:hideMark/>
          </w:tcPr>
          <w:p w14:paraId="2DB195D3" w14:textId="77777777" w:rsidR="00007F4D" w:rsidRDefault="00007F4D">
            <w:pPr>
              <w:pStyle w:val="NormalWeb"/>
              <w:spacing w:before="0" w:beforeAutospacing="0" w:after="160" w:afterAutospacing="0"/>
              <w:jc w:val="both"/>
            </w:pPr>
            <w:r>
              <w:rPr>
                <w:color w:val="000000"/>
              </w:rPr>
              <w:t>They were skipped past the personal-status question after reporting no awareness of FGM; DHS logic treats them as not cut</w:t>
            </w:r>
          </w:p>
        </w:tc>
      </w:tr>
      <w:tr w:rsidR="00007F4D" w14:paraId="17BAA872" w14:textId="77777777" w:rsidTr="00007F4D">
        <w:trPr>
          <w:trHeight w:val="770"/>
        </w:trPr>
        <w:tc>
          <w:tcPr>
            <w:tcW w:w="0" w:type="auto"/>
            <w:tcMar>
              <w:top w:w="100" w:type="dxa"/>
              <w:left w:w="100" w:type="dxa"/>
              <w:bottom w:w="100" w:type="dxa"/>
              <w:right w:w="100" w:type="dxa"/>
            </w:tcMar>
            <w:hideMark/>
          </w:tcPr>
          <w:p w14:paraId="391C18BE" w14:textId="77777777" w:rsidR="00007F4D" w:rsidRDefault="00007F4D">
            <w:pPr>
              <w:pStyle w:val="NormalWeb"/>
              <w:spacing w:before="0" w:beforeAutospacing="0" w:after="160" w:afterAutospacing="0"/>
              <w:jc w:val="both"/>
            </w:pPr>
            <w:r>
              <w:rPr>
                <w:color w:val="000000"/>
              </w:rPr>
              <w:lastRenderedPageBreak/>
              <w:t>Final women’s prevalence denominator</w:t>
            </w:r>
          </w:p>
        </w:tc>
        <w:tc>
          <w:tcPr>
            <w:tcW w:w="0" w:type="auto"/>
            <w:tcMar>
              <w:top w:w="100" w:type="dxa"/>
              <w:left w:w="100" w:type="dxa"/>
              <w:bottom w:w="100" w:type="dxa"/>
              <w:right w:w="100" w:type="dxa"/>
            </w:tcMar>
            <w:hideMark/>
          </w:tcPr>
          <w:p w14:paraId="05EDF895" w14:textId="77777777" w:rsidR="00007F4D" w:rsidRDefault="00007F4D">
            <w:pPr>
              <w:pStyle w:val="NormalWeb"/>
              <w:spacing w:before="0" w:beforeAutospacing="0" w:after="160" w:afterAutospacing="0"/>
              <w:jc w:val="both"/>
            </w:pPr>
            <w:r>
              <w:rPr>
                <w:color w:val="000000"/>
              </w:rPr>
              <w:t>23,474 + 15,576</w:t>
            </w:r>
          </w:p>
        </w:tc>
        <w:tc>
          <w:tcPr>
            <w:tcW w:w="0" w:type="auto"/>
            <w:tcMar>
              <w:top w:w="100" w:type="dxa"/>
              <w:left w:w="100" w:type="dxa"/>
              <w:bottom w:w="100" w:type="dxa"/>
              <w:right w:w="100" w:type="dxa"/>
            </w:tcMar>
            <w:hideMark/>
          </w:tcPr>
          <w:p w14:paraId="15663184" w14:textId="77777777" w:rsidR="00007F4D" w:rsidRDefault="00007F4D">
            <w:pPr>
              <w:pStyle w:val="NormalWeb"/>
              <w:spacing w:before="0" w:beforeAutospacing="0" w:after="160" w:afterAutospacing="0"/>
              <w:jc w:val="both"/>
            </w:pPr>
            <w:r>
              <w:rPr>
                <w:b/>
                <w:bCs/>
                <w:color w:val="000000"/>
              </w:rPr>
              <w:t>39,050</w:t>
            </w:r>
          </w:p>
        </w:tc>
        <w:tc>
          <w:tcPr>
            <w:tcW w:w="0" w:type="auto"/>
            <w:tcMar>
              <w:top w:w="100" w:type="dxa"/>
              <w:left w:w="100" w:type="dxa"/>
              <w:bottom w:w="100" w:type="dxa"/>
              <w:right w:w="100" w:type="dxa"/>
            </w:tcMar>
            <w:hideMark/>
          </w:tcPr>
          <w:p w14:paraId="0C865013" w14:textId="77777777" w:rsidR="00007F4D" w:rsidRDefault="00007F4D">
            <w:pPr>
              <w:pStyle w:val="NormalWeb"/>
              <w:spacing w:before="0" w:beforeAutospacing="0" w:after="160" w:afterAutospacing="0"/>
              <w:jc w:val="both"/>
            </w:pPr>
            <w:r>
              <w:rPr>
                <w:color w:val="000000"/>
              </w:rPr>
              <w:t>All eligible interviewed women</w:t>
            </w:r>
          </w:p>
        </w:tc>
      </w:tr>
      <w:tr w:rsidR="00007F4D" w14:paraId="53340ABE" w14:textId="77777777" w:rsidTr="00007F4D">
        <w:trPr>
          <w:trHeight w:val="770"/>
        </w:trPr>
        <w:tc>
          <w:tcPr>
            <w:tcW w:w="0" w:type="auto"/>
            <w:tcMar>
              <w:top w:w="100" w:type="dxa"/>
              <w:left w:w="100" w:type="dxa"/>
              <w:bottom w:w="100" w:type="dxa"/>
              <w:right w:w="100" w:type="dxa"/>
            </w:tcMar>
            <w:hideMark/>
          </w:tcPr>
          <w:p w14:paraId="6EDCD216" w14:textId="77777777" w:rsidR="00007F4D" w:rsidRDefault="00007F4D">
            <w:pPr>
              <w:pStyle w:val="NormalWeb"/>
              <w:spacing w:before="0" w:beforeAutospacing="0" w:after="160" w:afterAutospacing="0"/>
              <w:jc w:val="both"/>
            </w:pPr>
            <w:r>
              <w:rPr>
                <w:color w:val="000000"/>
              </w:rPr>
              <w:t>Final women’s FGM-positive count</w:t>
            </w:r>
          </w:p>
        </w:tc>
        <w:tc>
          <w:tcPr>
            <w:tcW w:w="0" w:type="auto"/>
            <w:tcMar>
              <w:top w:w="100" w:type="dxa"/>
              <w:left w:w="100" w:type="dxa"/>
              <w:bottom w:w="100" w:type="dxa"/>
              <w:right w:w="100" w:type="dxa"/>
            </w:tcMar>
            <w:hideMark/>
          </w:tcPr>
          <w:p w14:paraId="28748A6F"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19EF8225" w14:textId="77777777" w:rsidR="00007F4D" w:rsidRDefault="00007F4D">
            <w:pPr>
              <w:pStyle w:val="NormalWeb"/>
              <w:spacing w:before="0" w:beforeAutospacing="0" w:after="160" w:afterAutospacing="0"/>
              <w:jc w:val="both"/>
            </w:pPr>
            <w:r>
              <w:rPr>
                <w:b/>
                <w:bCs/>
                <w:color w:val="000000"/>
              </w:rPr>
              <w:t>5,496</w:t>
            </w:r>
          </w:p>
        </w:tc>
        <w:tc>
          <w:tcPr>
            <w:tcW w:w="0" w:type="auto"/>
            <w:tcMar>
              <w:top w:w="100" w:type="dxa"/>
              <w:left w:w="100" w:type="dxa"/>
              <w:bottom w:w="100" w:type="dxa"/>
              <w:right w:w="100" w:type="dxa"/>
            </w:tcMar>
            <w:hideMark/>
          </w:tcPr>
          <w:p w14:paraId="1460734D" w14:textId="77777777" w:rsidR="00007F4D" w:rsidRDefault="00007F4D">
            <w:pPr>
              <w:pStyle w:val="NormalWeb"/>
              <w:spacing w:before="0" w:beforeAutospacing="0" w:after="160" w:afterAutospacing="0"/>
              <w:jc w:val="both"/>
            </w:pPr>
            <w:r>
              <w:rPr>
                <w:color w:val="000000"/>
              </w:rPr>
              <w:t>Unweighted positive records</w:t>
            </w:r>
          </w:p>
        </w:tc>
      </w:tr>
      <w:tr w:rsidR="00007F4D" w14:paraId="12807B9D" w14:textId="77777777" w:rsidTr="00007F4D">
        <w:trPr>
          <w:trHeight w:val="770"/>
        </w:trPr>
        <w:tc>
          <w:tcPr>
            <w:tcW w:w="0" w:type="auto"/>
            <w:tcMar>
              <w:top w:w="100" w:type="dxa"/>
              <w:left w:w="100" w:type="dxa"/>
              <w:bottom w:w="100" w:type="dxa"/>
              <w:right w:w="100" w:type="dxa"/>
            </w:tcMar>
            <w:hideMark/>
          </w:tcPr>
          <w:p w14:paraId="0E8CF697" w14:textId="77777777" w:rsidR="00007F4D" w:rsidRDefault="00007F4D">
            <w:pPr>
              <w:pStyle w:val="NormalWeb"/>
              <w:spacing w:before="0" w:beforeAutospacing="0" w:after="160" w:afterAutospacing="0"/>
              <w:jc w:val="both"/>
            </w:pPr>
            <w:r>
              <w:rPr>
                <w:color w:val="000000"/>
              </w:rPr>
              <w:t>Final women’s FGM-negative count</w:t>
            </w:r>
          </w:p>
        </w:tc>
        <w:tc>
          <w:tcPr>
            <w:tcW w:w="0" w:type="auto"/>
            <w:tcMar>
              <w:top w:w="100" w:type="dxa"/>
              <w:left w:w="100" w:type="dxa"/>
              <w:bottom w:w="100" w:type="dxa"/>
              <w:right w:w="100" w:type="dxa"/>
            </w:tcMar>
            <w:hideMark/>
          </w:tcPr>
          <w:p w14:paraId="50DCB0FB" w14:textId="77777777" w:rsidR="00007F4D" w:rsidRDefault="00007F4D">
            <w:pPr>
              <w:pStyle w:val="NormalWeb"/>
              <w:spacing w:before="0" w:beforeAutospacing="0" w:after="160" w:afterAutospacing="0"/>
              <w:jc w:val="both"/>
            </w:pPr>
            <w:r>
              <w:rPr>
                <w:color w:val="000000"/>
              </w:rPr>
              <w:t>17,978 + 15,576</w:t>
            </w:r>
          </w:p>
        </w:tc>
        <w:tc>
          <w:tcPr>
            <w:tcW w:w="0" w:type="auto"/>
            <w:tcMar>
              <w:top w:w="100" w:type="dxa"/>
              <w:left w:w="100" w:type="dxa"/>
              <w:bottom w:w="100" w:type="dxa"/>
              <w:right w:w="100" w:type="dxa"/>
            </w:tcMar>
            <w:hideMark/>
          </w:tcPr>
          <w:p w14:paraId="3D7E7AE1" w14:textId="77777777" w:rsidR="00007F4D" w:rsidRDefault="00007F4D">
            <w:pPr>
              <w:pStyle w:val="NormalWeb"/>
              <w:spacing w:before="0" w:beforeAutospacing="0" w:after="160" w:afterAutospacing="0"/>
              <w:jc w:val="both"/>
            </w:pPr>
            <w:r>
              <w:rPr>
                <w:b/>
                <w:bCs/>
                <w:color w:val="000000"/>
              </w:rPr>
              <w:t>33,554</w:t>
            </w:r>
          </w:p>
        </w:tc>
        <w:tc>
          <w:tcPr>
            <w:tcW w:w="0" w:type="auto"/>
            <w:tcMar>
              <w:top w:w="100" w:type="dxa"/>
              <w:left w:w="100" w:type="dxa"/>
              <w:bottom w:w="100" w:type="dxa"/>
              <w:right w:w="100" w:type="dxa"/>
            </w:tcMar>
            <w:hideMark/>
          </w:tcPr>
          <w:p w14:paraId="383CE095" w14:textId="77777777" w:rsidR="00007F4D" w:rsidRDefault="00007F4D">
            <w:pPr>
              <w:pStyle w:val="NormalWeb"/>
              <w:spacing w:before="0" w:beforeAutospacing="0" w:after="160" w:afterAutospacing="0"/>
              <w:jc w:val="both"/>
            </w:pPr>
            <w:r>
              <w:rPr>
                <w:color w:val="000000"/>
              </w:rPr>
              <w:t>Direct negatives plus skip-pattern negatives</w:t>
            </w:r>
          </w:p>
        </w:tc>
      </w:tr>
    </w:tbl>
    <w:p w14:paraId="37C9C57C" w14:textId="77777777" w:rsidR="00D150E4" w:rsidRDefault="00D150E4"/>
    <w:p w14:paraId="057021BB" w14:textId="77777777" w:rsidR="00007F4D" w:rsidRDefault="00007F4D"/>
    <w:p w14:paraId="336DED2B" w14:textId="77777777" w:rsidR="00007F4D" w:rsidRDefault="00007F4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1495"/>
        <w:gridCol w:w="1040"/>
        <w:gridCol w:w="3880"/>
      </w:tblGrid>
      <w:tr w:rsidR="00007F4D" w14:paraId="23B48929" w14:textId="77777777" w:rsidTr="00007F4D">
        <w:trPr>
          <w:trHeight w:val="770"/>
        </w:trPr>
        <w:tc>
          <w:tcPr>
            <w:tcW w:w="0" w:type="auto"/>
            <w:tcMar>
              <w:top w:w="100" w:type="dxa"/>
              <w:left w:w="100" w:type="dxa"/>
              <w:bottom w:w="100" w:type="dxa"/>
              <w:right w:w="100" w:type="dxa"/>
            </w:tcMar>
            <w:hideMark/>
          </w:tcPr>
          <w:p w14:paraId="732398F7" w14:textId="77777777" w:rsidR="00007F4D" w:rsidRDefault="00007F4D">
            <w:pPr>
              <w:pStyle w:val="NormalWeb"/>
              <w:spacing w:before="0" w:beforeAutospacing="0" w:after="160" w:afterAutospacing="0"/>
              <w:jc w:val="center"/>
            </w:pPr>
            <w:r>
              <w:rPr>
                <w:b/>
                <w:bCs/>
                <w:color w:val="000000"/>
              </w:rPr>
              <w:t>Population and processing step</w:t>
            </w:r>
          </w:p>
        </w:tc>
        <w:tc>
          <w:tcPr>
            <w:tcW w:w="0" w:type="auto"/>
            <w:tcMar>
              <w:top w:w="100" w:type="dxa"/>
              <w:left w:w="100" w:type="dxa"/>
              <w:bottom w:w="100" w:type="dxa"/>
              <w:right w:w="100" w:type="dxa"/>
            </w:tcMar>
            <w:hideMark/>
          </w:tcPr>
          <w:p w14:paraId="37B03BEF" w14:textId="77777777" w:rsidR="00007F4D" w:rsidRDefault="00007F4D">
            <w:pPr>
              <w:pStyle w:val="NormalWeb"/>
              <w:spacing w:before="0" w:beforeAutospacing="0" w:after="160" w:afterAutospacing="0"/>
              <w:jc w:val="center"/>
            </w:pPr>
            <w:r>
              <w:rPr>
                <w:b/>
                <w:bCs/>
                <w:color w:val="000000"/>
              </w:rPr>
              <w:t>Calculation</w:t>
            </w:r>
          </w:p>
        </w:tc>
        <w:tc>
          <w:tcPr>
            <w:tcW w:w="0" w:type="auto"/>
            <w:tcMar>
              <w:top w:w="100" w:type="dxa"/>
              <w:left w:w="100" w:type="dxa"/>
              <w:bottom w:w="100" w:type="dxa"/>
              <w:right w:w="100" w:type="dxa"/>
            </w:tcMar>
            <w:hideMark/>
          </w:tcPr>
          <w:p w14:paraId="7EF81191" w14:textId="77777777" w:rsidR="00007F4D" w:rsidRDefault="00007F4D">
            <w:pPr>
              <w:pStyle w:val="NormalWeb"/>
              <w:spacing w:before="0" w:beforeAutospacing="0" w:after="160" w:afterAutospacing="0"/>
              <w:jc w:val="center"/>
            </w:pPr>
            <w:r>
              <w:rPr>
                <w:b/>
                <w:bCs/>
                <w:color w:val="000000"/>
              </w:rPr>
              <w:t>Records</w:t>
            </w:r>
          </w:p>
        </w:tc>
        <w:tc>
          <w:tcPr>
            <w:tcW w:w="0" w:type="auto"/>
            <w:tcMar>
              <w:top w:w="100" w:type="dxa"/>
              <w:left w:w="100" w:type="dxa"/>
              <w:bottom w:w="100" w:type="dxa"/>
              <w:right w:w="100" w:type="dxa"/>
            </w:tcMar>
            <w:hideMark/>
          </w:tcPr>
          <w:p w14:paraId="0DC6EE66" w14:textId="77777777" w:rsidR="00007F4D" w:rsidRDefault="00007F4D">
            <w:pPr>
              <w:pStyle w:val="NormalWeb"/>
              <w:spacing w:before="0" w:beforeAutospacing="0" w:after="160" w:afterAutospacing="0"/>
              <w:jc w:val="center"/>
            </w:pPr>
            <w:r>
              <w:rPr>
                <w:b/>
                <w:bCs/>
                <w:color w:val="000000"/>
              </w:rPr>
              <w:t>Why included or excluded</w:t>
            </w:r>
          </w:p>
        </w:tc>
      </w:tr>
      <w:tr w:rsidR="00007F4D" w14:paraId="3898CAA8" w14:textId="77777777" w:rsidTr="00007F4D">
        <w:trPr>
          <w:trHeight w:val="1040"/>
        </w:trPr>
        <w:tc>
          <w:tcPr>
            <w:tcW w:w="0" w:type="auto"/>
            <w:tcMar>
              <w:top w:w="100" w:type="dxa"/>
              <w:left w:w="100" w:type="dxa"/>
              <w:bottom w:w="100" w:type="dxa"/>
              <w:right w:w="100" w:type="dxa"/>
            </w:tcMar>
            <w:hideMark/>
          </w:tcPr>
          <w:p w14:paraId="5FFEB605" w14:textId="77777777" w:rsidR="00007F4D" w:rsidRDefault="00007F4D">
            <w:pPr>
              <w:pStyle w:val="NormalWeb"/>
              <w:spacing w:before="0" w:beforeAutospacing="0" w:after="160" w:afterAutospacing="0"/>
              <w:jc w:val="both"/>
            </w:pPr>
            <w:r>
              <w:rPr>
                <w:color w:val="000000"/>
              </w:rPr>
              <w:t>Daughters with directly recorded FGM status, all ages</w:t>
            </w:r>
          </w:p>
        </w:tc>
        <w:tc>
          <w:tcPr>
            <w:tcW w:w="0" w:type="auto"/>
            <w:tcMar>
              <w:top w:w="100" w:type="dxa"/>
              <w:left w:w="100" w:type="dxa"/>
              <w:bottom w:w="100" w:type="dxa"/>
              <w:right w:w="100" w:type="dxa"/>
            </w:tcMar>
            <w:hideMark/>
          </w:tcPr>
          <w:p w14:paraId="4999CCA3"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2C4C557E" w14:textId="77777777" w:rsidR="00007F4D" w:rsidRDefault="00007F4D">
            <w:pPr>
              <w:pStyle w:val="NormalWeb"/>
              <w:spacing w:before="0" w:beforeAutospacing="0" w:after="160" w:afterAutospacing="0"/>
              <w:jc w:val="both"/>
            </w:pPr>
            <w:r>
              <w:rPr>
                <w:b/>
                <w:bCs/>
                <w:color w:val="000000"/>
              </w:rPr>
              <w:t>23,683</w:t>
            </w:r>
          </w:p>
        </w:tc>
        <w:tc>
          <w:tcPr>
            <w:tcW w:w="0" w:type="auto"/>
            <w:tcMar>
              <w:top w:w="100" w:type="dxa"/>
              <w:left w:w="100" w:type="dxa"/>
              <w:bottom w:w="100" w:type="dxa"/>
              <w:right w:w="100" w:type="dxa"/>
            </w:tcMar>
            <w:hideMark/>
          </w:tcPr>
          <w:p w14:paraId="0778992B" w14:textId="77777777" w:rsidR="00007F4D" w:rsidRDefault="00007F4D">
            <w:pPr>
              <w:pStyle w:val="NormalWeb"/>
              <w:spacing w:before="0" w:beforeAutospacing="0" w:after="160" w:afterAutospacing="0"/>
              <w:jc w:val="both"/>
            </w:pPr>
            <w:r>
              <w:rPr>
                <w:color w:val="000000"/>
              </w:rPr>
              <w:t>Initial reconstructed daughter roster</w:t>
            </w:r>
          </w:p>
        </w:tc>
      </w:tr>
      <w:tr w:rsidR="00007F4D" w14:paraId="41B05C79" w14:textId="77777777" w:rsidTr="00007F4D">
        <w:trPr>
          <w:trHeight w:val="1040"/>
        </w:trPr>
        <w:tc>
          <w:tcPr>
            <w:tcW w:w="0" w:type="auto"/>
            <w:tcMar>
              <w:top w:w="100" w:type="dxa"/>
              <w:left w:w="100" w:type="dxa"/>
              <w:bottom w:w="100" w:type="dxa"/>
              <w:right w:w="100" w:type="dxa"/>
            </w:tcMar>
            <w:hideMark/>
          </w:tcPr>
          <w:p w14:paraId="58A3662C" w14:textId="77777777" w:rsidR="00007F4D" w:rsidRDefault="00007F4D">
            <w:pPr>
              <w:pStyle w:val="NormalWeb"/>
              <w:spacing w:before="0" w:beforeAutospacing="0" w:after="160" w:afterAutospacing="0"/>
              <w:jc w:val="both"/>
            </w:pPr>
            <w:r>
              <w:rPr>
                <w:color w:val="000000"/>
              </w:rPr>
              <w:t>Daughters aged 15 or older</w:t>
            </w:r>
          </w:p>
        </w:tc>
        <w:tc>
          <w:tcPr>
            <w:tcW w:w="0" w:type="auto"/>
            <w:tcMar>
              <w:top w:w="100" w:type="dxa"/>
              <w:left w:w="100" w:type="dxa"/>
              <w:bottom w:w="100" w:type="dxa"/>
              <w:right w:w="100" w:type="dxa"/>
            </w:tcMar>
            <w:hideMark/>
          </w:tcPr>
          <w:p w14:paraId="0F938958"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2A08A2E7" w14:textId="77777777" w:rsidR="00007F4D" w:rsidRDefault="00007F4D">
            <w:pPr>
              <w:pStyle w:val="NormalWeb"/>
              <w:spacing w:before="0" w:beforeAutospacing="0" w:after="160" w:afterAutospacing="0"/>
              <w:jc w:val="both"/>
            </w:pPr>
            <w:r>
              <w:rPr>
                <w:b/>
                <w:bCs/>
                <w:color w:val="000000"/>
              </w:rPr>
              <w:t>1,253</w:t>
            </w:r>
          </w:p>
        </w:tc>
        <w:tc>
          <w:tcPr>
            <w:tcW w:w="0" w:type="auto"/>
            <w:tcMar>
              <w:top w:w="100" w:type="dxa"/>
              <w:left w:w="100" w:type="dxa"/>
              <w:bottom w:w="100" w:type="dxa"/>
              <w:right w:w="100" w:type="dxa"/>
            </w:tcMar>
            <w:hideMark/>
          </w:tcPr>
          <w:p w14:paraId="285E38A8" w14:textId="77777777" w:rsidR="00007F4D" w:rsidRDefault="00007F4D">
            <w:pPr>
              <w:pStyle w:val="NormalWeb"/>
              <w:spacing w:before="0" w:beforeAutospacing="0" w:after="160" w:afterAutospacing="0"/>
              <w:jc w:val="both"/>
            </w:pPr>
            <w:r>
              <w:rPr>
                <w:color w:val="000000"/>
              </w:rPr>
              <w:t>Excluded because the daughter prevalence indicator covers girls aged 0–14</w:t>
            </w:r>
          </w:p>
        </w:tc>
      </w:tr>
      <w:tr w:rsidR="00007F4D" w14:paraId="41193073" w14:textId="77777777" w:rsidTr="00007F4D">
        <w:trPr>
          <w:trHeight w:val="770"/>
        </w:trPr>
        <w:tc>
          <w:tcPr>
            <w:tcW w:w="0" w:type="auto"/>
            <w:tcMar>
              <w:top w:w="100" w:type="dxa"/>
              <w:left w:w="100" w:type="dxa"/>
              <w:bottom w:w="100" w:type="dxa"/>
              <w:right w:w="100" w:type="dxa"/>
            </w:tcMar>
            <w:hideMark/>
          </w:tcPr>
          <w:p w14:paraId="25D866D3" w14:textId="77777777" w:rsidR="00007F4D" w:rsidRDefault="00007F4D">
            <w:pPr>
              <w:pStyle w:val="NormalWeb"/>
              <w:spacing w:before="0" w:beforeAutospacing="0" w:after="160" w:afterAutospacing="0"/>
              <w:jc w:val="both"/>
            </w:pPr>
            <w:r>
              <w:rPr>
                <w:color w:val="000000"/>
              </w:rPr>
              <w:t>Directly reported daughters aged 0–14</w:t>
            </w:r>
          </w:p>
        </w:tc>
        <w:tc>
          <w:tcPr>
            <w:tcW w:w="0" w:type="auto"/>
            <w:tcMar>
              <w:top w:w="100" w:type="dxa"/>
              <w:left w:w="100" w:type="dxa"/>
              <w:bottom w:w="100" w:type="dxa"/>
              <w:right w:w="100" w:type="dxa"/>
            </w:tcMar>
            <w:hideMark/>
          </w:tcPr>
          <w:p w14:paraId="79ED7076" w14:textId="77777777" w:rsidR="00007F4D" w:rsidRDefault="00007F4D">
            <w:pPr>
              <w:pStyle w:val="NormalWeb"/>
              <w:spacing w:before="0" w:beforeAutospacing="0" w:after="160" w:afterAutospacing="0"/>
              <w:jc w:val="both"/>
            </w:pPr>
            <w:r>
              <w:rPr>
                <w:color w:val="000000"/>
              </w:rPr>
              <w:t>23,683 − 1,253</w:t>
            </w:r>
          </w:p>
        </w:tc>
        <w:tc>
          <w:tcPr>
            <w:tcW w:w="0" w:type="auto"/>
            <w:tcMar>
              <w:top w:w="100" w:type="dxa"/>
              <w:left w:w="100" w:type="dxa"/>
              <w:bottom w:w="100" w:type="dxa"/>
              <w:right w:w="100" w:type="dxa"/>
            </w:tcMar>
            <w:hideMark/>
          </w:tcPr>
          <w:p w14:paraId="25004778" w14:textId="77777777" w:rsidR="00007F4D" w:rsidRDefault="00007F4D">
            <w:pPr>
              <w:pStyle w:val="NormalWeb"/>
              <w:spacing w:before="0" w:beforeAutospacing="0" w:after="160" w:afterAutospacing="0"/>
              <w:jc w:val="both"/>
            </w:pPr>
            <w:r>
              <w:rPr>
                <w:b/>
                <w:bCs/>
                <w:color w:val="000000"/>
              </w:rPr>
              <w:t>22,430</w:t>
            </w:r>
          </w:p>
        </w:tc>
        <w:tc>
          <w:tcPr>
            <w:tcW w:w="0" w:type="auto"/>
            <w:tcMar>
              <w:top w:w="100" w:type="dxa"/>
              <w:left w:w="100" w:type="dxa"/>
              <w:bottom w:w="100" w:type="dxa"/>
              <w:right w:w="100" w:type="dxa"/>
            </w:tcMar>
            <w:hideMark/>
          </w:tcPr>
          <w:p w14:paraId="16C28FF4" w14:textId="77777777" w:rsidR="00007F4D" w:rsidRDefault="00007F4D">
            <w:pPr>
              <w:pStyle w:val="NormalWeb"/>
              <w:spacing w:before="0" w:beforeAutospacing="0" w:after="160" w:afterAutospacing="0"/>
              <w:jc w:val="both"/>
            </w:pPr>
            <w:r>
              <w:rPr>
                <w:color w:val="000000"/>
              </w:rPr>
              <w:t>Eligible for the girls’ prevalence analysis</w:t>
            </w:r>
          </w:p>
        </w:tc>
      </w:tr>
      <w:tr w:rsidR="00007F4D" w14:paraId="0F07A10E" w14:textId="77777777" w:rsidTr="00007F4D">
        <w:trPr>
          <w:trHeight w:val="500"/>
        </w:trPr>
        <w:tc>
          <w:tcPr>
            <w:tcW w:w="0" w:type="auto"/>
            <w:tcMar>
              <w:top w:w="100" w:type="dxa"/>
              <w:left w:w="100" w:type="dxa"/>
              <w:bottom w:w="100" w:type="dxa"/>
              <w:right w:w="100" w:type="dxa"/>
            </w:tcMar>
            <w:hideMark/>
          </w:tcPr>
          <w:p w14:paraId="7E647714" w14:textId="77777777" w:rsidR="00007F4D" w:rsidRDefault="00007F4D">
            <w:pPr>
              <w:pStyle w:val="NormalWeb"/>
              <w:spacing w:before="0" w:beforeAutospacing="0" w:after="160" w:afterAutospacing="0"/>
              <w:jc w:val="both"/>
            </w:pPr>
            <w:r>
              <w:rPr>
                <w:color w:val="000000"/>
              </w:rPr>
              <w:t>Directly reported as cut</w:t>
            </w:r>
          </w:p>
        </w:tc>
        <w:tc>
          <w:tcPr>
            <w:tcW w:w="0" w:type="auto"/>
            <w:tcMar>
              <w:top w:w="100" w:type="dxa"/>
              <w:left w:w="100" w:type="dxa"/>
              <w:bottom w:w="100" w:type="dxa"/>
              <w:right w:w="100" w:type="dxa"/>
            </w:tcMar>
            <w:hideMark/>
          </w:tcPr>
          <w:p w14:paraId="6F392928"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7EECDD23" w14:textId="77777777" w:rsidR="00007F4D" w:rsidRDefault="00007F4D">
            <w:pPr>
              <w:pStyle w:val="NormalWeb"/>
              <w:spacing w:before="0" w:beforeAutospacing="0" w:after="160" w:afterAutospacing="0"/>
              <w:jc w:val="both"/>
            </w:pPr>
            <w:r>
              <w:rPr>
                <w:color w:val="000000"/>
              </w:rPr>
              <w:t>4,112</w:t>
            </w:r>
          </w:p>
        </w:tc>
        <w:tc>
          <w:tcPr>
            <w:tcW w:w="0" w:type="auto"/>
            <w:tcMar>
              <w:top w:w="100" w:type="dxa"/>
              <w:left w:w="100" w:type="dxa"/>
              <w:bottom w:w="100" w:type="dxa"/>
              <w:right w:w="100" w:type="dxa"/>
            </w:tcMar>
            <w:hideMark/>
          </w:tcPr>
          <w:p w14:paraId="5FEC806C" w14:textId="77777777" w:rsidR="00007F4D" w:rsidRDefault="00007F4D">
            <w:pPr>
              <w:pStyle w:val="NormalWeb"/>
              <w:spacing w:before="0" w:beforeAutospacing="0" w:after="160" w:afterAutospacing="0"/>
              <w:jc w:val="both"/>
            </w:pPr>
            <w:r>
              <w:rPr>
                <w:color w:val="000000"/>
              </w:rPr>
              <w:t>Counted as FGM-positive</w:t>
            </w:r>
          </w:p>
        </w:tc>
      </w:tr>
      <w:tr w:rsidR="00007F4D" w14:paraId="4DBD71A8" w14:textId="77777777" w:rsidTr="00007F4D">
        <w:trPr>
          <w:trHeight w:val="500"/>
        </w:trPr>
        <w:tc>
          <w:tcPr>
            <w:tcW w:w="0" w:type="auto"/>
            <w:tcMar>
              <w:top w:w="100" w:type="dxa"/>
              <w:left w:w="100" w:type="dxa"/>
              <w:bottom w:w="100" w:type="dxa"/>
              <w:right w:w="100" w:type="dxa"/>
            </w:tcMar>
            <w:hideMark/>
          </w:tcPr>
          <w:p w14:paraId="32BA4631" w14:textId="77777777" w:rsidR="00007F4D" w:rsidRDefault="00007F4D">
            <w:pPr>
              <w:pStyle w:val="NormalWeb"/>
              <w:spacing w:before="0" w:beforeAutospacing="0" w:after="160" w:afterAutospacing="0"/>
              <w:jc w:val="both"/>
            </w:pPr>
            <w:r>
              <w:rPr>
                <w:color w:val="000000"/>
              </w:rPr>
              <w:t>Directly reported as not cut</w:t>
            </w:r>
          </w:p>
        </w:tc>
        <w:tc>
          <w:tcPr>
            <w:tcW w:w="0" w:type="auto"/>
            <w:tcMar>
              <w:top w:w="100" w:type="dxa"/>
              <w:left w:w="100" w:type="dxa"/>
              <w:bottom w:w="100" w:type="dxa"/>
              <w:right w:w="100" w:type="dxa"/>
            </w:tcMar>
            <w:hideMark/>
          </w:tcPr>
          <w:p w14:paraId="2F2390CE"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027701DC" w14:textId="77777777" w:rsidR="00007F4D" w:rsidRDefault="00007F4D">
            <w:pPr>
              <w:pStyle w:val="NormalWeb"/>
              <w:spacing w:before="0" w:beforeAutospacing="0" w:after="160" w:afterAutospacing="0"/>
              <w:jc w:val="both"/>
            </w:pPr>
            <w:r>
              <w:rPr>
                <w:color w:val="000000"/>
              </w:rPr>
              <w:t>18,318</w:t>
            </w:r>
          </w:p>
        </w:tc>
        <w:tc>
          <w:tcPr>
            <w:tcW w:w="0" w:type="auto"/>
            <w:tcMar>
              <w:top w:w="100" w:type="dxa"/>
              <w:left w:w="100" w:type="dxa"/>
              <w:bottom w:w="100" w:type="dxa"/>
              <w:right w:w="100" w:type="dxa"/>
            </w:tcMar>
            <w:hideMark/>
          </w:tcPr>
          <w:p w14:paraId="2A8F124A" w14:textId="77777777" w:rsidR="00007F4D" w:rsidRDefault="00007F4D">
            <w:pPr>
              <w:pStyle w:val="NormalWeb"/>
              <w:spacing w:before="0" w:beforeAutospacing="0" w:after="160" w:afterAutospacing="0"/>
              <w:jc w:val="both"/>
            </w:pPr>
            <w:r>
              <w:rPr>
                <w:color w:val="000000"/>
              </w:rPr>
              <w:t>Counted as FGM-negative</w:t>
            </w:r>
          </w:p>
        </w:tc>
      </w:tr>
      <w:tr w:rsidR="00007F4D" w14:paraId="07777EC5" w14:textId="77777777" w:rsidTr="00007F4D">
        <w:trPr>
          <w:trHeight w:val="1040"/>
        </w:trPr>
        <w:tc>
          <w:tcPr>
            <w:tcW w:w="0" w:type="auto"/>
            <w:tcMar>
              <w:top w:w="100" w:type="dxa"/>
              <w:left w:w="100" w:type="dxa"/>
              <w:bottom w:w="100" w:type="dxa"/>
              <w:right w:w="100" w:type="dxa"/>
            </w:tcMar>
            <w:hideMark/>
          </w:tcPr>
          <w:p w14:paraId="77BE2387" w14:textId="77777777" w:rsidR="00007F4D" w:rsidRDefault="00007F4D">
            <w:pPr>
              <w:pStyle w:val="NormalWeb"/>
              <w:spacing w:before="0" w:beforeAutospacing="0" w:after="160" w:afterAutospacing="0"/>
              <w:jc w:val="both"/>
            </w:pPr>
            <w:r>
              <w:rPr>
                <w:color w:val="000000"/>
              </w:rPr>
              <w:t>Additional girls classified as not cut through the maternal skip pattern</w:t>
            </w:r>
          </w:p>
        </w:tc>
        <w:tc>
          <w:tcPr>
            <w:tcW w:w="0" w:type="auto"/>
            <w:tcMar>
              <w:top w:w="100" w:type="dxa"/>
              <w:left w:w="100" w:type="dxa"/>
              <w:bottom w:w="100" w:type="dxa"/>
              <w:right w:w="100" w:type="dxa"/>
            </w:tcMar>
            <w:hideMark/>
          </w:tcPr>
          <w:p w14:paraId="5465E8A7"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649B3D2F" w14:textId="77777777" w:rsidR="00007F4D" w:rsidRDefault="00007F4D">
            <w:pPr>
              <w:pStyle w:val="NormalWeb"/>
              <w:spacing w:before="0" w:beforeAutospacing="0" w:after="160" w:afterAutospacing="0"/>
              <w:jc w:val="both"/>
            </w:pPr>
            <w:r>
              <w:rPr>
                <w:color w:val="000000"/>
              </w:rPr>
              <w:t>11,768</w:t>
            </w:r>
          </w:p>
        </w:tc>
        <w:tc>
          <w:tcPr>
            <w:tcW w:w="0" w:type="auto"/>
            <w:tcMar>
              <w:top w:w="100" w:type="dxa"/>
              <w:left w:w="100" w:type="dxa"/>
              <w:bottom w:w="100" w:type="dxa"/>
              <w:right w:w="100" w:type="dxa"/>
            </w:tcMar>
            <w:hideMark/>
          </w:tcPr>
          <w:p w14:paraId="32873135" w14:textId="77777777" w:rsidR="00007F4D" w:rsidRDefault="00007F4D">
            <w:pPr>
              <w:pStyle w:val="NormalWeb"/>
              <w:spacing w:before="0" w:beforeAutospacing="0" w:after="160" w:afterAutospacing="0"/>
              <w:jc w:val="both"/>
            </w:pPr>
            <w:r>
              <w:rPr>
                <w:color w:val="000000"/>
              </w:rPr>
              <w:t>Reconstructed from the birth history because mothers unaware of FGM skipped the daughter module</w:t>
            </w:r>
          </w:p>
        </w:tc>
      </w:tr>
      <w:tr w:rsidR="00007F4D" w14:paraId="7C110CD8" w14:textId="77777777" w:rsidTr="00007F4D">
        <w:trPr>
          <w:trHeight w:val="770"/>
        </w:trPr>
        <w:tc>
          <w:tcPr>
            <w:tcW w:w="0" w:type="auto"/>
            <w:tcMar>
              <w:top w:w="100" w:type="dxa"/>
              <w:left w:w="100" w:type="dxa"/>
              <w:bottom w:w="100" w:type="dxa"/>
              <w:right w:w="100" w:type="dxa"/>
            </w:tcMar>
            <w:hideMark/>
          </w:tcPr>
          <w:p w14:paraId="0E470E1B" w14:textId="77777777" w:rsidR="00007F4D" w:rsidRDefault="00007F4D">
            <w:pPr>
              <w:pStyle w:val="NormalWeb"/>
              <w:spacing w:before="0" w:beforeAutospacing="0" w:after="160" w:afterAutospacing="0"/>
              <w:jc w:val="both"/>
            </w:pPr>
            <w:r>
              <w:rPr>
                <w:color w:val="000000"/>
              </w:rPr>
              <w:t>Final girls’ prevalence denominator</w:t>
            </w:r>
          </w:p>
        </w:tc>
        <w:tc>
          <w:tcPr>
            <w:tcW w:w="0" w:type="auto"/>
            <w:tcMar>
              <w:top w:w="100" w:type="dxa"/>
              <w:left w:w="100" w:type="dxa"/>
              <w:bottom w:w="100" w:type="dxa"/>
              <w:right w:w="100" w:type="dxa"/>
            </w:tcMar>
            <w:hideMark/>
          </w:tcPr>
          <w:p w14:paraId="56F4E0AC" w14:textId="77777777" w:rsidR="00007F4D" w:rsidRDefault="00007F4D">
            <w:pPr>
              <w:pStyle w:val="NormalWeb"/>
              <w:spacing w:before="0" w:beforeAutospacing="0" w:after="160" w:afterAutospacing="0"/>
              <w:jc w:val="both"/>
            </w:pPr>
            <w:r>
              <w:rPr>
                <w:color w:val="000000"/>
              </w:rPr>
              <w:t>22,430 + 11,768</w:t>
            </w:r>
          </w:p>
        </w:tc>
        <w:tc>
          <w:tcPr>
            <w:tcW w:w="0" w:type="auto"/>
            <w:tcMar>
              <w:top w:w="100" w:type="dxa"/>
              <w:left w:w="100" w:type="dxa"/>
              <w:bottom w:w="100" w:type="dxa"/>
              <w:right w:w="100" w:type="dxa"/>
            </w:tcMar>
            <w:hideMark/>
          </w:tcPr>
          <w:p w14:paraId="0B5C0F8A" w14:textId="77777777" w:rsidR="00007F4D" w:rsidRDefault="00007F4D">
            <w:pPr>
              <w:pStyle w:val="NormalWeb"/>
              <w:spacing w:before="0" w:beforeAutospacing="0" w:after="160" w:afterAutospacing="0"/>
              <w:jc w:val="both"/>
            </w:pPr>
            <w:r>
              <w:rPr>
                <w:b/>
                <w:bCs/>
                <w:color w:val="000000"/>
              </w:rPr>
              <w:t>34,198</w:t>
            </w:r>
          </w:p>
        </w:tc>
        <w:tc>
          <w:tcPr>
            <w:tcW w:w="0" w:type="auto"/>
            <w:tcMar>
              <w:top w:w="100" w:type="dxa"/>
              <w:left w:w="100" w:type="dxa"/>
              <w:bottom w:w="100" w:type="dxa"/>
              <w:right w:w="100" w:type="dxa"/>
            </w:tcMar>
            <w:hideMark/>
          </w:tcPr>
          <w:p w14:paraId="65CCC792" w14:textId="77777777" w:rsidR="00007F4D" w:rsidRDefault="00007F4D">
            <w:pPr>
              <w:pStyle w:val="NormalWeb"/>
              <w:spacing w:before="0" w:beforeAutospacing="0" w:after="160" w:afterAutospacing="0"/>
              <w:jc w:val="both"/>
            </w:pPr>
            <w:r>
              <w:rPr>
                <w:color w:val="000000"/>
              </w:rPr>
              <w:t>All eligible girls aged 0–14</w:t>
            </w:r>
          </w:p>
        </w:tc>
      </w:tr>
      <w:tr w:rsidR="00007F4D" w14:paraId="29D040CF" w14:textId="77777777" w:rsidTr="00007F4D">
        <w:trPr>
          <w:trHeight w:val="770"/>
        </w:trPr>
        <w:tc>
          <w:tcPr>
            <w:tcW w:w="0" w:type="auto"/>
            <w:tcMar>
              <w:top w:w="100" w:type="dxa"/>
              <w:left w:w="100" w:type="dxa"/>
              <w:bottom w:w="100" w:type="dxa"/>
              <w:right w:w="100" w:type="dxa"/>
            </w:tcMar>
            <w:hideMark/>
          </w:tcPr>
          <w:p w14:paraId="3526AE62" w14:textId="77777777" w:rsidR="00007F4D" w:rsidRDefault="00007F4D">
            <w:pPr>
              <w:pStyle w:val="NormalWeb"/>
              <w:spacing w:before="0" w:beforeAutospacing="0" w:after="160" w:afterAutospacing="0"/>
              <w:jc w:val="both"/>
            </w:pPr>
            <w:r>
              <w:rPr>
                <w:color w:val="000000"/>
              </w:rPr>
              <w:t>Final girls’ FGM-positive count</w:t>
            </w:r>
          </w:p>
        </w:tc>
        <w:tc>
          <w:tcPr>
            <w:tcW w:w="0" w:type="auto"/>
            <w:tcMar>
              <w:top w:w="100" w:type="dxa"/>
              <w:left w:w="100" w:type="dxa"/>
              <w:bottom w:w="100" w:type="dxa"/>
              <w:right w:w="100" w:type="dxa"/>
            </w:tcMar>
            <w:hideMark/>
          </w:tcPr>
          <w:p w14:paraId="27FCBF71" w14:textId="77777777" w:rsidR="00007F4D" w:rsidRDefault="00007F4D">
            <w:pPr>
              <w:pStyle w:val="NormalWeb"/>
              <w:spacing w:before="0" w:beforeAutospacing="0" w:after="160" w:afterAutospacing="0"/>
              <w:jc w:val="both"/>
            </w:pPr>
            <w:r>
              <w:rPr>
                <w:color w:val="000000"/>
              </w:rPr>
              <w:t>—</w:t>
            </w:r>
          </w:p>
        </w:tc>
        <w:tc>
          <w:tcPr>
            <w:tcW w:w="0" w:type="auto"/>
            <w:tcMar>
              <w:top w:w="100" w:type="dxa"/>
              <w:left w:w="100" w:type="dxa"/>
              <w:bottom w:w="100" w:type="dxa"/>
              <w:right w:w="100" w:type="dxa"/>
            </w:tcMar>
            <w:hideMark/>
          </w:tcPr>
          <w:p w14:paraId="264923B9" w14:textId="77777777" w:rsidR="00007F4D" w:rsidRDefault="00007F4D">
            <w:pPr>
              <w:pStyle w:val="NormalWeb"/>
              <w:spacing w:before="0" w:beforeAutospacing="0" w:after="160" w:afterAutospacing="0"/>
              <w:jc w:val="both"/>
            </w:pPr>
            <w:r>
              <w:rPr>
                <w:b/>
                <w:bCs/>
                <w:color w:val="000000"/>
              </w:rPr>
              <w:t>4,112</w:t>
            </w:r>
          </w:p>
        </w:tc>
        <w:tc>
          <w:tcPr>
            <w:tcW w:w="0" w:type="auto"/>
            <w:tcMar>
              <w:top w:w="100" w:type="dxa"/>
              <w:left w:w="100" w:type="dxa"/>
              <w:bottom w:w="100" w:type="dxa"/>
              <w:right w:w="100" w:type="dxa"/>
            </w:tcMar>
            <w:hideMark/>
          </w:tcPr>
          <w:p w14:paraId="5EEC4998" w14:textId="77777777" w:rsidR="00007F4D" w:rsidRDefault="00007F4D">
            <w:pPr>
              <w:pStyle w:val="NormalWeb"/>
              <w:spacing w:before="0" w:beforeAutospacing="0" w:after="160" w:afterAutospacing="0"/>
              <w:jc w:val="both"/>
            </w:pPr>
            <w:r>
              <w:rPr>
                <w:color w:val="000000"/>
              </w:rPr>
              <w:t>All came from directly reported records</w:t>
            </w:r>
          </w:p>
        </w:tc>
      </w:tr>
      <w:tr w:rsidR="00007F4D" w14:paraId="12CF827E" w14:textId="77777777" w:rsidTr="00007F4D">
        <w:trPr>
          <w:trHeight w:val="770"/>
        </w:trPr>
        <w:tc>
          <w:tcPr>
            <w:tcW w:w="0" w:type="auto"/>
            <w:tcMar>
              <w:top w:w="100" w:type="dxa"/>
              <w:left w:w="100" w:type="dxa"/>
              <w:bottom w:w="100" w:type="dxa"/>
              <w:right w:w="100" w:type="dxa"/>
            </w:tcMar>
            <w:hideMark/>
          </w:tcPr>
          <w:p w14:paraId="355310F4" w14:textId="77777777" w:rsidR="00007F4D" w:rsidRDefault="00007F4D">
            <w:pPr>
              <w:pStyle w:val="NormalWeb"/>
              <w:spacing w:before="0" w:beforeAutospacing="0" w:after="160" w:afterAutospacing="0"/>
              <w:jc w:val="both"/>
            </w:pPr>
            <w:r>
              <w:rPr>
                <w:color w:val="000000"/>
              </w:rPr>
              <w:lastRenderedPageBreak/>
              <w:t>Final girls’ FGM-negative count</w:t>
            </w:r>
          </w:p>
        </w:tc>
        <w:tc>
          <w:tcPr>
            <w:tcW w:w="0" w:type="auto"/>
            <w:tcMar>
              <w:top w:w="100" w:type="dxa"/>
              <w:left w:w="100" w:type="dxa"/>
              <w:bottom w:w="100" w:type="dxa"/>
              <w:right w:w="100" w:type="dxa"/>
            </w:tcMar>
            <w:hideMark/>
          </w:tcPr>
          <w:p w14:paraId="4EBE2C9E" w14:textId="77777777" w:rsidR="00007F4D" w:rsidRDefault="00007F4D">
            <w:pPr>
              <w:pStyle w:val="NormalWeb"/>
              <w:spacing w:before="0" w:beforeAutospacing="0" w:after="160" w:afterAutospacing="0"/>
              <w:jc w:val="both"/>
            </w:pPr>
            <w:r>
              <w:rPr>
                <w:color w:val="000000"/>
              </w:rPr>
              <w:t>18,318 + 11,768</w:t>
            </w:r>
          </w:p>
        </w:tc>
        <w:tc>
          <w:tcPr>
            <w:tcW w:w="0" w:type="auto"/>
            <w:tcMar>
              <w:top w:w="100" w:type="dxa"/>
              <w:left w:w="100" w:type="dxa"/>
              <w:bottom w:w="100" w:type="dxa"/>
              <w:right w:w="100" w:type="dxa"/>
            </w:tcMar>
            <w:hideMark/>
          </w:tcPr>
          <w:p w14:paraId="70C28A47" w14:textId="77777777" w:rsidR="00007F4D" w:rsidRDefault="00007F4D">
            <w:pPr>
              <w:pStyle w:val="NormalWeb"/>
              <w:spacing w:before="0" w:beforeAutospacing="0" w:after="160" w:afterAutospacing="0"/>
              <w:jc w:val="both"/>
            </w:pPr>
            <w:r>
              <w:rPr>
                <w:b/>
                <w:bCs/>
                <w:color w:val="000000"/>
              </w:rPr>
              <w:t>30,086</w:t>
            </w:r>
          </w:p>
        </w:tc>
        <w:tc>
          <w:tcPr>
            <w:tcW w:w="0" w:type="auto"/>
            <w:tcMar>
              <w:top w:w="100" w:type="dxa"/>
              <w:left w:w="100" w:type="dxa"/>
              <w:bottom w:w="100" w:type="dxa"/>
              <w:right w:w="100" w:type="dxa"/>
            </w:tcMar>
            <w:hideMark/>
          </w:tcPr>
          <w:p w14:paraId="723FC0AC" w14:textId="77777777" w:rsidR="00007F4D" w:rsidRDefault="00007F4D">
            <w:pPr>
              <w:pStyle w:val="NormalWeb"/>
              <w:spacing w:before="0" w:beforeAutospacing="0" w:after="160" w:afterAutospacing="0"/>
              <w:jc w:val="both"/>
            </w:pPr>
            <w:r>
              <w:rPr>
                <w:color w:val="000000"/>
              </w:rPr>
              <w:t>Direct negatives plus skip-pattern negatives</w:t>
            </w:r>
          </w:p>
        </w:tc>
      </w:tr>
    </w:tbl>
    <w:p w14:paraId="3DCDE6ED" w14:textId="77777777" w:rsidR="00007F4D" w:rsidRDefault="00007F4D" w:rsidP="00007F4D"/>
    <w:p w14:paraId="27D613B5" w14:textId="77777777" w:rsidR="00007F4D" w:rsidRDefault="00007F4D"/>
    <w:p w14:paraId="435B6182" w14:textId="77777777" w:rsidR="00007F4D" w:rsidRDefault="00007F4D"/>
    <w:tbl>
      <w:tblPr>
        <w:tblStyle w:val="TableGrid"/>
        <w:tblW w:w="0" w:type="auto"/>
        <w:tblLook w:val="04A0" w:firstRow="1" w:lastRow="0" w:firstColumn="1" w:lastColumn="0" w:noHBand="0" w:noVBand="1"/>
      </w:tblPr>
      <w:tblGrid>
        <w:gridCol w:w="3869"/>
        <w:gridCol w:w="1016"/>
        <w:gridCol w:w="1109"/>
        <w:gridCol w:w="876"/>
      </w:tblGrid>
      <w:tr w:rsidR="00007F4D" w14:paraId="5DDEDF83" w14:textId="77777777" w:rsidTr="00007F4D">
        <w:tc>
          <w:tcPr>
            <w:tcW w:w="0" w:type="auto"/>
            <w:hideMark/>
          </w:tcPr>
          <w:p w14:paraId="583C28E7" w14:textId="77777777" w:rsidR="00007F4D" w:rsidRDefault="00007F4D">
            <w:pPr>
              <w:jc w:val="center"/>
              <w:rPr>
                <w:b/>
                <w:bCs/>
              </w:rPr>
            </w:pPr>
            <w:r>
              <w:rPr>
                <w:b/>
                <w:bCs/>
              </w:rPr>
              <w:t>Prevalence outcome</w:t>
            </w:r>
          </w:p>
        </w:tc>
        <w:tc>
          <w:tcPr>
            <w:tcW w:w="0" w:type="auto"/>
            <w:hideMark/>
          </w:tcPr>
          <w:p w14:paraId="16FA1364" w14:textId="77777777" w:rsidR="00007F4D" w:rsidRDefault="00007F4D">
            <w:pPr>
              <w:jc w:val="center"/>
              <w:rPr>
                <w:b/>
                <w:bCs/>
              </w:rPr>
            </w:pPr>
            <w:r>
              <w:rPr>
                <w:b/>
                <w:bCs/>
              </w:rPr>
              <w:t>Positive</w:t>
            </w:r>
          </w:p>
        </w:tc>
        <w:tc>
          <w:tcPr>
            <w:tcW w:w="0" w:type="auto"/>
            <w:hideMark/>
          </w:tcPr>
          <w:p w14:paraId="12C6A545" w14:textId="77777777" w:rsidR="00007F4D" w:rsidRDefault="00007F4D">
            <w:pPr>
              <w:jc w:val="center"/>
              <w:rPr>
                <w:b/>
                <w:bCs/>
              </w:rPr>
            </w:pPr>
            <w:r>
              <w:rPr>
                <w:b/>
                <w:bCs/>
              </w:rPr>
              <w:t>Negative</w:t>
            </w:r>
          </w:p>
        </w:tc>
        <w:tc>
          <w:tcPr>
            <w:tcW w:w="0" w:type="auto"/>
            <w:hideMark/>
          </w:tcPr>
          <w:p w14:paraId="69BEF58C" w14:textId="77777777" w:rsidR="00007F4D" w:rsidRDefault="00007F4D">
            <w:pPr>
              <w:jc w:val="center"/>
              <w:rPr>
                <w:b/>
                <w:bCs/>
              </w:rPr>
            </w:pPr>
            <w:r>
              <w:rPr>
                <w:b/>
                <w:bCs/>
              </w:rPr>
              <w:t>Total</w:t>
            </w:r>
          </w:p>
        </w:tc>
      </w:tr>
      <w:tr w:rsidR="00007F4D" w14:paraId="28985C69" w14:textId="77777777" w:rsidTr="00007F4D">
        <w:tc>
          <w:tcPr>
            <w:tcW w:w="0" w:type="auto"/>
            <w:hideMark/>
          </w:tcPr>
          <w:p w14:paraId="4A3194C2" w14:textId="77777777" w:rsidR="00007F4D" w:rsidRDefault="00007F4D">
            <w:r>
              <w:t>Women aged 15–49</w:t>
            </w:r>
          </w:p>
        </w:tc>
        <w:tc>
          <w:tcPr>
            <w:tcW w:w="0" w:type="auto"/>
            <w:hideMark/>
          </w:tcPr>
          <w:p w14:paraId="6B24AD17" w14:textId="77777777" w:rsidR="00007F4D" w:rsidRDefault="00007F4D">
            <w:r>
              <w:t>5,496</w:t>
            </w:r>
          </w:p>
        </w:tc>
        <w:tc>
          <w:tcPr>
            <w:tcW w:w="0" w:type="auto"/>
            <w:hideMark/>
          </w:tcPr>
          <w:p w14:paraId="79114AA8" w14:textId="77777777" w:rsidR="00007F4D" w:rsidRDefault="00007F4D">
            <w:r>
              <w:t>33,554</w:t>
            </w:r>
          </w:p>
        </w:tc>
        <w:tc>
          <w:tcPr>
            <w:tcW w:w="0" w:type="auto"/>
            <w:hideMark/>
          </w:tcPr>
          <w:p w14:paraId="276A0040" w14:textId="77777777" w:rsidR="00007F4D" w:rsidRDefault="00007F4D">
            <w:r>
              <w:rPr>
                <w:rStyle w:val="Strong"/>
              </w:rPr>
              <w:t>39,050</w:t>
            </w:r>
          </w:p>
        </w:tc>
      </w:tr>
      <w:tr w:rsidR="00007F4D" w14:paraId="7A31D302" w14:textId="77777777" w:rsidTr="00007F4D">
        <w:tc>
          <w:tcPr>
            <w:tcW w:w="0" w:type="auto"/>
            <w:hideMark/>
          </w:tcPr>
          <w:p w14:paraId="781DF4B8" w14:textId="77777777" w:rsidR="00007F4D" w:rsidRDefault="00007F4D">
            <w:r>
              <w:t>Girls aged 0–14</w:t>
            </w:r>
          </w:p>
        </w:tc>
        <w:tc>
          <w:tcPr>
            <w:tcW w:w="0" w:type="auto"/>
            <w:hideMark/>
          </w:tcPr>
          <w:p w14:paraId="3042291C" w14:textId="77777777" w:rsidR="00007F4D" w:rsidRDefault="00007F4D">
            <w:r>
              <w:t>4,112</w:t>
            </w:r>
          </w:p>
        </w:tc>
        <w:tc>
          <w:tcPr>
            <w:tcW w:w="0" w:type="auto"/>
            <w:hideMark/>
          </w:tcPr>
          <w:p w14:paraId="752FF128" w14:textId="77777777" w:rsidR="00007F4D" w:rsidRDefault="00007F4D">
            <w:r>
              <w:t>30,086</w:t>
            </w:r>
          </w:p>
        </w:tc>
        <w:tc>
          <w:tcPr>
            <w:tcW w:w="0" w:type="auto"/>
            <w:hideMark/>
          </w:tcPr>
          <w:p w14:paraId="4B439181" w14:textId="77777777" w:rsidR="00007F4D" w:rsidRDefault="00007F4D">
            <w:r>
              <w:rPr>
                <w:rStyle w:val="Strong"/>
              </w:rPr>
              <w:t>34,198</w:t>
            </w:r>
          </w:p>
        </w:tc>
      </w:tr>
      <w:tr w:rsidR="00007F4D" w14:paraId="54DE397F" w14:textId="77777777" w:rsidTr="00007F4D">
        <w:tc>
          <w:tcPr>
            <w:tcW w:w="0" w:type="auto"/>
            <w:hideMark/>
          </w:tcPr>
          <w:p w14:paraId="6478E910" w14:textId="77777777" w:rsidR="00007F4D" w:rsidRDefault="00007F4D">
            <w:r>
              <w:t>Records across both separate analyses</w:t>
            </w:r>
          </w:p>
        </w:tc>
        <w:tc>
          <w:tcPr>
            <w:tcW w:w="0" w:type="auto"/>
            <w:hideMark/>
          </w:tcPr>
          <w:p w14:paraId="0D91F5E3" w14:textId="77777777" w:rsidR="00007F4D" w:rsidRDefault="00007F4D">
            <w:r>
              <w:t>9,608</w:t>
            </w:r>
          </w:p>
        </w:tc>
        <w:tc>
          <w:tcPr>
            <w:tcW w:w="0" w:type="auto"/>
            <w:hideMark/>
          </w:tcPr>
          <w:p w14:paraId="3392CE99" w14:textId="77777777" w:rsidR="00007F4D" w:rsidRDefault="00007F4D">
            <w:r>
              <w:t>63,640</w:t>
            </w:r>
          </w:p>
        </w:tc>
        <w:tc>
          <w:tcPr>
            <w:tcW w:w="0" w:type="auto"/>
            <w:hideMark/>
          </w:tcPr>
          <w:p w14:paraId="220C81D9" w14:textId="77777777" w:rsidR="00007F4D" w:rsidRDefault="00007F4D">
            <w:r>
              <w:rPr>
                <w:rStyle w:val="Strong"/>
              </w:rPr>
              <w:t>73,248</w:t>
            </w:r>
          </w:p>
        </w:tc>
      </w:tr>
    </w:tbl>
    <w:p w14:paraId="7A0210C5" w14:textId="77777777" w:rsidR="00007F4D" w:rsidRDefault="00007F4D"/>
    <w:sectPr w:rsidR="00007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95572"/>
    <w:multiLevelType w:val="multilevel"/>
    <w:tmpl w:val="9C5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024A2"/>
    <w:multiLevelType w:val="multilevel"/>
    <w:tmpl w:val="4190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03D2A"/>
    <w:multiLevelType w:val="multilevel"/>
    <w:tmpl w:val="501C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01B9D"/>
    <w:multiLevelType w:val="multilevel"/>
    <w:tmpl w:val="0B4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D519A"/>
    <w:multiLevelType w:val="multilevel"/>
    <w:tmpl w:val="970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90468"/>
    <w:multiLevelType w:val="multilevel"/>
    <w:tmpl w:val="7F24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295C93"/>
    <w:multiLevelType w:val="multilevel"/>
    <w:tmpl w:val="685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02142"/>
    <w:multiLevelType w:val="multilevel"/>
    <w:tmpl w:val="128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A673F"/>
    <w:multiLevelType w:val="multilevel"/>
    <w:tmpl w:val="323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9409C"/>
    <w:multiLevelType w:val="multilevel"/>
    <w:tmpl w:val="AFE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22B2C"/>
    <w:multiLevelType w:val="multilevel"/>
    <w:tmpl w:val="CD1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66984"/>
    <w:multiLevelType w:val="multilevel"/>
    <w:tmpl w:val="823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30478"/>
    <w:multiLevelType w:val="multilevel"/>
    <w:tmpl w:val="545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5191E"/>
    <w:multiLevelType w:val="multilevel"/>
    <w:tmpl w:val="A05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26E58"/>
    <w:multiLevelType w:val="multilevel"/>
    <w:tmpl w:val="E7D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CF7D92"/>
    <w:multiLevelType w:val="multilevel"/>
    <w:tmpl w:val="160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845691">
    <w:abstractNumId w:val="9"/>
  </w:num>
  <w:num w:numId="2" w16cid:durableId="179398551">
    <w:abstractNumId w:val="0"/>
  </w:num>
  <w:num w:numId="3" w16cid:durableId="1144085768">
    <w:abstractNumId w:val="7"/>
  </w:num>
  <w:num w:numId="4" w16cid:durableId="616762839">
    <w:abstractNumId w:val="5"/>
  </w:num>
  <w:num w:numId="5" w16cid:durableId="1780221514">
    <w:abstractNumId w:val="10"/>
  </w:num>
  <w:num w:numId="6" w16cid:durableId="1043597875">
    <w:abstractNumId w:val="12"/>
  </w:num>
  <w:num w:numId="7" w16cid:durableId="1481846786">
    <w:abstractNumId w:val="14"/>
  </w:num>
  <w:num w:numId="8" w16cid:durableId="766271878">
    <w:abstractNumId w:val="15"/>
  </w:num>
  <w:num w:numId="9" w16cid:durableId="1746874986">
    <w:abstractNumId w:val="1"/>
  </w:num>
  <w:num w:numId="10" w16cid:durableId="753623202">
    <w:abstractNumId w:val="6"/>
  </w:num>
  <w:num w:numId="11" w16cid:durableId="375088039">
    <w:abstractNumId w:val="13"/>
  </w:num>
  <w:num w:numId="12" w16cid:durableId="573900193">
    <w:abstractNumId w:val="4"/>
  </w:num>
  <w:num w:numId="13" w16cid:durableId="1380202526">
    <w:abstractNumId w:val="3"/>
  </w:num>
  <w:num w:numId="14" w16cid:durableId="1715235413">
    <w:abstractNumId w:val="2"/>
  </w:num>
  <w:num w:numId="15" w16cid:durableId="1976177180">
    <w:abstractNumId w:val="8"/>
  </w:num>
  <w:num w:numId="16" w16cid:durableId="155905437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82"/>
    <w:rsid w:val="00007F4D"/>
    <w:rsid w:val="00021606"/>
    <w:rsid w:val="00085B82"/>
    <w:rsid w:val="0047674B"/>
    <w:rsid w:val="008D10D1"/>
    <w:rsid w:val="00B72FBC"/>
    <w:rsid w:val="00D150E4"/>
    <w:rsid w:val="00E85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49A4E"/>
  <w15:chartTrackingRefBased/>
  <w15:docId w15:val="{E4A190C9-35AD-514D-ABD4-9CD2B397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F4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85B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85B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85B8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5B8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85B8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5B8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5B8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5B8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5B8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B82"/>
    <w:rPr>
      <w:rFonts w:eastAsiaTheme="majorEastAsia" w:cstheme="majorBidi"/>
      <w:color w:val="272727" w:themeColor="text1" w:themeTint="D8"/>
    </w:rPr>
  </w:style>
  <w:style w:type="paragraph" w:styleId="Title">
    <w:name w:val="Title"/>
    <w:basedOn w:val="Normal"/>
    <w:next w:val="Normal"/>
    <w:link w:val="TitleChar"/>
    <w:uiPriority w:val="10"/>
    <w:qFormat/>
    <w:rsid w:val="00085B8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5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B8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5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B8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85B82"/>
    <w:rPr>
      <w:i/>
      <w:iCs/>
      <w:color w:val="404040" w:themeColor="text1" w:themeTint="BF"/>
    </w:rPr>
  </w:style>
  <w:style w:type="paragraph" w:styleId="ListParagraph">
    <w:name w:val="List Paragraph"/>
    <w:basedOn w:val="Normal"/>
    <w:uiPriority w:val="34"/>
    <w:qFormat/>
    <w:rsid w:val="00085B8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85B82"/>
    <w:rPr>
      <w:i/>
      <w:iCs/>
      <w:color w:val="0F4761" w:themeColor="accent1" w:themeShade="BF"/>
    </w:rPr>
  </w:style>
  <w:style w:type="paragraph" w:styleId="IntenseQuote">
    <w:name w:val="Intense Quote"/>
    <w:basedOn w:val="Normal"/>
    <w:next w:val="Normal"/>
    <w:link w:val="IntenseQuoteChar"/>
    <w:uiPriority w:val="30"/>
    <w:qFormat/>
    <w:rsid w:val="00085B8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85B82"/>
    <w:rPr>
      <w:i/>
      <w:iCs/>
      <w:color w:val="0F4761" w:themeColor="accent1" w:themeShade="BF"/>
    </w:rPr>
  </w:style>
  <w:style w:type="character" w:styleId="IntenseReference">
    <w:name w:val="Intense Reference"/>
    <w:basedOn w:val="DefaultParagraphFont"/>
    <w:uiPriority w:val="32"/>
    <w:qFormat/>
    <w:rsid w:val="00085B82"/>
    <w:rPr>
      <w:b/>
      <w:bCs/>
      <w:smallCaps/>
      <w:color w:val="0F4761" w:themeColor="accent1" w:themeShade="BF"/>
      <w:spacing w:val="5"/>
    </w:rPr>
  </w:style>
  <w:style w:type="paragraph" w:styleId="NormalWeb">
    <w:name w:val="Normal (Web)"/>
    <w:basedOn w:val="Normal"/>
    <w:uiPriority w:val="99"/>
    <w:semiHidden/>
    <w:unhideWhenUsed/>
    <w:rsid w:val="00085B82"/>
    <w:pPr>
      <w:spacing w:before="100" w:beforeAutospacing="1" w:after="100" w:afterAutospacing="1"/>
    </w:pPr>
  </w:style>
  <w:style w:type="character" w:styleId="Strong">
    <w:name w:val="Strong"/>
    <w:basedOn w:val="DefaultParagraphFont"/>
    <w:uiPriority w:val="22"/>
    <w:qFormat/>
    <w:rsid w:val="00085B82"/>
    <w:rPr>
      <w:b/>
      <w:bCs/>
    </w:rPr>
  </w:style>
  <w:style w:type="table" w:styleId="TableGrid">
    <w:name w:val="Table Grid"/>
    <w:basedOn w:val="TableNormal"/>
    <w:uiPriority w:val="39"/>
    <w:rsid w:val="00007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72F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2662</Words>
  <Characters>15174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Misiko Kakai</dc:creator>
  <cp:keywords/>
  <dc:description/>
  <cp:lastModifiedBy>John Misiko Kakai</cp:lastModifiedBy>
  <cp:revision>2</cp:revision>
  <dcterms:created xsi:type="dcterms:W3CDTF">2026-09-18T08:31:00Z</dcterms:created>
  <dcterms:modified xsi:type="dcterms:W3CDTF">2026-09-18T10:12:00Z</dcterms:modified>
</cp:coreProperties>
</file>