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12" w:rsidRPr="00A54712" w:rsidRDefault="00A54712" w:rsidP="00A547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4712">
        <w:rPr>
          <w:rFonts w:ascii="Times New Roman" w:hAnsi="Times New Roman" w:cs="Times New Roman"/>
          <w:b/>
          <w:sz w:val="24"/>
          <w:szCs w:val="24"/>
        </w:rPr>
        <w:t>A ROMÁN ÁLLAM LÉTREJÖTTE - A POLITIKAI TERVEZETEKTŐL NAGY-ROMÁNIA LÉTREHOZÁSÁIG</w:t>
      </w:r>
    </w:p>
    <w:p w:rsidR="00A54712" w:rsidRPr="00A54712" w:rsidRDefault="00A54712" w:rsidP="00A54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A románok történelmében a XVIII. század a “fanarióték korszaka” néven vonult be a köztudatba, és emiatt a nemzeti történelem sötét foltjának tartják. Olyan időszaknak, amelyben az idegen eredetű bojárok uralma volt jellemző, akiket jobban érdekelte a fényűzés és az adópolitika, mint az ország fejlődése.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Azonban a korszerűsítés szorgalmazói maguk a fanarióta uralkodók, közülük is kiemelkedik Constantin Mavrocordat alakja, aki egy sor átfogó reformot vezetett be, amelyek szerepet játszottak Moldva és Havasalföld modernizációjában: a röghöz kötött parasztok felszabadítását, a közvetlen adók felszámolását, a közigazgatási reformot, Olténiát visszacsatolnia Havasalföldhöz.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Bár a fanarióták korában a hazai bojárok háttérbe szorultak, mégis foglalkoztatta őket a román társadalom modernizációjának szükségessége. Egy sor reformtervezetet dolgoztak ki amelyeket Oroszországnak, Párizsnak, Bécsnek, vagy éppen a Portának juttattak el. E tervek között szerepelt az autonóm, sőt független bojári állam létrehozása is, ilyen például Dimitrie sturdza tervezete az “arisztokratikus-demokrata köztársaságról” vagy akár a “carbonari alkotmány”.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Az 1821-es forradalom a  “szuverén nép” nevében beszélt, cselekedett és lépett fel Tudor Vladimirescu, aki az alakulóban lévő román polgárság politikai érdekeit képviselte: a kiváltságok eltörését, a szabadság és egyenlőség érvényesítését.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A modern román társadalom kialakulásának fontos mozzanata volt a Szervezeti Szabályzat kidolgozása. Ez volt az első alkotmányos dokumentum a román országok életében. Korszerű politikai elveket fektettek le, mint például a hatalmi ágak szétválasztását, a korlátozás nélküli kereskedelem, a költségvetés és az egységes adózás elve.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Nagy-Románia megalkotásának politikai tervét az 1848-as forradalom is megemlítette. Valamennyi politikai program napirendre tűzte a románság önrendelkezési jogát, függetlenül attól, milyen világi hatalomnak alávetetten is él.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lastRenderedPageBreak/>
        <w:t xml:space="preserve">Tíz évvel az 1848-as forradalom bukása után a két román állam, Moldva és Havasalföld megtette a döntő lépést a modern állam létrehozása felé.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Bár nem kedveztek a körülmények, végül mégis a nagyhatalmaktól érkezett a segítség. A krími háború szembeállította Oroszországot az angol-francia-török-olasz szövetséges erőkkel. Oroszország legyőzése kedvező feltételeket teremtett a politikai változásokhoz. A békekongresszuzon is, ahol felmerült a két fejedelemségben élő románok egyesítése, a kérdést nyíltan támogatta Franciaország képviselője, Walewski gróf. A török és osztrák ellenállás valamint Anglia fenntartásai miatt az a megoldás körvonalazódik, hogy kikérik a nép véleményét az egyesítéssel kapcsolatosan.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Ettől a pillanattól kezdve a megoldásról a két román országnak kellett gondoskodnia, és a felelősség a “nemzeti pártba” tömörült uniópártiak vállára nehezedik. A uniópártiak sikerrel demonstrálják a világ előtt a két fejedelemség lakóinak azt az óhaját, hogy egy országba éljenek.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A választások a nemzeti párt győzelmével végződtek, ez Alexandru Ioan Cuza ketttős megválasztásához vezetett: Iași-ban 1859. január 5-én és Bukarestben január 24-én. A kettős választást követte az intézmények, a közigazgatási és gazdasági szerkezet egységesítése és az új politikai helyzet nemzetközi elismertetése. Ez a szakasz 1862. január 24-én ért véget, amikor az Egyesült Fejedelemségek hivatalosan is felvették a románia nevet, és a nagyhatalmak elismerték ugyan az új politikai alakulatot, ám csupán Cuza fejedelem uralkodásának idejére.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Ennél is jelentősebbek voltak Cuza törekvései az állam modernizálására. A kolostori javak kisajátítása és a földtörvény, a polgári és büntetőtörvénykönyv, a közoktatás törvény megalkotása a nemzeti hadsereg megszervezése, Cuza mellett kiváló politikusok álltak, mint például Mihail Kogălniceanu miniszterelnök. A reformtörekvések a konzervatív politikai erőket riasztották, a radikálisokat zavarták. Így született meg a “szörnyszövetség”, amely Cuzát önkényes kormányzással vádolta meg, és 1866. február 11/23-án államcsínnyel félreállította az uralkodót. Reformjait azonban nem lehetett megállítani. </w:t>
      </w:r>
    </w:p>
    <w:p w:rsidR="00050EC8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712">
        <w:rPr>
          <w:rFonts w:ascii="Times New Roman" w:hAnsi="Times New Roman" w:cs="Times New Roman"/>
          <w:sz w:val="24"/>
          <w:szCs w:val="24"/>
        </w:rPr>
        <w:t xml:space="preserve">Cuza trónfosztása után olyan eseménysorozat vette kezdetét, amely döntő módon meghatározta a XX. századi Romániát. 1866-ban egy német fejedelem, Hohenzollern-Sigmaringen Károly került a trónra, ő lett a románok legjelentősebb királya. Érkezése </w:t>
      </w:r>
      <w:r w:rsidRPr="00A54712">
        <w:rPr>
          <w:rFonts w:ascii="Times New Roman" w:hAnsi="Times New Roman" w:cs="Times New Roman"/>
          <w:sz w:val="24"/>
          <w:szCs w:val="24"/>
        </w:rPr>
        <w:lastRenderedPageBreak/>
        <w:t xml:space="preserve">után elfogadták Románia első alkotmányát, vezetése alatt lett Románia királyság, ő döntött úgy, engedve a román nemzeti irányvonalnak, hogy belép az első világháborúba szülőföldje, Németország ellen.De a XIX. század végének legjelentősebb politikai eseménye a függetlenség kivívása volt. A berlini békeszerződés feltételekhez kötötte a függetlenség elismerését, egyszerre jelentette Dobrudzsa megszerzését és Dél-Besszarábia elvesztését. </w:t>
      </w:r>
    </w:p>
    <w:p w:rsidR="00E97DB4" w:rsidRPr="00A54712" w:rsidRDefault="00A54712" w:rsidP="00A547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54712">
        <w:rPr>
          <w:rFonts w:ascii="Times New Roman" w:hAnsi="Times New Roman" w:cs="Times New Roman"/>
          <w:sz w:val="24"/>
          <w:szCs w:val="24"/>
        </w:rPr>
        <w:t>A függetlenség nemzetközi elismerését és a királyság kikiáltását jelentős belpolitikai intézkedések követték, a nemzeti pénz kibocsátása.</w:t>
      </w:r>
    </w:p>
    <w:sectPr w:rsidR="00E97DB4" w:rsidRPr="00A5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D2E88"/>
    <w:multiLevelType w:val="hybridMultilevel"/>
    <w:tmpl w:val="B8E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12"/>
    <w:rsid w:val="00050EC8"/>
    <w:rsid w:val="00A54712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8484"/>
  <w15:chartTrackingRefBased/>
  <w15:docId w15:val="{64ADB997-EC76-4053-85ED-6F142594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2023-01-21T11:59:00Z</dcterms:created>
  <dcterms:modified xsi:type="dcterms:W3CDTF">2023-01-21T12:32:00Z</dcterms:modified>
</cp:coreProperties>
</file>