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E3110" w14:textId="77777777" w:rsidR="00B85027" w:rsidRDefault="00B85027"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p>
    <w:p w14:paraId="05177183" w14:textId="77777777" w:rsidR="00B85027" w:rsidRDefault="00B85027" w:rsidP="00B85027">
      <w:pPr>
        <w:shd w:val="clear" w:color="auto" w:fill="FFFFFF"/>
        <w:spacing w:before="100" w:beforeAutospacing="1" w:after="0" w:afterAutospacing="1" w:line="480" w:lineRule="auto"/>
        <w:rPr>
          <w:rFonts w:ascii="Times New Roman" w:hAnsi="Times New Roman" w:cs="Times New Roman"/>
          <w:b/>
          <w:bCs/>
          <w:sz w:val="24"/>
          <w:szCs w:val="24"/>
        </w:rPr>
      </w:pPr>
    </w:p>
    <w:p w14:paraId="10BDFA61" w14:textId="17578132" w:rsidR="00B85027" w:rsidRDefault="00A24591" w:rsidP="00B85027">
      <w:pPr>
        <w:shd w:val="clear" w:color="auto" w:fill="FFFFFF"/>
        <w:spacing w:before="100" w:beforeAutospacing="1" w:after="0" w:afterAutospacing="1" w:line="480" w:lineRule="auto"/>
        <w:ind w:left="120"/>
        <w:jc w:val="center"/>
        <w:rPr>
          <w:rFonts w:ascii="Times New Roman" w:hAnsi="Times New Roman" w:cs="Times New Roman"/>
          <w:b/>
          <w:bCs/>
          <w:sz w:val="24"/>
          <w:szCs w:val="24"/>
        </w:rPr>
      </w:pPr>
      <w:r w:rsidRPr="00B85027">
        <w:rPr>
          <w:rFonts w:ascii="Times New Roman" w:hAnsi="Times New Roman" w:cs="Times New Roman"/>
          <w:b/>
          <w:bCs/>
          <w:sz w:val="24"/>
          <w:szCs w:val="24"/>
          <w:shd w:val="clear" w:color="auto" w:fill="FFFFFF"/>
        </w:rPr>
        <w:t>Week 3:  Case Study Discussion</w:t>
      </w:r>
    </w:p>
    <w:p w14:paraId="13040CB2" w14:textId="79D4C3BD" w:rsidR="00B85027" w:rsidRPr="00B85027" w:rsidRDefault="00DD0A11" w:rsidP="00B85027">
      <w:pPr>
        <w:shd w:val="clear" w:color="auto" w:fill="FFFFFF"/>
        <w:spacing w:before="100" w:beforeAutospacing="1" w:after="0" w:afterAutospacing="1" w:line="480" w:lineRule="auto"/>
        <w:ind w:left="120"/>
        <w:jc w:val="center"/>
        <w:rPr>
          <w:rFonts w:ascii="Times New Roman" w:hAnsi="Times New Roman" w:cs="Times New Roman"/>
          <w:b/>
          <w:bCs/>
          <w:sz w:val="24"/>
          <w:szCs w:val="24"/>
        </w:rPr>
      </w:pPr>
      <w:r>
        <w:rPr>
          <w:rFonts w:ascii="Times New Roman" w:hAnsi="Times New Roman" w:cs="Times New Roman"/>
          <w:b/>
          <w:bCs/>
          <w:sz w:val="24"/>
          <w:szCs w:val="24"/>
        </w:rPr>
        <w:t>100</w:t>
      </w:r>
    </w:p>
    <w:p w14:paraId="7AF4631B" w14:textId="77777777" w:rsidR="00B85027" w:rsidRPr="002F7AB9" w:rsidRDefault="00A24591" w:rsidP="00B85027">
      <w:pPr>
        <w:spacing w:after="0" w:line="480" w:lineRule="auto"/>
        <w:jc w:val="center"/>
        <w:rPr>
          <w:rFonts w:ascii="Times New Roman" w:hAnsi="Times New Roman"/>
          <w:sz w:val="24"/>
          <w:szCs w:val="24"/>
        </w:rPr>
      </w:pPr>
      <w:r w:rsidRPr="002F7AB9">
        <w:rPr>
          <w:rFonts w:ascii="Times New Roman" w:hAnsi="Times New Roman"/>
          <w:sz w:val="24"/>
          <w:szCs w:val="24"/>
        </w:rPr>
        <w:t>Student's Name</w:t>
      </w:r>
    </w:p>
    <w:p w14:paraId="0C8B039D" w14:textId="77777777" w:rsidR="00B85027" w:rsidRPr="002F7AB9" w:rsidRDefault="00A24591" w:rsidP="00B85027">
      <w:pPr>
        <w:spacing w:after="0" w:line="480" w:lineRule="auto"/>
        <w:jc w:val="center"/>
        <w:rPr>
          <w:rFonts w:ascii="Times New Roman" w:hAnsi="Times New Roman"/>
          <w:sz w:val="24"/>
          <w:szCs w:val="24"/>
        </w:rPr>
      </w:pPr>
      <w:r w:rsidRPr="002F7AB9">
        <w:rPr>
          <w:rFonts w:ascii="Times New Roman" w:hAnsi="Times New Roman"/>
          <w:sz w:val="24"/>
          <w:szCs w:val="24"/>
        </w:rPr>
        <w:t>Institutional Affiliation</w:t>
      </w:r>
    </w:p>
    <w:p w14:paraId="4C165ACD" w14:textId="77777777" w:rsidR="00B85027" w:rsidRPr="002F7AB9" w:rsidRDefault="00A24591" w:rsidP="00B85027">
      <w:pPr>
        <w:spacing w:after="0" w:line="480" w:lineRule="auto"/>
        <w:jc w:val="center"/>
        <w:rPr>
          <w:rFonts w:ascii="Times New Roman" w:hAnsi="Times New Roman"/>
          <w:sz w:val="24"/>
          <w:szCs w:val="24"/>
        </w:rPr>
      </w:pPr>
      <w:r w:rsidRPr="002F7AB9">
        <w:rPr>
          <w:rFonts w:ascii="Times New Roman" w:hAnsi="Times New Roman"/>
          <w:sz w:val="24"/>
          <w:szCs w:val="24"/>
        </w:rPr>
        <w:t>Course Code and Name</w:t>
      </w:r>
    </w:p>
    <w:p w14:paraId="10A6503A" w14:textId="77777777" w:rsidR="00B85027" w:rsidRPr="002F7AB9" w:rsidRDefault="00A24591" w:rsidP="00B85027">
      <w:pPr>
        <w:spacing w:after="0" w:line="480" w:lineRule="auto"/>
        <w:jc w:val="center"/>
        <w:rPr>
          <w:rFonts w:ascii="Times New Roman" w:hAnsi="Times New Roman"/>
          <w:sz w:val="24"/>
          <w:szCs w:val="24"/>
        </w:rPr>
      </w:pPr>
      <w:r w:rsidRPr="002F7AB9">
        <w:rPr>
          <w:rFonts w:ascii="Times New Roman" w:hAnsi="Times New Roman"/>
          <w:sz w:val="24"/>
          <w:szCs w:val="24"/>
        </w:rPr>
        <w:t>Instructor's Name</w:t>
      </w:r>
    </w:p>
    <w:p w14:paraId="57608E2C" w14:textId="77777777" w:rsidR="00B85027" w:rsidRPr="002F7AB9" w:rsidRDefault="00A24591" w:rsidP="00B85027">
      <w:pPr>
        <w:spacing w:after="0" w:line="480" w:lineRule="auto"/>
        <w:jc w:val="center"/>
        <w:rPr>
          <w:rFonts w:ascii="Times New Roman" w:hAnsi="Times New Roman"/>
          <w:sz w:val="24"/>
          <w:szCs w:val="24"/>
        </w:rPr>
      </w:pPr>
      <w:r w:rsidRPr="002F7AB9">
        <w:rPr>
          <w:rFonts w:ascii="Times New Roman" w:hAnsi="Times New Roman"/>
          <w:sz w:val="24"/>
          <w:szCs w:val="24"/>
        </w:rPr>
        <w:t>Date</w:t>
      </w:r>
    </w:p>
    <w:p w14:paraId="6CC447BC" w14:textId="77777777" w:rsidR="00B85027" w:rsidRDefault="00B85027"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p>
    <w:p w14:paraId="5B4690B7" w14:textId="77777777" w:rsidR="00B85027" w:rsidRDefault="00B85027"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p>
    <w:p w14:paraId="25D87955" w14:textId="77777777" w:rsidR="00B85027" w:rsidRDefault="00B85027"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p>
    <w:p w14:paraId="0E548B68" w14:textId="77777777" w:rsidR="00B85027" w:rsidRDefault="00B85027"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p>
    <w:p w14:paraId="36727A19" w14:textId="1D67BE9D" w:rsidR="00B85027" w:rsidRDefault="00B85027"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p>
    <w:p w14:paraId="30085E7C" w14:textId="77777777" w:rsidR="00B85027" w:rsidRDefault="00B85027"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p>
    <w:p w14:paraId="2F56C172" w14:textId="77777777" w:rsidR="00B85027" w:rsidRDefault="00B85027"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p>
    <w:p w14:paraId="19115912" w14:textId="77777777" w:rsidR="00B85027" w:rsidRDefault="00B85027"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p>
    <w:p w14:paraId="6DB693E5" w14:textId="5116511D" w:rsidR="00B85027" w:rsidRPr="00B85027" w:rsidRDefault="00A24591" w:rsidP="00B85027">
      <w:pPr>
        <w:shd w:val="clear" w:color="auto" w:fill="FFFFFF"/>
        <w:spacing w:before="100" w:beforeAutospacing="1" w:after="0" w:afterAutospacing="1" w:line="480" w:lineRule="auto"/>
        <w:ind w:left="120"/>
        <w:jc w:val="center"/>
        <w:rPr>
          <w:rFonts w:ascii="Times New Roman" w:hAnsi="Times New Roman" w:cs="Times New Roman"/>
          <w:b/>
          <w:bCs/>
          <w:sz w:val="24"/>
          <w:szCs w:val="24"/>
        </w:rPr>
      </w:pPr>
      <w:r w:rsidRPr="00B85027">
        <w:rPr>
          <w:rFonts w:ascii="Times New Roman" w:hAnsi="Times New Roman" w:cs="Times New Roman"/>
          <w:b/>
          <w:bCs/>
          <w:sz w:val="24"/>
          <w:szCs w:val="24"/>
          <w:shd w:val="clear" w:color="auto" w:fill="FFFFFF"/>
        </w:rPr>
        <w:lastRenderedPageBreak/>
        <w:t>Week 3:  Case Study Discussion</w:t>
      </w:r>
    </w:p>
    <w:p w14:paraId="6E2833AD" w14:textId="4CBF9B53" w:rsidR="004E5807" w:rsidRPr="00B85027" w:rsidRDefault="00A24591"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r w:rsidRPr="00B85027">
        <w:rPr>
          <w:rFonts w:ascii="Times New Roman" w:hAnsi="Times New Roman" w:cs="Times New Roman"/>
          <w:b/>
          <w:bCs/>
          <w:sz w:val="24"/>
          <w:szCs w:val="24"/>
        </w:rPr>
        <w:t>What are your treatment goals for Margaret today? </w:t>
      </w:r>
    </w:p>
    <w:p w14:paraId="3843C6BD" w14:textId="0ED6CF65" w:rsidR="00B64F11" w:rsidRPr="00B85027" w:rsidRDefault="00A24591"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r w:rsidRPr="00B85027">
        <w:rPr>
          <w:rFonts w:ascii="Times New Roman" w:hAnsi="Times New Roman" w:cs="Times New Roman"/>
          <w:sz w:val="24"/>
          <w:szCs w:val="24"/>
        </w:rPr>
        <w:t>Since Clonidine results in adverse side effects, she will discontinue using them and start using hypertension medication instead.</w:t>
      </w:r>
    </w:p>
    <w:p w14:paraId="11F48FEB" w14:textId="77777777" w:rsidR="004E5807" w:rsidRPr="00B85027" w:rsidRDefault="00A24591" w:rsidP="00B85027">
      <w:pPr>
        <w:shd w:val="clear" w:color="auto" w:fill="FFFFFF"/>
        <w:spacing w:before="100" w:beforeAutospacing="1" w:after="0" w:afterAutospacing="1" w:line="480" w:lineRule="auto"/>
        <w:ind w:left="120"/>
        <w:rPr>
          <w:rFonts w:ascii="Times New Roman" w:hAnsi="Times New Roman" w:cs="Times New Roman"/>
          <w:b/>
          <w:bCs/>
          <w:sz w:val="24"/>
          <w:szCs w:val="24"/>
        </w:rPr>
      </w:pPr>
      <w:r w:rsidRPr="00B85027">
        <w:rPr>
          <w:rFonts w:ascii="Times New Roman" w:hAnsi="Times New Roman" w:cs="Times New Roman"/>
          <w:b/>
          <w:bCs/>
          <w:sz w:val="24"/>
          <w:szCs w:val="24"/>
        </w:rPr>
        <w:t xml:space="preserve">What is your pharmacological plan and rationale? </w:t>
      </w:r>
    </w:p>
    <w:p w14:paraId="02CA65DD" w14:textId="64587202" w:rsidR="001C009B" w:rsidRPr="00B85027" w:rsidRDefault="00A24591" w:rsidP="00B85027">
      <w:pPr>
        <w:shd w:val="clear" w:color="auto" w:fill="FFFFFF"/>
        <w:spacing w:before="100" w:beforeAutospacing="1" w:after="0" w:afterAutospacing="1" w:line="480" w:lineRule="auto"/>
        <w:ind w:left="120"/>
        <w:rPr>
          <w:rFonts w:ascii="Times New Roman" w:hAnsi="Times New Roman" w:cs="Times New Roman"/>
          <w:sz w:val="24"/>
          <w:szCs w:val="24"/>
        </w:rPr>
      </w:pPr>
      <w:r w:rsidRPr="00B85027">
        <w:rPr>
          <w:rFonts w:ascii="Times New Roman" w:hAnsi="Times New Roman" w:cs="Times New Roman"/>
          <w:sz w:val="24"/>
          <w:szCs w:val="24"/>
        </w:rPr>
        <w:t xml:space="preserve">Mild to moderate hypertension is usually treated using </w:t>
      </w:r>
      <w:r w:rsidR="00405276" w:rsidRPr="00B85027">
        <w:rPr>
          <w:rFonts w:ascii="Times New Roman" w:hAnsi="Times New Roman" w:cs="Times New Roman"/>
          <w:sz w:val="24"/>
          <w:szCs w:val="24"/>
        </w:rPr>
        <w:t>Aplha2</w:t>
      </w:r>
      <w:r w:rsidR="00DD38C0" w:rsidRPr="00B85027">
        <w:rPr>
          <w:rFonts w:ascii="Times New Roman" w:hAnsi="Times New Roman" w:cs="Times New Roman"/>
          <w:sz w:val="24"/>
          <w:szCs w:val="24"/>
        </w:rPr>
        <w:t>.</w:t>
      </w:r>
      <w:r w:rsidR="00060FB1" w:rsidRPr="00B85027">
        <w:rPr>
          <w:rFonts w:ascii="Times New Roman" w:hAnsi="Times New Roman" w:cs="Times New Roman"/>
          <w:sz w:val="24"/>
          <w:szCs w:val="24"/>
        </w:rPr>
        <w:t xml:space="preserve"> </w:t>
      </w:r>
      <w:r w:rsidR="00A555F0" w:rsidRPr="00B85027">
        <w:rPr>
          <w:rFonts w:ascii="Times New Roman" w:hAnsi="Times New Roman" w:cs="Times New Roman"/>
          <w:sz w:val="24"/>
          <w:szCs w:val="24"/>
        </w:rPr>
        <w:t xml:space="preserve">Since Margaret has reported that </w:t>
      </w:r>
      <w:r w:rsidR="00060FB1" w:rsidRPr="00B85027">
        <w:rPr>
          <w:rFonts w:ascii="Times New Roman" w:hAnsi="Times New Roman" w:cs="Times New Roman"/>
          <w:sz w:val="24"/>
          <w:szCs w:val="24"/>
        </w:rPr>
        <w:t>Clonidine</w:t>
      </w:r>
      <w:r w:rsidR="00DD38C0" w:rsidRPr="00B85027">
        <w:rPr>
          <w:rFonts w:ascii="Times New Roman" w:hAnsi="Times New Roman" w:cs="Times New Roman"/>
          <w:sz w:val="24"/>
          <w:szCs w:val="24"/>
        </w:rPr>
        <w:t xml:space="preserve"> </w:t>
      </w:r>
      <w:r w:rsidR="00A555F0" w:rsidRPr="00B85027">
        <w:rPr>
          <w:rFonts w:ascii="Times New Roman" w:hAnsi="Times New Roman" w:cs="Times New Roman"/>
          <w:sz w:val="24"/>
          <w:szCs w:val="24"/>
        </w:rPr>
        <w:t>is resulting in side undesirable effects such as headaches, difficulty urinating, and dry mouth, the medication should be discontinued, not abruptly, though, as that may interrupt the homoeostatic balance of the sympathetic nervous system, leading to more complications</w:t>
      </w:r>
      <w:r w:rsidR="00211281" w:rsidRPr="00B85027">
        <w:rPr>
          <w:rFonts w:ascii="Times New Roman" w:hAnsi="Times New Roman" w:cs="Times New Roman"/>
          <w:sz w:val="24"/>
          <w:szCs w:val="24"/>
        </w:rPr>
        <w:t xml:space="preserve">. </w:t>
      </w:r>
      <w:r w:rsidR="00FB5EB9" w:rsidRPr="00B85027">
        <w:rPr>
          <w:rFonts w:ascii="Times New Roman" w:hAnsi="Times New Roman" w:cs="Times New Roman"/>
          <w:sz w:val="24"/>
          <w:szCs w:val="24"/>
        </w:rPr>
        <w:fldChar w:fldCharType="begin" w:fldLock="1"/>
      </w:r>
      <w:r w:rsidR="00B85027" w:rsidRPr="00B85027">
        <w:rPr>
          <w:rFonts w:ascii="Times New Roman" w:hAnsi="Times New Roman" w:cs="Times New Roman"/>
          <w:sz w:val="24"/>
          <w:szCs w:val="24"/>
        </w:rPr>
        <w:instrText>ADDIN CSL_CITATION {"citationItems":[{"id":"ITEM-1","itemData":{"DOI":"10.1007/s00415-020-09737-z","ISBN":"0123456789","ISSN":"14321459","PMID":"32034477","abstract":"Introduction: Despite the consensus criteria for multiple system atrophy(MSA), the diagnosis of MSA of cerebellar type (MSA-C) may be difficult in the early stage of the disease. There are several differential diagnoses including idiopathic late-onset cerebellar ataxias (ILOCA) and it is often necessary to wait for clinical worsening so that the criteria can be met. Our aim was to assess the efficacy of clonidine growth hormone test (CGH test) to distinguish MSA-C from ILOCA in the early stage of the disease. Methods: Within our cohort of late-onset sporadic, progressive cerebellar ataxia, the group of patients meeting the criteria for possible or probable MSA was compared to the ILOCA group. Clinical and paraclinical examination including CGH test were repeated during the prospective follow-up. Results: Eighty-six patients were recruited, including 42 patients in the MSA group and 44 ILOCA patients with a mean follow-up of 33 months. At the inclusion visit, CHG test was pathological for 31% MSA of patients and 18.2% of ILOCA patients (p = 0.35). During the follow-up, 52.4% of MSA-C had a pathological CGH test, while only 20.5% of ILOCA (p &lt; 0.01). CGH test had a sensitivity of 69.1% and a specificity of 68.2%, (p &lt; 0.001) for MSA-C patients; CGH test allows in three quarters of cases, if negative, to rule out a probable MSA-C (negative predictive value of 75%, p = 0.0014). Conclusion: This prospective, controlled study showed that CGH test could be helpful in clinical practice to differentiate MSA-C from ILOCA in the early stage of the disease.","author":[{"dropping-particle":"","family":"Bonnard","given":"C.","non-dropping-particle":"","parse-names":false,"suffix":""},{"dropping-particle":"","family":"Wirth","given":"T.","non-dropping-particle":"","parse-names":false,"suffix":""},{"dropping-particle":"","family":"Gebus","given":"O.","non-dropping-particle":"","parse-names":false,"suffix":""},{"dropping-particle":"","family":"Fahrer","given":"P.","non-dropping-particle":"","parse-names":false,"suffix":""},{"dropping-particle":"","family":"Montaut","given":"S.","non-dropping-particle":"","parse-names":false,"suffix":""},{"dropping-particle":"","family":"Robelin","given":"L.","non-dropping-particle":"","parse-names":false,"suffix":""},{"dropping-particle":"","family":"Tuzin","given":"N.","non-dropping-particle":"","parse-names":false,"suffix":""},{"dropping-particle":"","family":"Tranchant","given":"C.","non-dropping-particle":"","parse-names":false,"suffix":""},{"dropping-particle":"","family":"Anheim","given":"Mathieu","non-dropping-particle":"","parse-names":false,"suffix":""}],"container-title":"Journal of Neurology","id":"ITEM-1","issue":"3","issued":{"date-parts":[["2020"]]},"page":"855-859","publisher":"Springer Berlin Heidelberg","title":"Clonidine GH stimulation test to differentiate MSA from idiopathic late onset cerebellar ataxia: a prospective, controlled study","type":"article-journal","volume":"267"},"uris":["http://www.mendeley.com/documents/?uuid=8e1f7dc5-8f92-4239-9e51-eb81152a516a"]}],"mendeley":{"formattedCitation":"(Bonnard et al., 2020)","manualFormatting":"Bonnard et al., 2020, ","plainTextFormattedCitation":"(Bonnard et al., 2020)","previouslyFormattedCitation":"(Bonnard et al., 2020)"},"properties":{"noteIndex":0},"schema":"https://github.com/citation-style-language/schema/raw/master/csl-citation.json"}</w:instrText>
      </w:r>
      <w:r w:rsidR="00FB5EB9" w:rsidRPr="00B85027">
        <w:rPr>
          <w:rFonts w:ascii="Times New Roman" w:hAnsi="Times New Roman" w:cs="Times New Roman"/>
          <w:sz w:val="24"/>
          <w:szCs w:val="24"/>
        </w:rPr>
        <w:fldChar w:fldCharType="separate"/>
      </w:r>
      <w:r w:rsidR="00FB5EB9" w:rsidRPr="00B85027">
        <w:rPr>
          <w:rFonts w:ascii="Times New Roman" w:hAnsi="Times New Roman" w:cs="Times New Roman"/>
          <w:noProof/>
          <w:sz w:val="24"/>
          <w:szCs w:val="24"/>
        </w:rPr>
        <w:t xml:space="preserve">Bonnard et al., 2020, </w:t>
      </w:r>
      <w:r w:rsidR="00FB5EB9" w:rsidRPr="00B85027">
        <w:rPr>
          <w:rFonts w:ascii="Times New Roman" w:hAnsi="Times New Roman" w:cs="Times New Roman"/>
          <w:sz w:val="24"/>
          <w:szCs w:val="24"/>
        </w:rPr>
        <w:fldChar w:fldCharType="end"/>
      </w:r>
      <w:r w:rsidR="004F3E80" w:rsidRPr="00B85027">
        <w:rPr>
          <w:rFonts w:ascii="Times New Roman" w:hAnsi="Times New Roman" w:cs="Times New Roman"/>
          <w:sz w:val="24"/>
          <w:szCs w:val="24"/>
        </w:rPr>
        <w:t xml:space="preserve">Clonidine </w:t>
      </w:r>
      <w:r w:rsidR="00A555F0" w:rsidRPr="00B85027">
        <w:rPr>
          <w:rFonts w:ascii="Times New Roman" w:hAnsi="Times New Roman" w:cs="Times New Roman"/>
          <w:sz w:val="24"/>
          <w:szCs w:val="24"/>
        </w:rPr>
        <w:t xml:space="preserve">increases parasympathetic stimulation while decreasing renal vascular resistance and heart rate. Over the next week, Margaret should </w:t>
      </w:r>
      <w:r w:rsidR="00170B3A" w:rsidRPr="00B85027">
        <w:rPr>
          <w:rFonts w:ascii="Times New Roman" w:hAnsi="Times New Roman" w:cs="Times New Roman"/>
          <w:sz w:val="24"/>
          <w:szCs w:val="24"/>
        </w:rPr>
        <w:t xml:space="preserve">slowly decrease the quantity of Clonidine. As she had reported that she opted out of taking medication for the tremors because the tremors were not particularly bothersome before taking Clonidine. The tremors should subside after a week. </w:t>
      </w:r>
      <w:r w:rsidR="00170B3A" w:rsidRPr="00B85027">
        <w:rPr>
          <w:rFonts w:ascii="Times New Roman" w:hAnsi="Times New Roman" w:cs="Times New Roman"/>
          <w:sz w:val="24"/>
          <w:szCs w:val="24"/>
          <w:shd w:val="clear" w:color="auto" w:fill="FFFFFF"/>
        </w:rPr>
        <w:t>Beta-adrenergic</w:t>
      </w:r>
      <w:r w:rsidR="00FB5EB9" w:rsidRPr="00B85027">
        <w:rPr>
          <w:rFonts w:ascii="Times New Roman" w:hAnsi="Times New Roman" w:cs="Times New Roman"/>
          <w:sz w:val="24"/>
          <w:szCs w:val="24"/>
          <w:shd w:val="clear" w:color="auto" w:fill="FFFFFF"/>
        </w:rPr>
        <w:t xml:space="preserve"> </w:t>
      </w:r>
      <w:r w:rsidR="00170B3A" w:rsidRPr="00B85027">
        <w:rPr>
          <w:rFonts w:ascii="Times New Roman" w:hAnsi="Times New Roman" w:cs="Times New Roman"/>
          <w:sz w:val="24"/>
          <w:szCs w:val="24"/>
          <w:shd w:val="clear" w:color="auto" w:fill="FFFFFF"/>
        </w:rPr>
        <w:t>blockers (principally propranolol) and primidone are the first-line treatment for</w:t>
      </w:r>
      <w:r w:rsidR="00FB5EB9" w:rsidRPr="00B85027">
        <w:rPr>
          <w:rFonts w:ascii="Times New Roman" w:hAnsi="Times New Roman" w:cs="Times New Roman"/>
          <w:sz w:val="24"/>
          <w:szCs w:val="24"/>
          <w:shd w:val="clear" w:color="auto" w:fill="FFFFFF"/>
        </w:rPr>
        <w:t xml:space="preserve"> </w:t>
      </w:r>
      <w:r w:rsidR="00170B3A" w:rsidRPr="00B85027">
        <w:rPr>
          <w:rFonts w:ascii="Times New Roman" w:hAnsi="Times New Roman" w:cs="Times New Roman"/>
          <w:sz w:val="24"/>
          <w:szCs w:val="24"/>
          <w:shd w:val="clear" w:color="auto" w:fill="FFFFFF"/>
        </w:rPr>
        <w:t>essential tremor</w:t>
      </w:r>
      <w:r w:rsidR="00B85027" w:rsidRPr="00B85027">
        <w:rPr>
          <w:rFonts w:ascii="Times New Roman" w:hAnsi="Times New Roman" w:cs="Times New Roman"/>
          <w:sz w:val="24"/>
          <w:szCs w:val="24"/>
          <w:shd w:val="clear" w:color="auto" w:fill="FFFFFF"/>
        </w:rPr>
        <w:t xml:space="preserve">s </w:t>
      </w:r>
      <w:r w:rsidR="00B85027" w:rsidRPr="00B85027">
        <w:rPr>
          <w:rFonts w:ascii="Times New Roman" w:hAnsi="Times New Roman" w:cs="Times New Roman"/>
          <w:sz w:val="24"/>
          <w:szCs w:val="24"/>
          <w:shd w:val="clear" w:color="auto" w:fill="FFFFFF"/>
        </w:rPr>
        <w:fldChar w:fldCharType="begin" w:fldLock="1"/>
      </w:r>
      <w:r w:rsidR="00B85027" w:rsidRPr="00B85027">
        <w:rPr>
          <w:rFonts w:ascii="Times New Roman" w:hAnsi="Times New Roman" w:cs="Times New Roman"/>
          <w:sz w:val="24"/>
          <w:szCs w:val="24"/>
          <w:shd w:val="clear" w:color="auto" w:fill="FFFFFF"/>
        </w:rPr>
        <w:instrText>ADDIN CSL_CITATION {"citationItems":[{"id":"ITEM-1","itemData":{"DOI":"10.2174/1570159x18666200124145743","ISSN":"1570159X","PMID":"31976837","abstract":"© 2020 Bentham Science Publishers. Background: Essential Tremor (ET) is likely the most frequent movement disorder. In this review, we have summarized the current pharmacological options for the treatment of this disorder and discussed several future options derived from drugs tested in experimental models of ET or from neuropathological data. Methods: A literature search was performed on the pharmacology of essential tremors using PubMed Database from 1966 to July 31, 2019. Results: To date, the beta-blocker propranolol and the antiepileptic drug primidone are the drugs that have shown higher efficacy in the treatment of ET. Other drugs tested in ET patients have shown different degrees of efficacy or have not been useful. Conclusion: Injections of botulinum toxin A could be useful in the treatment of some patients with ET refractory to pharmacotherapy. According to recent neurochemical data, drugs acting on the extrasynaptic GABAA receptors, the glutamatergic system or LINGO-1 could be interesting therapeutic options in the future.","author":[{"dropping-particle":"","family":"Alonso-Navarro","given":"Hortensia","non-dropping-particle":"","parse-names":false,"suffix":""},{"dropping-particle":"","family":"García-Martín","given":"Elena","non-dropping-particle":"","parse-names":false,"suffix":""},{"dropping-particle":"","family":"Agúndez","given":"José A.G.","non-dropping-particle":"","parse-names":false,"suffix":""},{"dropping-particle":"","family":"Jiménez-Jiménez","given":"Félix J.","non-dropping-particle":"","parse-names":false,"suffix":""}],"container-title":"Current Neuropharmacology","id":"ITEM-1","issue":"6","issued":{"date-parts":[["2020"]]},"page":"518-537","title":"Current and Future Neuropharmacological Options for the Treatment of Essential Tremor","type":"article-journal","volume":"18"},"uris":["http://www.mendeley.com/documents/?uuid=8b31b791-45f8-4169-aac8-7c7cc022f150"]}],"mendeley":{"formattedCitation":"(Alonso-Navarro et al., 2020)","plainTextFormattedCitation":"(Alonso-Navarro et al., 2020)"},"properties":{"noteIndex":0},"schema":"https://github.com/citation-style-language/schema/raw/master/csl-citation.json"}</w:instrText>
      </w:r>
      <w:r w:rsidR="00B85027" w:rsidRPr="00B85027">
        <w:rPr>
          <w:rFonts w:ascii="Times New Roman" w:hAnsi="Times New Roman" w:cs="Times New Roman"/>
          <w:sz w:val="24"/>
          <w:szCs w:val="24"/>
          <w:shd w:val="clear" w:color="auto" w:fill="FFFFFF"/>
        </w:rPr>
        <w:fldChar w:fldCharType="separate"/>
      </w:r>
      <w:r w:rsidR="00B85027" w:rsidRPr="00B85027">
        <w:rPr>
          <w:rFonts w:ascii="Times New Roman" w:hAnsi="Times New Roman" w:cs="Times New Roman"/>
          <w:noProof/>
          <w:sz w:val="24"/>
          <w:szCs w:val="24"/>
          <w:shd w:val="clear" w:color="auto" w:fill="FFFFFF"/>
        </w:rPr>
        <w:t>(Alonso-Navarro et al., 2020)</w:t>
      </w:r>
      <w:r w:rsidR="00B85027" w:rsidRPr="00B85027">
        <w:rPr>
          <w:rFonts w:ascii="Times New Roman" w:hAnsi="Times New Roman" w:cs="Times New Roman"/>
          <w:sz w:val="24"/>
          <w:szCs w:val="24"/>
          <w:shd w:val="clear" w:color="auto" w:fill="FFFFFF"/>
        </w:rPr>
        <w:fldChar w:fldCharType="end"/>
      </w:r>
      <w:r w:rsidR="00170B3A" w:rsidRPr="00B85027">
        <w:rPr>
          <w:rFonts w:ascii="Times New Roman" w:hAnsi="Times New Roman" w:cs="Times New Roman"/>
          <w:sz w:val="24"/>
          <w:szCs w:val="24"/>
          <w:shd w:val="clear" w:color="auto" w:fill="FFFFFF"/>
        </w:rPr>
        <w:t xml:space="preserve">. To avoid life-threatening hypertension, Margaret should first stop taking Clonidine before embarking on these </w:t>
      </w:r>
      <w:r w:rsidR="00FB5EB9" w:rsidRPr="00B85027">
        <w:rPr>
          <w:rFonts w:ascii="Times New Roman" w:hAnsi="Times New Roman" w:cs="Times New Roman"/>
          <w:sz w:val="24"/>
          <w:szCs w:val="24"/>
          <w:shd w:val="clear" w:color="auto" w:fill="FFFFFF"/>
        </w:rPr>
        <w:t>adrenergic</w:t>
      </w:r>
      <w:r w:rsidR="00170B3A" w:rsidRPr="00B85027">
        <w:rPr>
          <w:rFonts w:ascii="Times New Roman" w:hAnsi="Times New Roman" w:cs="Times New Roman"/>
          <w:sz w:val="24"/>
          <w:szCs w:val="24"/>
          <w:shd w:val="clear" w:color="auto" w:fill="FFFFFF"/>
        </w:rPr>
        <w:t xml:space="preserve"> blockers as the two medications cannot be taken concurrently</w:t>
      </w:r>
      <w:r w:rsidR="00FB5EB9" w:rsidRPr="00B85027">
        <w:rPr>
          <w:rFonts w:ascii="Times New Roman" w:hAnsi="Times New Roman" w:cs="Times New Roman"/>
          <w:sz w:val="24"/>
          <w:szCs w:val="24"/>
          <w:shd w:val="clear" w:color="auto" w:fill="FFFFFF"/>
        </w:rPr>
        <w:t xml:space="preserve"> </w:t>
      </w:r>
      <w:r w:rsidR="00FB5EB9" w:rsidRPr="00B85027">
        <w:rPr>
          <w:rFonts w:ascii="Times New Roman" w:hAnsi="Times New Roman" w:cs="Times New Roman"/>
          <w:sz w:val="24"/>
          <w:szCs w:val="24"/>
          <w:shd w:val="clear" w:color="auto" w:fill="FFFFFF"/>
        </w:rPr>
        <w:fldChar w:fldCharType="begin" w:fldLock="1"/>
      </w:r>
      <w:r w:rsidR="00FB5EB9" w:rsidRPr="00B85027">
        <w:rPr>
          <w:rFonts w:ascii="Times New Roman" w:hAnsi="Times New Roman" w:cs="Times New Roman"/>
          <w:sz w:val="24"/>
          <w:szCs w:val="24"/>
          <w:shd w:val="clear" w:color="auto" w:fill="FFFFFF"/>
        </w:rPr>
        <w:instrText>ADDIN CSL_CITATION {"citationItems":[{"id":"ITEM-1","itemData":{"DOI":"10.15562/bjoa.v2i3.69","ISSN":"2549-2276","author":[{"dropping-particle":"","family":"Aryabiantara","given":"IWayan","non-dropping-particle":"","parse-names":false,"suffix":""},{"dropping-particle":"","family":"Sinardja","given":"IKetut","non-dropping-particle":"","parse-names":false,"suffix":""},{"dropping-particle":"","family":"Jaya Sutawan","given":"IdaBagus Krisna","non-dropping-particle":"","parse-names":false,"suffix":""},{"dropping-particle":"","family":"Sinardja","given":"CynthiaDewi","non-dropping-particle":"","parse-names":false,"suffix":""},{"dropping-particle":"","family":"Parami","given":"Pontisomaya","non-dropping-particle":"","parse-names":false,"suffix":""},{"dropping-particle":"","family":"Ryalino","given":"Christopher","non-dropping-particle":"","parse-names":false,"suffix":""},{"dropping-particle":"","family":"Junaedi","given":"MadeDarma","non-dropping-particle":"","parse-names":false,"suffix":""}],"container-title":"Bali Journal of Anesthesiology","id":"ITEM-1","issue":"3","issued":{"date-parts":[["2018"]]},"page":"51","title":"Perioperative effects of co-administration of tci propofol combined with clonidine and ketamine","type":"article-journal","volume":"2"},"uris":["http://www.mendeley.com/documents/?uuid=85ee8549-c2b2-44f1-8097-dbe47fb99cac"]}],"mendeley":{"formattedCitation":"(Aryabiantara et al., 2018)","plainTextFormattedCitation":"(Aryabiantara et al., 2018)","previouslyFormattedCitation":"(Aryabiantara et al., 2018)"},"properties":{"noteIndex":0},"schema":"https://github.com/citation-style-language/schema/raw/master/csl-citation.json"}</w:instrText>
      </w:r>
      <w:r w:rsidR="00FB5EB9" w:rsidRPr="00B85027">
        <w:rPr>
          <w:rFonts w:ascii="Times New Roman" w:hAnsi="Times New Roman" w:cs="Times New Roman"/>
          <w:sz w:val="24"/>
          <w:szCs w:val="24"/>
          <w:shd w:val="clear" w:color="auto" w:fill="FFFFFF"/>
        </w:rPr>
        <w:fldChar w:fldCharType="separate"/>
      </w:r>
      <w:r w:rsidR="00FB5EB9" w:rsidRPr="00B85027">
        <w:rPr>
          <w:rFonts w:ascii="Times New Roman" w:hAnsi="Times New Roman" w:cs="Times New Roman"/>
          <w:noProof/>
          <w:sz w:val="24"/>
          <w:szCs w:val="24"/>
          <w:shd w:val="clear" w:color="auto" w:fill="FFFFFF"/>
        </w:rPr>
        <w:t>(Aryabiantara et al., 2018)</w:t>
      </w:r>
      <w:r w:rsidR="00FB5EB9" w:rsidRPr="00B85027">
        <w:rPr>
          <w:rFonts w:ascii="Times New Roman" w:hAnsi="Times New Roman" w:cs="Times New Roman"/>
          <w:sz w:val="24"/>
          <w:szCs w:val="24"/>
          <w:shd w:val="clear" w:color="auto" w:fill="FFFFFF"/>
        </w:rPr>
        <w:fldChar w:fldCharType="end"/>
      </w:r>
      <w:r w:rsidR="00EF3AD8" w:rsidRPr="00B85027">
        <w:rPr>
          <w:rFonts w:ascii="Times New Roman" w:hAnsi="Times New Roman" w:cs="Times New Roman"/>
          <w:sz w:val="24"/>
          <w:szCs w:val="24"/>
        </w:rPr>
        <w:t>.</w:t>
      </w:r>
    </w:p>
    <w:p w14:paraId="40C04D36" w14:textId="57FD8E61" w:rsidR="008B7C20" w:rsidRPr="00B85027" w:rsidRDefault="00A24591" w:rsidP="00B85027">
      <w:pPr>
        <w:shd w:val="clear" w:color="auto" w:fill="FFFFFF"/>
        <w:spacing w:before="100" w:beforeAutospacing="1" w:after="0" w:afterAutospacing="1" w:line="480" w:lineRule="auto"/>
        <w:ind w:left="120"/>
        <w:rPr>
          <w:rFonts w:ascii="Times New Roman" w:hAnsi="Times New Roman" w:cs="Times New Roman"/>
          <w:sz w:val="24"/>
          <w:szCs w:val="24"/>
        </w:rPr>
      </w:pPr>
      <w:r w:rsidRPr="00B85027">
        <w:rPr>
          <w:rFonts w:ascii="Times New Roman" w:hAnsi="Times New Roman" w:cs="Times New Roman"/>
          <w:sz w:val="24"/>
          <w:szCs w:val="24"/>
        </w:rPr>
        <w:t xml:space="preserve">To treat Margaret’s’ hypertension, atenolol (brand name Tenormin) can be administered. It is a beta-1selective blocker that can be used with or without other medications. The medication </w:t>
      </w:r>
      <w:r w:rsidRPr="00B85027">
        <w:rPr>
          <w:rFonts w:ascii="Times New Roman" w:hAnsi="Times New Roman" w:cs="Times New Roman"/>
          <w:sz w:val="24"/>
          <w:szCs w:val="24"/>
        </w:rPr>
        <w:lastRenderedPageBreak/>
        <w:t>works by blocking epinephrine, lowering heart rate, blood pressure, and strain on the heart. Margaret should take 25mg/day orally initiated for five days.</w:t>
      </w:r>
    </w:p>
    <w:p w14:paraId="21B11D09" w14:textId="6A705244" w:rsidR="00D70BD0" w:rsidRPr="00B85027" w:rsidRDefault="00A24591" w:rsidP="00B85027">
      <w:pPr>
        <w:shd w:val="clear" w:color="auto" w:fill="FFFFFF"/>
        <w:spacing w:before="100" w:beforeAutospacing="1" w:after="0" w:line="480" w:lineRule="auto"/>
        <w:ind w:left="120"/>
        <w:rPr>
          <w:rFonts w:ascii="Times New Roman" w:hAnsi="Times New Roman" w:cs="Times New Roman"/>
          <w:b/>
          <w:bCs/>
          <w:sz w:val="24"/>
          <w:szCs w:val="24"/>
        </w:rPr>
      </w:pPr>
      <w:r w:rsidRPr="00B85027">
        <w:rPr>
          <w:rFonts w:ascii="Times New Roman" w:hAnsi="Times New Roman" w:cs="Times New Roman"/>
          <w:b/>
          <w:bCs/>
          <w:sz w:val="24"/>
          <w:szCs w:val="24"/>
        </w:rPr>
        <w:t>Pick one medication from your response above and list five patient-centered teaching points for the medication. </w:t>
      </w:r>
    </w:p>
    <w:p w14:paraId="7210F2CF" w14:textId="0E5DD3E0" w:rsidR="008B7C20" w:rsidRPr="00B85027" w:rsidRDefault="00A24591" w:rsidP="00B85027">
      <w:pPr>
        <w:shd w:val="clear" w:color="auto" w:fill="FFFFFF"/>
        <w:spacing w:before="100" w:beforeAutospacing="1" w:after="0" w:line="480" w:lineRule="auto"/>
        <w:ind w:left="120"/>
        <w:rPr>
          <w:rFonts w:ascii="Times New Roman" w:hAnsi="Times New Roman" w:cs="Times New Roman"/>
          <w:sz w:val="24"/>
          <w:szCs w:val="24"/>
        </w:rPr>
      </w:pPr>
      <w:r w:rsidRPr="00B85027">
        <w:rPr>
          <w:rFonts w:ascii="Times New Roman" w:hAnsi="Times New Roman" w:cs="Times New Roman"/>
          <w:sz w:val="24"/>
          <w:szCs w:val="24"/>
        </w:rPr>
        <w:t>Medication: Atenolol</w:t>
      </w:r>
    </w:p>
    <w:p w14:paraId="55FA83A1" w14:textId="204A6012" w:rsidR="008B7C20" w:rsidRPr="00B85027" w:rsidRDefault="00A24591" w:rsidP="00B85027">
      <w:pPr>
        <w:pStyle w:val="ListParagraph"/>
        <w:numPr>
          <w:ilvl w:val="0"/>
          <w:numId w:val="3"/>
        </w:numPr>
        <w:shd w:val="clear" w:color="auto" w:fill="FFFFFF"/>
        <w:spacing w:before="100" w:beforeAutospacing="1" w:after="0" w:line="480" w:lineRule="auto"/>
        <w:rPr>
          <w:rFonts w:ascii="Times New Roman" w:hAnsi="Times New Roman" w:cs="Times New Roman"/>
          <w:sz w:val="24"/>
          <w:szCs w:val="24"/>
        </w:rPr>
      </w:pPr>
      <w:r w:rsidRPr="00B85027">
        <w:rPr>
          <w:rFonts w:ascii="Times New Roman" w:hAnsi="Times New Roman" w:cs="Times New Roman"/>
          <w:sz w:val="24"/>
          <w:szCs w:val="24"/>
          <w:shd w:val="clear" w:color="auto" w:fill="FFFFFF"/>
        </w:rPr>
        <w:t>use the medication as directed and tell your doctor if your symptoms do not improve.</w:t>
      </w:r>
    </w:p>
    <w:p w14:paraId="60546183" w14:textId="6F285DFB" w:rsidR="008B7C20" w:rsidRPr="00B85027" w:rsidRDefault="00A24591" w:rsidP="00B85027">
      <w:pPr>
        <w:pStyle w:val="ListParagraph"/>
        <w:numPr>
          <w:ilvl w:val="0"/>
          <w:numId w:val="3"/>
        </w:numPr>
        <w:shd w:val="clear" w:color="auto" w:fill="FFFFFF"/>
        <w:spacing w:before="100" w:beforeAutospacing="1" w:after="0" w:line="480" w:lineRule="auto"/>
        <w:rPr>
          <w:rFonts w:ascii="Times New Roman" w:hAnsi="Times New Roman" w:cs="Times New Roman"/>
          <w:sz w:val="24"/>
          <w:szCs w:val="24"/>
        </w:rPr>
      </w:pPr>
      <w:r w:rsidRPr="00B85027">
        <w:rPr>
          <w:rFonts w:ascii="Times New Roman" w:hAnsi="Times New Roman" w:cs="Times New Roman"/>
          <w:sz w:val="24"/>
          <w:szCs w:val="24"/>
          <w:shd w:val="clear" w:color="auto" w:fill="FFFFFF"/>
        </w:rPr>
        <w:t>Store the medication at room temperature away from moisture, heat, and light. Keep the bottle tightly closed when not in use.</w:t>
      </w:r>
    </w:p>
    <w:p w14:paraId="121D071C" w14:textId="708F02BC" w:rsidR="008B7C20" w:rsidRPr="00B85027" w:rsidRDefault="00A24591" w:rsidP="00B85027">
      <w:pPr>
        <w:pStyle w:val="ListParagraph"/>
        <w:numPr>
          <w:ilvl w:val="0"/>
          <w:numId w:val="3"/>
        </w:numPr>
        <w:shd w:val="clear" w:color="auto" w:fill="FFFFFF"/>
        <w:spacing w:before="100" w:beforeAutospacing="1" w:after="0" w:line="480" w:lineRule="auto"/>
        <w:rPr>
          <w:rFonts w:ascii="Times New Roman" w:hAnsi="Times New Roman" w:cs="Times New Roman"/>
          <w:sz w:val="24"/>
          <w:szCs w:val="24"/>
        </w:rPr>
      </w:pPr>
      <w:r w:rsidRPr="00B85027">
        <w:rPr>
          <w:rFonts w:ascii="Times New Roman" w:hAnsi="Times New Roman" w:cs="Times New Roman"/>
          <w:sz w:val="24"/>
          <w:szCs w:val="24"/>
          <w:shd w:val="clear" w:color="auto" w:fill="FFFFFF"/>
        </w:rPr>
        <w:t>Take the missed dose as soon as you remember. Skip the missed dose if it is almost time for your next scheduled dose. </w:t>
      </w:r>
      <w:r w:rsidRPr="00B85027">
        <w:rPr>
          <w:rFonts w:ascii="Times New Roman" w:hAnsi="Times New Roman" w:cs="Times New Roman"/>
          <w:sz w:val="24"/>
          <w:szCs w:val="24"/>
          <w:bdr w:val="none" w:sz="0" w:space="0" w:color="auto" w:frame="1"/>
          <w:shd w:val="clear" w:color="auto" w:fill="FFFFFF"/>
        </w:rPr>
        <w:t>Do not</w:t>
      </w:r>
      <w:r w:rsidRPr="00B85027">
        <w:rPr>
          <w:rFonts w:ascii="Times New Roman" w:hAnsi="Times New Roman" w:cs="Times New Roman"/>
          <w:sz w:val="24"/>
          <w:szCs w:val="24"/>
          <w:shd w:val="clear" w:color="auto" w:fill="FFFFFF"/>
        </w:rPr>
        <w:t xml:space="preserve"> take extra medicine to make up the missed dose.</w:t>
      </w:r>
    </w:p>
    <w:p w14:paraId="3968EA8C" w14:textId="4D9A643C" w:rsidR="008B7C20" w:rsidRPr="00B85027" w:rsidRDefault="00A24591" w:rsidP="00B85027">
      <w:pPr>
        <w:pStyle w:val="ListParagraph"/>
        <w:numPr>
          <w:ilvl w:val="0"/>
          <w:numId w:val="3"/>
        </w:numPr>
        <w:shd w:val="clear" w:color="auto" w:fill="FFFFFF"/>
        <w:spacing w:before="100" w:beforeAutospacing="1" w:after="0" w:line="480" w:lineRule="auto"/>
        <w:rPr>
          <w:rFonts w:ascii="Times New Roman" w:hAnsi="Times New Roman" w:cs="Times New Roman"/>
          <w:sz w:val="24"/>
          <w:szCs w:val="24"/>
        </w:rPr>
      </w:pPr>
      <w:r w:rsidRPr="00B85027">
        <w:rPr>
          <w:rFonts w:ascii="Times New Roman" w:hAnsi="Times New Roman" w:cs="Times New Roman"/>
          <w:sz w:val="24"/>
          <w:szCs w:val="24"/>
          <w:shd w:val="clear" w:color="auto" w:fill="FFFFFF"/>
        </w:rPr>
        <w:t>Follow the doctor's instructions about any restrictions on food, beverages, or activity.</w:t>
      </w:r>
    </w:p>
    <w:p w14:paraId="6F6CF42F" w14:textId="601AB6FB" w:rsidR="008B7C20" w:rsidRPr="00B85027" w:rsidRDefault="00A24591" w:rsidP="00B85027">
      <w:pPr>
        <w:pStyle w:val="ListParagraph"/>
        <w:numPr>
          <w:ilvl w:val="0"/>
          <w:numId w:val="3"/>
        </w:numPr>
        <w:shd w:val="clear" w:color="auto" w:fill="FFFFFF"/>
        <w:spacing w:before="100" w:beforeAutospacing="1" w:after="0" w:line="480" w:lineRule="auto"/>
        <w:rPr>
          <w:rFonts w:ascii="Times New Roman" w:hAnsi="Times New Roman" w:cs="Times New Roman"/>
          <w:sz w:val="24"/>
          <w:szCs w:val="24"/>
        </w:rPr>
      </w:pPr>
      <w:r w:rsidRPr="00B85027">
        <w:rPr>
          <w:rFonts w:ascii="Times New Roman" w:hAnsi="Times New Roman" w:cs="Times New Roman"/>
          <w:sz w:val="24"/>
          <w:szCs w:val="24"/>
          <w:shd w:val="clear" w:color="auto" w:fill="FFFFFF"/>
        </w:rPr>
        <w:t>Using atenolol during pregnancy could harm the unborn baby. Tell your doctor if you are pregnant or if you become pregnant while using this medicine.</w:t>
      </w:r>
    </w:p>
    <w:p w14:paraId="5A243617" w14:textId="3A3C0791" w:rsidR="008B7C20" w:rsidRPr="00B85027" w:rsidRDefault="008B7C20" w:rsidP="00B85027">
      <w:pPr>
        <w:shd w:val="clear" w:color="auto" w:fill="FFFFFF"/>
        <w:spacing w:before="100" w:beforeAutospacing="1" w:after="0" w:line="480" w:lineRule="auto"/>
        <w:rPr>
          <w:rFonts w:ascii="Times New Roman" w:hAnsi="Times New Roman" w:cs="Times New Roman"/>
          <w:sz w:val="24"/>
          <w:szCs w:val="24"/>
        </w:rPr>
      </w:pPr>
    </w:p>
    <w:p w14:paraId="2BFB1F24" w14:textId="5BE67D45" w:rsidR="008B7C20" w:rsidRPr="00B85027" w:rsidRDefault="008B7C20" w:rsidP="00B85027">
      <w:pPr>
        <w:shd w:val="clear" w:color="auto" w:fill="FFFFFF"/>
        <w:spacing w:before="100" w:beforeAutospacing="1" w:after="0" w:line="480" w:lineRule="auto"/>
        <w:rPr>
          <w:rFonts w:ascii="Times New Roman" w:hAnsi="Times New Roman" w:cs="Times New Roman"/>
          <w:sz w:val="24"/>
          <w:szCs w:val="24"/>
        </w:rPr>
      </w:pPr>
    </w:p>
    <w:p w14:paraId="3460AE10" w14:textId="7C026829" w:rsidR="008B7C20" w:rsidRPr="00B85027" w:rsidRDefault="008B7C20" w:rsidP="00B85027">
      <w:pPr>
        <w:shd w:val="clear" w:color="auto" w:fill="FFFFFF"/>
        <w:spacing w:before="100" w:beforeAutospacing="1" w:after="0" w:line="480" w:lineRule="auto"/>
        <w:rPr>
          <w:rFonts w:ascii="Times New Roman" w:hAnsi="Times New Roman" w:cs="Times New Roman"/>
          <w:sz w:val="24"/>
          <w:szCs w:val="24"/>
        </w:rPr>
      </w:pPr>
    </w:p>
    <w:p w14:paraId="0362F09F" w14:textId="05B5C3D4" w:rsidR="008B7C20" w:rsidRPr="00B85027" w:rsidRDefault="008B7C20" w:rsidP="00B85027">
      <w:pPr>
        <w:shd w:val="clear" w:color="auto" w:fill="FFFFFF"/>
        <w:spacing w:before="100" w:beforeAutospacing="1" w:after="0" w:line="480" w:lineRule="auto"/>
        <w:rPr>
          <w:rFonts w:ascii="Times New Roman" w:hAnsi="Times New Roman" w:cs="Times New Roman"/>
          <w:sz w:val="24"/>
          <w:szCs w:val="24"/>
        </w:rPr>
      </w:pPr>
    </w:p>
    <w:p w14:paraId="29265B1B" w14:textId="3F81F266" w:rsidR="008B7C20" w:rsidRPr="00B85027" w:rsidRDefault="008B7C20" w:rsidP="00B85027">
      <w:pPr>
        <w:shd w:val="clear" w:color="auto" w:fill="FFFFFF"/>
        <w:spacing w:before="100" w:beforeAutospacing="1" w:after="0" w:line="480" w:lineRule="auto"/>
        <w:rPr>
          <w:rFonts w:ascii="Times New Roman" w:hAnsi="Times New Roman" w:cs="Times New Roman"/>
          <w:sz w:val="24"/>
          <w:szCs w:val="24"/>
        </w:rPr>
      </w:pPr>
    </w:p>
    <w:p w14:paraId="725222FB" w14:textId="77777777" w:rsidR="000150D7" w:rsidRPr="00B85027" w:rsidRDefault="000150D7" w:rsidP="00B85027">
      <w:pPr>
        <w:pStyle w:val="NormalWeb"/>
        <w:shd w:val="clear" w:color="auto" w:fill="FFFFFF"/>
        <w:spacing w:before="180" w:beforeAutospacing="0" w:after="0" w:afterAutospacing="0" w:line="480" w:lineRule="auto"/>
      </w:pPr>
    </w:p>
    <w:p w14:paraId="406E4387" w14:textId="7301BA64" w:rsidR="006F7C9A" w:rsidRPr="00B85027" w:rsidRDefault="00A24591" w:rsidP="00B85027">
      <w:pPr>
        <w:pStyle w:val="NormalWeb"/>
        <w:shd w:val="clear" w:color="auto" w:fill="FFFFFF"/>
        <w:spacing w:before="180" w:beforeAutospacing="0" w:after="0" w:afterAutospacing="0" w:line="480" w:lineRule="auto"/>
        <w:jc w:val="center"/>
        <w:rPr>
          <w:b/>
          <w:bCs/>
        </w:rPr>
      </w:pPr>
      <w:r w:rsidRPr="00B85027">
        <w:rPr>
          <w:b/>
          <w:bCs/>
        </w:rPr>
        <w:lastRenderedPageBreak/>
        <w:t>Reference</w:t>
      </w:r>
      <w:bookmarkStart w:id="0" w:name="R438529794675926I0"/>
      <w:r w:rsidR="00B85027" w:rsidRPr="00B85027">
        <w:rPr>
          <w:b/>
          <w:bCs/>
        </w:rPr>
        <w:t>s</w:t>
      </w:r>
    </w:p>
    <w:p w14:paraId="0251C9BB" w14:textId="466BD9B5" w:rsidR="00B85027" w:rsidRPr="00B85027" w:rsidRDefault="00A24591" w:rsidP="00B85027">
      <w:pPr>
        <w:widowControl w:val="0"/>
        <w:autoSpaceDE w:val="0"/>
        <w:autoSpaceDN w:val="0"/>
        <w:adjustRightInd w:val="0"/>
        <w:spacing w:before="180" w:after="0" w:line="480" w:lineRule="auto"/>
        <w:ind w:left="480" w:hanging="480"/>
        <w:rPr>
          <w:rFonts w:ascii="Times New Roman" w:hAnsi="Times New Roman" w:cs="Times New Roman"/>
          <w:noProof/>
          <w:sz w:val="24"/>
          <w:szCs w:val="24"/>
        </w:rPr>
      </w:pPr>
      <w:r w:rsidRPr="00B85027">
        <w:rPr>
          <w:rFonts w:ascii="Times New Roman" w:hAnsi="Times New Roman" w:cs="Times New Roman"/>
          <w:sz w:val="24"/>
          <w:szCs w:val="24"/>
        </w:rPr>
        <w:fldChar w:fldCharType="begin" w:fldLock="1"/>
      </w:r>
      <w:r w:rsidRPr="00B85027">
        <w:rPr>
          <w:rFonts w:ascii="Times New Roman" w:hAnsi="Times New Roman" w:cs="Times New Roman"/>
          <w:sz w:val="24"/>
          <w:szCs w:val="24"/>
        </w:rPr>
        <w:instrText xml:space="preserve">ADDIN Mendeley Bibliography CSL_BIBLIOGRAPHY </w:instrText>
      </w:r>
      <w:r w:rsidRPr="00B85027">
        <w:rPr>
          <w:rFonts w:ascii="Times New Roman" w:hAnsi="Times New Roman" w:cs="Times New Roman"/>
          <w:sz w:val="24"/>
          <w:szCs w:val="24"/>
        </w:rPr>
        <w:fldChar w:fldCharType="separate"/>
      </w:r>
      <w:r w:rsidRPr="00B85027">
        <w:rPr>
          <w:rFonts w:ascii="Times New Roman" w:hAnsi="Times New Roman" w:cs="Times New Roman"/>
          <w:noProof/>
          <w:sz w:val="24"/>
          <w:szCs w:val="24"/>
        </w:rPr>
        <w:t xml:space="preserve">Alonso-Navarro, H., García-Martín, E., Agúndez, J. A. G., &amp; Jiménez-Jiménez, F. J. (2020). Current and Future Neuropharmacological Options for the Treatment of Essential Tremor. </w:t>
      </w:r>
      <w:r w:rsidRPr="00B85027">
        <w:rPr>
          <w:rFonts w:ascii="Times New Roman" w:hAnsi="Times New Roman" w:cs="Times New Roman"/>
          <w:i/>
          <w:iCs/>
          <w:noProof/>
          <w:sz w:val="24"/>
          <w:szCs w:val="24"/>
        </w:rPr>
        <w:t>Current Neuropharmacology</w:t>
      </w:r>
      <w:r w:rsidRPr="00B85027">
        <w:rPr>
          <w:rFonts w:ascii="Times New Roman" w:hAnsi="Times New Roman" w:cs="Times New Roman"/>
          <w:noProof/>
          <w:sz w:val="24"/>
          <w:szCs w:val="24"/>
        </w:rPr>
        <w:t xml:space="preserve">, </w:t>
      </w:r>
      <w:r w:rsidRPr="00B85027">
        <w:rPr>
          <w:rFonts w:ascii="Times New Roman" w:hAnsi="Times New Roman" w:cs="Times New Roman"/>
          <w:i/>
          <w:iCs/>
          <w:noProof/>
          <w:sz w:val="24"/>
          <w:szCs w:val="24"/>
        </w:rPr>
        <w:t>18</w:t>
      </w:r>
      <w:r w:rsidRPr="00B85027">
        <w:rPr>
          <w:rFonts w:ascii="Times New Roman" w:hAnsi="Times New Roman" w:cs="Times New Roman"/>
          <w:noProof/>
          <w:sz w:val="24"/>
          <w:szCs w:val="24"/>
        </w:rPr>
        <w:t>(6), 518–537. https://doi.org/10.2174/1570159x18666200124145743</w:t>
      </w:r>
    </w:p>
    <w:p w14:paraId="16B4C681" w14:textId="77777777" w:rsidR="00B85027" w:rsidRPr="00B85027" w:rsidRDefault="00A24591" w:rsidP="00B85027">
      <w:pPr>
        <w:widowControl w:val="0"/>
        <w:autoSpaceDE w:val="0"/>
        <w:autoSpaceDN w:val="0"/>
        <w:adjustRightInd w:val="0"/>
        <w:spacing w:before="180" w:after="0" w:line="480" w:lineRule="auto"/>
        <w:ind w:left="480" w:hanging="480"/>
        <w:rPr>
          <w:rFonts w:ascii="Times New Roman" w:hAnsi="Times New Roman" w:cs="Times New Roman"/>
          <w:noProof/>
          <w:sz w:val="24"/>
          <w:szCs w:val="24"/>
        </w:rPr>
      </w:pPr>
      <w:r w:rsidRPr="00B85027">
        <w:rPr>
          <w:rFonts w:ascii="Times New Roman" w:hAnsi="Times New Roman" w:cs="Times New Roman"/>
          <w:noProof/>
          <w:sz w:val="24"/>
          <w:szCs w:val="24"/>
        </w:rPr>
        <w:t xml:space="preserve">Aryabiantara, Iw., Sinardja, Ik., Jaya Sutawan, I. K., Sinardja, C., Parami, P., Ryalino, C., &amp; Junaedi, M. (2018). Perioperative effects of co-administration of the propofol combined with Clonidine and ketamine. </w:t>
      </w:r>
      <w:r w:rsidRPr="00B85027">
        <w:rPr>
          <w:rFonts w:ascii="Times New Roman" w:hAnsi="Times New Roman" w:cs="Times New Roman"/>
          <w:i/>
          <w:iCs/>
          <w:noProof/>
          <w:sz w:val="24"/>
          <w:szCs w:val="24"/>
        </w:rPr>
        <w:t>Bali Journal of Anesthesiology</w:t>
      </w:r>
      <w:r w:rsidRPr="00B85027">
        <w:rPr>
          <w:rFonts w:ascii="Times New Roman" w:hAnsi="Times New Roman" w:cs="Times New Roman"/>
          <w:noProof/>
          <w:sz w:val="24"/>
          <w:szCs w:val="24"/>
        </w:rPr>
        <w:t xml:space="preserve">, </w:t>
      </w:r>
      <w:r w:rsidRPr="00B85027">
        <w:rPr>
          <w:rFonts w:ascii="Times New Roman" w:hAnsi="Times New Roman" w:cs="Times New Roman"/>
          <w:i/>
          <w:iCs/>
          <w:noProof/>
          <w:sz w:val="24"/>
          <w:szCs w:val="24"/>
        </w:rPr>
        <w:t>2</w:t>
      </w:r>
      <w:r w:rsidRPr="00B85027">
        <w:rPr>
          <w:rFonts w:ascii="Times New Roman" w:hAnsi="Times New Roman" w:cs="Times New Roman"/>
          <w:noProof/>
          <w:sz w:val="24"/>
          <w:szCs w:val="24"/>
        </w:rPr>
        <w:t>(3), 51. https://doi.org/10.15562/bjoa.v2i3.69</w:t>
      </w:r>
    </w:p>
    <w:p w14:paraId="303005DA" w14:textId="77777777" w:rsidR="00B85027" w:rsidRPr="00B85027" w:rsidRDefault="00A24591" w:rsidP="00B85027">
      <w:pPr>
        <w:widowControl w:val="0"/>
        <w:autoSpaceDE w:val="0"/>
        <w:autoSpaceDN w:val="0"/>
        <w:adjustRightInd w:val="0"/>
        <w:spacing w:before="180" w:after="0" w:line="480" w:lineRule="auto"/>
        <w:ind w:left="480" w:hanging="480"/>
        <w:rPr>
          <w:rFonts w:ascii="Times New Roman" w:hAnsi="Times New Roman" w:cs="Times New Roman"/>
          <w:noProof/>
          <w:sz w:val="24"/>
          <w:szCs w:val="24"/>
        </w:rPr>
      </w:pPr>
      <w:r w:rsidRPr="00B85027">
        <w:rPr>
          <w:rFonts w:ascii="Times New Roman" w:hAnsi="Times New Roman" w:cs="Times New Roman"/>
          <w:noProof/>
          <w:sz w:val="24"/>
          <w:szCs w:val="24"/>
        </w:rPr>
        <w:t xml:space="preserve">Bonnard, C., Wirth, T., Gebus, O., Fahrer, P., Montaut, S., Robelin, L., Tuzin, N., Tranchant, C., &amp; Anheim, M. (2020). Clonidine GH stimulation test to differentiate MSA from idiopathic late-onset cerebellar ataxia: a prospective, controlled study. </w:t>
      </w:r>
      <w:r w:rsidRPr="00B85027">
        <w:rPr>
          <w:rFonts w:ascii="Times New Roman" w:hAnsi="Times New Roman" w:cs="Times New Roman"/>
          <w:i/>
          <w:iCs/>
          <w:noProof/>
          <w:sz w:val="24"/>
          <w:szCs w:val="24"/>
        </w:rPr>
        <w:t>Journal of Neurology</w:t>
      </w:r>
      <w:r w:rsidRPr="00B85027">
        <w:rPr>
          <w:rFonts w:ascii="Times New Roman" w:hAnsi="Times New Roman" w:cs="Times New Roman"/>
          <w:noProof/>
          <w:sz w:val="24"/>
          <w:szCs w:val="24"/>
        </w:rPr>
        <w:t xml:space="preserve">, </w:t>
      </w:r>
      <w:r w:rsidRPr="00B85027">
        <w:rPr>
          <w:rFonts w:ascii="Times New Roman" w:hAnsi="Times New Roman" w:cs="Times New Roman"/>
          <w:i/>
          <w:iCs/>
          <w:noProof/>
          <w:sz w:val="24"/>
          <w:szCs w:val="24"/>
        </w:rPr>
        <w:t>267</w:t>
      </w:r>
      <w:r w:rsidRPr="00B85027">
        <w:rPr>
          <w:rFonts w:ascii="Times New Roman" w:hAnsi="Times New Roman" w:cs="Times New Roman"/>
          <w:noProof/>
          <w:sz w:val="24"/>
          <w:szCs w:val="24"/>
        </w:rPr>
        <w:t>(3), 855–859. https://doi.org/10.1007/s00415-020-09737-z</w:t>
      </w:r>
    </w:p>
    <w:p w14:paraId="245894E7" w14:textId="2C474E15" w:rsidR="00B85027" w:rsidRPr="00B85027" w:rsidRDefault="00A24591" w:rsidP="00B85027">
      <w:pPr>
        <w:pStyle w:val="NormalWeb"/>
        <w:shd w:val="clear" w:color="auto" w:fill="FFFFFF"/>
        <w:spacing w:before="180" w:beforeAutospacing="0" w:after="0" w:afterAutospacing="0" w:line="480" w:lineRule="auto"/>
        <w:jc w:val="center"/>
      </w:pPr>
      <w:r w:rsidRPr="00B85027">
        <w:fldChar w:fldCharType="end"/>
      </w:r>
    </w:p>
    <w:p w14:paraId="62D6D10B" w14:textId="77777777" w:rsidR="004D7D18" w:rsidRPr="00B85027" w:rsidRDefault="004D7D18" w:rsidP="00B85027">
      <w:pPr>
        <w:pStyle w:val="NormalWeb"/>
        <w:shd w:val="clear" w:color="auto" w:fill="FFFFFF"/>
        <w:spacing w:before="180" w:beforeAutospacing="0" w:after="0" w:afterAutospacing="0" w:line="480" w:lineRule="auto"/>
      </w:pPr>
    </w:p>
    <w:bookmarkEnd w:id="0"/>
    <w:p w14:paraId="262FAF62" w14:textId="77777777" w:rsidR="003617FB" w:rsidRPr="00B85027" w:rsidRDefault="003617FB" w:rsidP="00B85027">
      <w:pPr>
        <w:shd w:val="clear" w:color="auto" w:fill="FFFFFF"/>
        <w:spacing w:after="0" w:line="480" w:lineRule="auto"/>
        <w:outlineLvl w:val="0"/>
        <w:rPr>
          <w:rFonts w:ascii="Times New Roman" w:eastAsia="Times New Roman" w:hAnsi="Times New Roman" w:cs="Times New Roman"/>
          <w:kern w:val="36"/>
          <w:sz w:val="24"/>
          <w:szCs w:val="24"/>
        </w:rPr>
      </w:pPr>
    </w:p>
    <w:sectPr w:rsidR="003617FB" w:rsidRPr="00B850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F6B88" w14:textId="77777777" w:rsidR="00A83970" w:rsidRDefault="00A83970">
      <w:pPr>
        <w:spacing w:after="0" w:line="240" w:lineRule="auto"/>
      </w:pPr>
      <w:r>
        <w:separator/>
      </w:r>
    </w:p>
  </w:endnote>
  <w:endnote w:type="continuationSeparator" w:id="0">
    <w:p w14:paraId="4BD49373" w14:textId="77777777" w:rsidR="00A83970" w:rsidRDefault="00A8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DC38B" w14:textId="77777777" w:rsidR="00A83970" w:rsidRDefault="00A83970">
      <w:pPr>
        <w:spacing w:after="0" w:line="240" w:lineRule="auto"/>
      </w:pPr>
      <w:r>
        <w:separator/>
      </w:r>
    </w:p>
  </w:footnote>
  <w:footnote w:type="continuationSeparator" w:id="0">
    <w:p w14:paraId="3D86ACC5" w14:textId="77777777" w:rsidR="00A83970" w:rsidRDefault="00A83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9635040"/>
      <w:docPartObj>
        <w:docPartGallery w:val="Page Numbers (Top of Page)"/>
        <w:docPartUnique/>
      </w:docPartObj>
    </w:sdtPr>
    <w:sdtEndPr>
      <w:rPr>
        <w:noProof/>
      </w:rPr>
    </w:sdtEndPr>
    <w:sdtContent>
      <w:p w14:paraId="55666BF9" w14:textId="712F7529" w:rsidR="00B85027" w:rsidRDefault="00A245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38E017" w14:textId="77777777" w:rsidR="00B85027" w:rsidRDefault="00B850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D1CDC"/>
    <w:multiLevelType w:val="multilevel"/>
    <w:tmpl w:val="DDAEF31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94956"/>
    <w:multiLevelType w:val="hybridMultilevel"/>
    <w:tmpl w:val="35020B0C"/>
    <w:lvl w:ilvl="0" w:tplc="FFE82FEE">
      <w:start w:val="1"/>
      <w:numFmt w:val="bullet"/>
      <w:lvlText w:val=""/>
      <w:lvlJc w:val="left"/>
      <w:pPr>
        <w:ind w:left="720" w:hanging="360"/>
      </w:pPr>
      <w:rPr>
        <w:rFonts w:ascii="Symbol" w:hAnsi="Symbol" w:hint="default"/>
      </w:rPr>
    </w:lvl>
    <w:lvl w:ilvl="1" w:tplc="46AEDF72" w:tentative="1">
      <w:start w:val="1"/>
      <w:numFmt w:val="bullet"/>
      <w:lvlText w:val="o"/>
      <w:lvlJc w:val="left"/>
      <w:pPr>
        <w:ind w:left="1440" w:hanging="360"/>
      </w:pPr>
      <w:rPr>
        <w:rFonts w:ascii="Courier New" w:hAnsi="Courier New" w:cs="Courier New" w:hint="default"/>
      </w:rPr>
    </w:lvl>
    <w:lvl w:ilvl="2" w:tplc="B5C2548E" w:tentative="1">
      <w:start w:val="1"/>
      <w:numFmt w:val="bullet"/>
      <w:lvlText w:val=""/>
      <w:lvlJc w:val="left"/>
      <w:pPr>
        <w:ind w:left="2160" w:hanging="360"/>
      </w:pPr>
      <w:rPr>
        <w:rFonts w:ascii="Wingdings" w:hAnsi="Wingdings" w:hint="default"/>
      </w:rPr>
    </w:lvl>
    <w:lvl w:ilvl="3" w:tplc="59C8D0C8" w:tentative="1">
      <w:start w:val="1"/>
      <w:numFmt w:val="bullet"/>
      <w:lvlText w:val=""/>
      <w:lvlJc w:val="left"/>
      <w:pPr>
        <w:ind w:left="2880" w:hanging="360"/>
      </w:pPr>
      <w:rPr>
        <w:rFonts w:ascii="Symbol" w:hAnsi="Symbol" w:hint="default"/>
      </w:rPr>
    </w:lvl>
    <w:lvl w:ilvl="4" w:tplc="064041AE" w:tentative="1">
      <w:start w:val="1"/>
      <w:numFmt w:val="bullet"/>
      <w:lvlText w:val="o"/>
      <w:lvlJc w:val="left"/>
      <w:pPr>
        <w:ind w:left="3600" w:hanging="360"/>
      </w:pPr>
      <w:rPr>
        <w:rFonts w:ascii="Courier New" w:hAnsi="Courier New" w:cs="Courier New" w:hint="default"/>
      </w:rPr>
    </w:lvl>
    <w:lvl w:ilvl="5" w:tplc="123E2E48" w:tentative="1">
      <w:start w:val="1"/>
      <w:numFmt w:val="bullet"/>
      <w:lvlText w:val=""/>
      <w:lvlJc w:val="left"/>
      <w:pPr>
        <w:ind w:left="4320" w:hanging="360"/>
      </w:pPr>
      <w:rPr>
        <w:rFonts w:ascii="Wingdings" w:hAnsi="Wingdings" w:hint="default"/>
      </w:rPr>
    </w:lvl>
    <w:lvl w:ilvl="6" w:tplc="DCEA7A1E" w:tentative="1">
      <w:start w:val="1"/>
      <w:numFmt w:val="bullet"/>
      <w:lvlText w:val=""/>
      <w:lvlJc w:val="left"/>
      <w:pPr>
        <w:ind w:left="5040" w:hanging="360"/>
      </w:pPr>
      <w:rPr>
        <w:rFonts w:ascii="Symbol" w:hAnsi="Symbol" w:hint="default"/>
      </w:rPr>
    </w:lvl>
    <w:lvl w:ilvl="7" w:tplc="307A1380" w:tentative="1">
      <w:start w:val="1"/>
      <w:numFmt w:val="bullet"/>
      <w:lvlText w:val="o"/>
      <w:lvlJc w:val="left"/>
      <w:pPr>
        <w:ind w:left="5760" w:hanging="360"/>
      </w:pPr>
      <w:rPr>
        <w:rFonts w:ascii="Courier New" w:hAnsi="Courier New" w:cs="Courier New" w:hint="default"/>
      </w:rPr>
    </w:lvl>
    <w:lvl w:ilvl="8" w:tplc="95FA404C" w:tentative="1">
      <w:start w:val="1"/>
      <w:numFmt w:val="bullet"/>
      <w:lvlText w:val=""/>
      <w:lvlJc w:val="left"/>
      <w:pPr>
        <w:ind w:left="6480" w:hanging="360"/>
      </w:pPr>
      <w:rPr>
        <w:rFonts w:ascii="Wingdings" w:hAnsi="Wingdings" w:hint="default"/>
      </w:rPr>
    </w:lvl>
  </w:abstractNum>
  <w:abstractNum w:abstractNumId="2" w15:restartNumberingAfterBreak="0">
    <w:nsid w:val="7D9A540E"/>
    <w:multiLevelType w:val="hybridMultilevel"/>
    <w:tmpl w:val="A4EEE3A8"/>
    <w:lvl w:ilvl="0" w:tplc="102EFF14">
      <w:start w:val="1"/>
      <w:numFmt w:val="decimal"/>
      <w:lvlText w:val="%1."/>
      <w:lvlJc w:val="left"/>
      <w:pPr>
        <w:ind w:left="720" w:hanging="360"/>
      </w:pPr>
      <w:rPr>
        <w:rFonts w:hint="default"/>
      </w:rPr>
    </w:lvl>
    <w:lvl w:ilvl="1" w:tplc="6DE21808" w:tentative="1">
      <w:start w:val="1"/>
      <w:numFmt w:val="lowerLetter"/>
      <w:lvlText w:val="%2."/>
      <w:lvlJc w:val="left"/>
      <w:pPr>
        <w:ind w:left="1440" w:hanging="360"/>
      </w:pPr>
    </w:lvl>
    <w:lvl w:ilvl="2" w:tplc="4FECAA5E" w:tentative="1">
      <w:start w:val="1"/>
      <w:numFmt w:val="lowerRoman"/>
      <w:lvlText w:val="%3."/>
      <w:lvlJc w:val="right"/>
      <w:pPr>
        <w:ind w:left="2160" w:hanging="180"/>
      </w:pPr>
    </w:lvl>
    <w:lvl w:ilvl="3" w:tplc="796A48D0" w:tentative="1">
      <w:start w:val="1"/>
      <w:numFmt w:val="decimal"/>
      <w:lvlText w:val="%4."/>
      <w:lvlJc w:val="left"/>
      <w:pPr>
        <w:ind w:left="2880" w:hanging="360"/>
      </w:pPr>
    </w:lvl>
    <w:lvl w:ilvl="4" w:tplc="E40C488A" w:tentative="1">
      <w:start w:val="1"/>
      <w:numFmt w:val="lowerLetter"/>
      <w:lvlText w:val="%5."/>
      <w:lvlJc w:val="left"/>
      <w:pPr>
        <w:ind w:left="3600" w:hanging="360"/>
      </w:pPr>
    </w:lvl>
    <w:lvl w:ilvl="5" w:tplc="630E8D42" w:tentative="1">
      <w:start w:val="1"/>
      <w:numFmt w:val="lowerRoman"/>
      <w:lvlText w:val="%6."/>
      <w:lvlJc w:val="right"/>
      <w:pPr>
        <w:ind w:left="4320" w:hanging="180"/>
      </w:pPr>
    </w:lvl>
    <w:lvl w:ilvl="6" w:tplc="8EC48C66" w:tentative="1">
      <w:start w:val="1"/>
      <w:numFmt w:val="decimal"/>
      <w:lvlText w:val="%7."/>
      <w:lvlJc w:val="left"/>
      <w:pPr>
        <w:ind w:left="5040" w:hanging="360"/>
      </w:pPr>
    </w:lvl>
    <w:lvl w:ilvl="7" w:tplc="C0C2449A" w:tentative="1">
      <w:start w:val="1"/>
      <w:numFmt w:val="lowerLetter"/>
      <w:lvlText w:val="%8."/>
      <w:lvlJc w:val="left"/>
      <w:pPr>
        <w:ind w:left="5760" w:hanging="360"/>
      </w:pPr>
    </w:lvl>
    <w:lvl w:ilvl="8" w:tplc="466C22F2"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FB"/>
    <w:rsid w:val="00001C8E"/>
    <w:rsid w:val="000150D7"/>
    <w:rsid w:val="00025EA6"/>
    <w:rsid w:val="000331D6"/>
    <w:rsid w:val="00036EDC"/>
    <w:rsid w:val="00040DD2"/>
    <w:rsid w:val="00060FB1"/>
    <w:rsid w:val="00061386"/>
    <w:rsid w:val="0006377A"/>
    <w:rsid w:val="00064529"/>
    <w:rsid w:val="000720ED"/>
    <w:rsid w:val="00077D94"/>
    <w:rsid w:val="000957E0"/>
    <w:rsid w:val="00096095"/>
    <w:rsid w:val="000A3D3E"/>
    <w:rsid w:val="000C396B"/>
    <w:rsid w:val="000D59F5"/>
    <w:rsid w:val="000E2022"/>
    <w:rsid w:val="000E3BA6"/>
    <w:rsid w:val="00103C47"/>
    <w:rsid w:val="001121FF"/>
    <w:rsid w:val="00113482"/>
    <w:rsid w:val="00135D43"/>
    <w:rsid w:val="00151203"/>
    <w:rsid w:val="00154DD2"/>
    <w:rsid w:val="00156B64"/>
    <w:rsid w:val="00160C88"/>
    <w:rsid w:val="00162E63"/>
    <w:rsid w:val="00170B3A"/>
    <w:rsid w:val="00172829"/>
    <w:rsid w:val="00184C5A"/>
    <w:rsid w:val="00193C08"/>
    <w:rsid w:val="001A47EA"/>
    <w:rsid w:val="001B0A09"/>
    <w:rsid w:val="001B4767"/>
    <w:rsid w:val="001B4CBC"/>
    <w:rsid w:val="001B57CE"/>
    <w:rsid w:val="001C009B"/>
    <w:rsid w:val="001C3D0E"/>
    <w:rsid w:val="001C5525"/>
    <w:rsid w:val="001C6EAC"/>
    <w:rsid w:val="001D19AD"/>
    <w:rsid w:val="001E0307"/>
    <w:rsid w:val="001E2B50"/>
    <w:rsid w:val="001E354D"/>
    <w:rsid w:val="0020499D"/>
    <w:rsid w:val="00210CBC"/>
    <w:rsid w:val="00211281"/>
    <w:rsid w:val="002216F8"/>
    <w:rsid w:val="00237BC3"/>
    <w:rsid w:val="0024558B"/>
    <w:rsid w:val="00254032"/>
    <w:rsid w:val="0027365E"/>
    <w:rsid w:val="00284AA5"/>
    <w:rsid w:val="00290D2D"/>
    <w:rsid w:val="00296C40"/>
    <w:rsid w:val="002A0C06"/>
    <w:rsid w:val="002E0098"/>
    <w:rsid w:val="002E05A1"/>
    <w:rsid w:val="002F1794"/>
    <w:rsid w:val="002F7AB9"/>
    <w:rsid w:val="00324986"/>
    <w:rsid w:val="00333A56"/>
    <w:rsid w:val="00334CFD"/>
    <w:rsid w:val="003419D7"/>
    <w:rsid w:val="00345A94"/>
    <w:rsid w:val="003543D9"/>
    <w:rsid w:val="003614BD"/>
    <w:rsid w:val="003617FB"/>
    <w:rsid w:val="003640F7"/>
    <w:rsid w:val="00370CF1"/>
    <w:rsid w:val="00386663"/>
    <w:rsid w:val="00393398"/>
    <w:rsid w:val="003A028A"/>
    <w:rsid w:val="003A03A9"/>
    <w:rsid w:val="003C719E"/>
    <w:rsid w:val="003D03DA"/>
    <w:rsid w:val="003E2613"/>
    <w:rsid w:val="00405276"/>
    <w:rsid w:val="004064E8"/>
    <w:rsid w:val="00414659"/>
    <w:rsid w:val="00420FB8"/>
    <w:rsid w:val="00430AAB"/>
    <w:rsid w:val="00436567"/>
    <w:rsid w:val="00444BEC"/>
    <w:rsid w:val="00445AD9"/>
    <w:rsid w:val="004464D6"/>
    <w:rsid w:val="004533ED"/>
    <w:rsid w:val="00474B71"/>
    <w:rsid w:val="004828A9"/>
    <w:rsid w:val="00494C8F"/>
    <w:rsid w:val="004A40A2"/>
    <w:rsid w:val="004D0825"/>
    <w:rsid w:val="004D7D18"/>
    <w:rsid w:val="004E5807"/>
    <w:rsid w:val="004F2F56"/>
    <w:rsid w:val="004F3E80"/>
    <w:rsid w:val="004F54C8"/>
    <w:rsid w:val="0050428A"/>
    <w:rsid w:val="005108B6"/>
    <w:rsid w:val="00515809"/>
    <w:rsid w:val="00526632"/>
    <w:rsid w:val="005429B5"/>
    <w:rsid w:val="0054600F"/>
    <w:rsid w:val="00557B61"/>
    <w:rsid w:val="005A1178"/>
    <w:rsid w:val="005A2C4A"/>
    <w:rsid w:val="005B686E"/>
    <w:rsid w:val="005C38A4"/>
    <w:rsid w:val="005C4FDF"/>
    <w:rsid w:val="005D136F"/>
    <w:rsid w:val="005E35A4"/>
    <w:rsid w:val="005E6DB8"/>
    <w:rsid w:val="006057DE"/>
    <w:rsid w:val="00605E1B"/>
    <w:rsid w:val="00611620"/>
    <w:rsid w:val="0061565A"/>
    <w:rsid w:val="00636B92"/>
    <w:rsid w:val="006431EB"/>
    <w:rsid w:val="00671A15"/>
    <w:rsid w:val="006B1F1D"/>
    <w:rsid w:val="006B3963"/>
    <w:rsid w:val="006C780A"/>
    <w:rsid w:val="006F7C9A"/>
    <w:rsid w:val="00724EBF"/>
    <w:rsid w:val="007254D3"/>
    <w:rsid w:val="007414C4"/>
    <w:rsid w:val="0074280D"/>
    <w:rsid w:val="0074607B"/>
    <w:rsid w:val="00756E05"/>
    <w:rsid w:val="0076270C"/>
    <w:rsid w:val="00765A5F"/>
    <w:rsid w:val="00765EC8"/>
    <w:rsid w:val="00766B1B"/>
    <w:rsid w:val="0077119F"/>
    <w:rsid w:val="0079230E"/>
    <w:rsid w:val="00792E93"/>
    <w:rsid w:val="00794FEB"/>
    <w:rsid w:val="007A6C52"/>
    <w:rsid w:val="007C4387"/>
    <w:rsid w:val="007D116F"/>
    <w:rsid w:val="007E3D30"/>
    <w:rsid w:val="007F4130"/>
    <w:rsid w:val="00811931"/>
    <w:rsid w:val="00813EF2"/>
    <w:rsid w:val="00852BFD"/>
    <w:rsid w:val="00855549"/>
    <w:rsid w:val="00870275"/>
    <w:rsid w:val="008A0AD7"/>
    <w:rsid w:val="008B7C20"/>
    <w:rsid w:val="008C12C1"/>
    <w:rsid w:val="008C670F"/>
    <w:rsid w:val="008F7174"/>
    <w:rsid w:val="009060AA"/>
    <w:rsid w:val="009128CF"/>
    <w:rsid w:val="009348FE"/>
    <w:rsid w:val="00935C38"/>
    <w:rsid w:val="00940E46"/>
    <w:rsid w:val="00955ADF"/>
    <w:rsid w:val="00962F7C"/>
    <w:rsid w:val="00983DFE"/>
    <w:rsid w:val="009906F5"/>
    <w:rsid w:val="009A0392"/>
    <w:rsid w:val="009A0C71"/>
    <w:rsid w:val="009B26E9"/>
    <w:rsid w:val="00A01561"/>
    <w:rsid w:val="00A058E5"/>
    <w:rsid w:val="00A11794"/>
    <w:rsid w:val="00A12DD9"/>
    <w:rsid w:val="00A24591"/>
    <w:rsid w:val="00A3025D"/>
    <w:rsid w:val="00A3208D"/>
    <w:rsid w:val="00A34212"/>
    <w:rsid w:val="00A34BD6"/>
    <w:rsid w:val="00A37F98"/>
    <w:rsid w:val="00A412AD"/>
    <w:rsid w:val="00A53B7E"/>
    <w:rsid w:val="00A541BC"/>
    <w:rsid w:val="00A555F0"/>
    <w:rsid w:val="00A83970"/>
    <w:rsid w:val="00A960E3"/>
    <w:rsid w:val="00AA46C1"/>
    <w:rsid w:val="00AC7FA4"/>
    <w:rsid w:val="00AD10B8"/>
    <w:rsid w:val="00AD1ABC"/>
    <w:rsid w:val="00AF25DB"/>
    <w:rsid w:val="00B33AE1"/>
    <w:rsid w:val="00B40960"/>
    <w:rsid w:val="00B45FFF"/>
    <w:rsid w:val="00B51C8F"/>
    <w:rsid w:val="00B64F11"/>
    <w:rsid w:val="00B85027"/>
    <w:rsid w:val="00B91CE9"/>
    <w:rsid w:val="00B93FF3"/>
    <w:rsid w:val="00B97B9F"/>
    <w:rsid w:val="00BA0033"/>
    <w:rsid w:val="00BA4C3A"/>
    <w:rsid w:val="00BA56AD"/>
    <w:rsid w:val="00BA5998"/>
    <w:rsid w:val="00BA5B22"/>
    <w:rsid w:val="00BC0FBF"/>
    <w:rsid w:val="00BC6E5A"/>
    <w:rsid w:val="00BD0CE1"/>
    <w:rsid w:val="00BD0E1F"/>
    <w:rsid w:val="00BD5DE2"/>
    <w:rsid w:val="00BF4299"/>
    <w:rsid w:val="00BF5CCC"/>
    <w:rsid w:val="00C14B56"/>
    <w:rsid w:val="00C46DE3"/>
    <w:rsid w:val="00C518CD"/>
    <w:rsid w:val="00C51E93"/>
    <w:rsid w:val="00C71D88"/>
    <w:rsid w:val="00C74841"/>
    <w:rsid w:val="00C74E6D"/>
    <w:rsid w:val="00C81E08"/>
    <w:rsid w:val="00C963FF"/>
    <w:rsid w:val="00CC6A55"/>
    <w:rsid w:val="00CD4CC6"/>
    <w:rsid w:val="00CE3328"/>
    <w:rsid w:val="00CE6FE8"/>
    <w:rsid w:val="00CF259B"/>
    <w:rsid w:val="00D014E3"/>
    <w:rsid w:val="00D1035F"/>
    <w:rsid w:val="00D11710"/>
    <w:rsid w:val="00D34581"/>
    <w:rsid w:val="00D47F9A"/>
    <w:rsid w:val="00D62445"/>
    <w:rsid w:val="00D70BD0"/>
    <w:rsid w:val="00D7686D"/>
    <w:rsid w:val="00D96614"/>
    <w:rsid w:val="00D9740A"/>
    <w:rsid w:val="00DC0D9A"/>
    <w:rsid w:val="00DC1D84"/>
    <w:rsid w:val="00DD0A11"/>
    <w:rsid w:val="00DD0C32"/>
    <w:rsid w:val="00DD38C0"/>
    <w:rsid w:val="00DD789D"/>
    <w:rsid w:val="00DE0FBB"/>
    <w:rsid w:val="00DE52E8"/>
    <w:rsid w:val="00DF2328"/>
    <w:rsid w:val="00DF4A83"/>
    <w:rsid w:val="00E111F5"/>
    <w:rsid w:val="00E206BD"/>
    <w:rsid w:val="00E223C2"/>
    <w:rsid w:val="00E57804"/>
    <w:rsid w:val="00E66635"/>
    <w:rsid w:val="00E7451D"/>
    <w:rsid w:val="00E760AC"/>
    <w:rsid w:val="00E86DFE"/>
    <w:rsid w:val="00E90CB5"/>
    <w:rsid w:val="00EA2B69"/>
    <w:rsid w:val="00EA68C3"/>
    <w:rsid w:val="00EC0462"/>
    <w:rsid w:val="00EC29C4"/>
    <w:rsid w:val="00EC6428"/>
    <w:rsid w:val="00EC72E4"/>
    <w:rsid w:val="00EE2DED"/>
    <w:rsid w:val="00EE5B6A"/>
    <w:rsid w:val="00EF3AD8"/>
    <w:rsid w:val="00EF64EC"/>
    <w:rsid w:val="00F025C9"/>
    <w:rsid w:val="00F14D4C"/>
    <w:rsid w:val="00F15695"/>
    <w:rsid w:val="00F158B5"/>
    <w:rsid w:val="00F2202A"/>
    <w:rsid w:val="00F370BB"/>
    <w:rsid w:val="00F37239"/>
    <w:rsid w:val="00F46F43"/>
    <w:rsid w:val="00F8445C"/>
    <w:rsid w:val="00F86278"/>
    <w:rsid w:val="00FB5EB9"/>
    <w:rsid w:val="00FB621D"/>
    <w:rsid w:val="00FF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1533"/>
  <w15:chartTrackingRefBased/>
  <w15:docId w15:val="{EBE6148D-FC45-4C68-A1F4-37595F98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1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617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617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F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617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617F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617FB"/>
    <w:rPr>
      <w:b/>
      <w:bCs/>
    </w:rPr>
  </w:style>
  <w:style w:type="paragraph" w:styleId="NormalWeb">
    <w:name w:val="Normal (Web)"/>
    <w:basedOn w:val="Normal"/>
    <w:uiPriority w:val="99"/>
    <w:unhideWhenUsed/>
    <w:rsid w:val="003617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Reference">
    <w:name w:val="APA Reference"/>
    <w:basedOn w:val="Normal"/>
    <w:rsid w:val="006F7C9A"/>
    <w:pPr>
      <w:overflowPunct w:val="0"/>
      <w:autoSpaceDE w:val="0"/>
      <w:autoSpaceDN w:val="0"/>
      <w:adjustRightInd w:val="0"/>
      <w:spacing w:after="0" w:line="480" w:lineRule="auto"/>
      <w:ind w:left="720" w:hanging="720"/>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765EC8"/>
    <w:pPr>
      <w:ind w:left="720"/>
      <w:contextualSpacing/>
    </w:pPr>
  </w:style>
  <w:style w:type="paragraph" w:styleId="Header">
    <w:name w:val="header"/>
    <w:basedOn w:val="Normal"/>
    <w:link w:val="HeaderChar"/>
    <w:uiPriority w:val="99"/>
    <w:unhideWhenUsed/>
    <w:rsid w:val="00B85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027"/>
  </w:style>
  <w:style w:type="paragraph" w:styleId="Footer">
    <w:name w:val="footer"/>
    <w:basedOn w:val="Normal"/>
    <w:link w:val="FooterChar"/>
    <w:uiPriority w:val="99"/>
    <w:unhideWhenUsed/>
    <w:rsid w:val="00B85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31303-21D0-4DE3-86FD-7FCD5CFC0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Cable</dc:creator>
  <cp:lastModifiedBy>John Gitau</cp:lastModifiedBy>
  <cp:revision>3</cp:revision>
  <dcterms:created xsi:type="dcterms:W3CDTF">2021-01-20T06:32:00Z</dcterms:created>
  <dcterms:modified xsi:type="dcterms:W3CDTF">2021-01-20T20:38:00Z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e6755b0e-ada5-32e2-ad3d-df7c43c25936</vt:lpwstr>
  </property>
</Properties>
</file>