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938" w:rsidRPr="003F6CD2" w:rsidRDefault="000E4938" w:rsidP="003F6CD2">
      <w:pPr>
        <w:spacing w:before="100" w:beforeAutospacing="1" w:after="100" w:afterAutospacing="1" w:line="360" w:lineRule="auto"/>
        <w:jc w:val="center"/>
        <w:outlineLvl w:val="0"/>
        <w:rPr>
          <w:rFonts w:ascii="Times New Roman" w:eastAsia="Times New Roman" w:hAnsi="Times New Roman" w:cs="Times New Roman"/>
          <w:b/>
          <w:bCs/>
          <w:kern w:val="36"/>
          <w:sz w:val="36"/>
        </w:rPr>
      </w:pPr>
      <w:r w:rsidRPr="000E4938">
        <w:rPr>
          <w:rFonts w:ascii="Times New Roman" w:eastAsia="Times New Roman" w:hAnsi="Times New Roman" w:cs="Times New Roman"/>
          <w:b/>
          <w:bCs/>
          <w:kern w:val="36"/>
          <w:sz w:val="36"/>
        </w:rPr>
        <w:t>Innovation Paper: Immersive Web Experiences: The Role of AR and VR in User Engagement</w:t>
      </w: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E4938" w:rsidRPr="003F6CD2" w:rsidRDefault="000E4938" w:rsidP="003F6CD2">
      <w:pPr>
        <w:spacing w:before="100" w:beforeAutospacing="1" w:after="100" w:afterAutospacing="1" w:line="360" w:lineRule="auto"/>
        <w:outlineLvl w:val="0"/>
        <w:rPr>
          <w:rFonts w:ascii="Times New Roman" w:eastAsia="Times New Roman" w:hAnsi="Times New Roman" w:cs="Times New Roman"/>
          <w:b/>
          <w:bCs/>
          <w:kern w:val="36"/>
        </w:rPr>
      </w:pPr>
    </w:p>
    <w:p w:rsidR="000D2AC2" w:rsidRDefault="000D2AC2" w:rsidP="003F6CD2">
      <w:pPr>
        <w:spacing w:before="100" w:beforeAutospacing="1" w:after="100" w:afterAutospacing="1" w:line="360" w:lineRule="auto"/>
        <w:outlineLvl w:val="0"/>
        <w:rPr>
          <w:rFonts w:ascii="Times New Roman" w:eastAsia="Times New Roman" w:hAnsi="Times New Roman" w:cs="Times New Roman"/>
          <w:b/>
          <w:bCs/>
          <w:kern w:val="36"/>
        </w:rPr>
      </w:pPr>
    </w:p>
    <w:p w:rsidR="003F6CD2" w:rsidRDefault="003F6CD2" w:rsidP="003F6CD2">
      <w:pPr>
        <w:spacing w:before="100" w:beforeAutospacing="1" w:after="100" w:afterAutospacing="1" w:line="360" w:lineRule="auto"/>
        <w:outlineLvl w:val="0"/>
        <w:rPr>
          <w:rFonts w:ascii="Times New Roman" w:eastAsia="Times New Roman" w:hAnsi="Times New Roman" w:cs="Times New Roman"/>
          <w:b/>
          <w:bCs/>
          <w:kern w:val="36"/>
        </w:rPr>
      </w:pPr>
    </w:p>
    <w:p w:rsidR="003F6CD2" w:rsidRDefault="003F6CD2" w:rsidP="003F6CD2">
      <w:pPr>
        <w:spacing w:before="100" w:beforeAutospacing="1" w:after="100" w:afterAutospacing="1" w:line="360" w:lineRule="auto"/>
        <w:outlineLvl w:val="0"/>
        <w:rPr>
          <w:rFonts w:ascii="Times New Roman" w:eastAsia="Times New Roman" w:hAnsi="Times New Roman" w:cs="Times New Roman"/>
          <w:b/>
          <w:bCs/>
          <w:kern w:val="36"/>
        </w:rPr>
      </w:pPr>
    </w:p>
    <w:p w:rsidR="003F6CD2" w:rsidRDefault="003F6CD2" w:rsidP="003F6CD2">
      <w:pPr>
        <w:spacing w:before="100" w:beforeAutospacing="1" w:after="100" w:afterAutospacing="1" w:line="360" w:lineRule="auto"/>
        <w:outlineLvl w:val="0"/>
        <w:rPr>
          <w:rFonts w:ascii="Times New Roman" w:eastAsia="Times New Roman" w:hAnsi="Times New Roman" w:cs="Times New Roman"/>
          <w:b/>
          <w:bCs/>
          <w:kern w:val="36"/>
        </w:rPr>
      </w:pPr>
    </w:p>
    <w:p w:rsidR="000D6293" w:rsidRDefault="000D6293" w:rsidP="003F6CD2">
      <w:pPr>
        <w:pStyle w:val="Heading2"/>
        <w:spacing w:line="360" w:lineRule="auto"/>
        <w:jc w:val="both"/>
        <w:rPr>
          <w:kern w:val="36"/>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Table of Contents</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Abstract</w:t>
      </w:r>
      <w:r w:rsidRPr="003F6CD2">
        <w:rPr>
          <w:rFonts w:ascii="Times New Roman" w:hAnsi="Times New Roman" w:cs="Times New Roman"/>
        </w:rPr>
        <w:t xml:space="preserve"> .................................................................................. 1</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proofErr w:type="gramStart"/>
      <w:r w:rsidRPr="003F6CD2">
        <w:rPr>
          <w:rStyle w:val="Strong"/>
          <w:rFonts w:ascii="Times New Roman" w:hAnsi="Times New Roman" w:cs="Times New Roman"/>
        </w:rPr>
        <w:t>Introduction</w:t>
      </w:r>
      <w:r w:rsidRPr="003F6CD2">
        <w:rPr>
          <w:rFonts w:ascii="Times New Roman" w:hAnsi="Times New Roman" w:cs="Times New Roman"/>
        </w:rPr>
        <w:t xml:space="preserve"> ..........................................................................</w:t>
      </w:r>
      <w:proofErr w:type="gramEnd"/>
      <w:r w:rsidRPr="003F6CD2">
        <w:rPr>
          <w:rFonts w:ascii="Times New Roman" w:hAnsi="Times New Roman" w:cs="Times New Roman"/>
        </w:rPr>
        <w:t xml:space="preserve"> 2</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Objectives</w:t>
      </w:r>
      <w:r w:rsidRPr="003F6CD2">
        <w:rPr>
          <w:rFonts w:ascii="Times New Roman" w:hAnsi="Times New Roman" w:cs="Times New Roman"/>
        </w:rPr>
        <w:t xml:space="preserve"> ............................................................................ 2</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 xml:space="preserve">Current Trends in AR and </w:t>
      </w:r>
      <w:proofErr w:type="gramStart"/>
      <w:r w:rsidRPr="003F6CD2">
        <w:rPr>
          <w:rStyle w:val="Strong"/>
          <w:rFonts w:ascii="Times New Roman" w:hAnsi="Times New Roman" w:cs="Times New Roman"/>
        </w:rPr>
        <w:t>VR</w:t>
      </w:r>
      <w:r w:rsidRPr="003F6CD2">
        <w:rPr>
          <w:rFonts w:ascii="Times New Roman" w:hAnsi="Times New Roman" w:cs="Times New Roman"/>
        </w:rPr>
        <w:t xml:space="preserve"> ...............................................</w:t>
      </w:r>
      <w:proofErr w:type="gramEnd"/>
      <w:r w:rsidRPr="003F6CD2">
        <w:rPr>
          <w:rFonts w:ascii="Times New Roman" w:hAnsi="Times New Roman" w:cs="Times New Roman"/>
        </w:rPr>
        <w:t xml:space="preserve"> 3</w:t>
      </w:r>
    </w:p>
    <w:p w:rsidR="000D2AC2" w:rsidRPr="003F6CD2" w:rsidRDefault="000D2AC2" w:rsidP="003F6CD2">
      <w:pPr>
        <w:numPr>
          <w:ilvl w:val="1"/>
          <w:numId w:val="11"/>
        </w:numPr>
        <w:spacing w:before="100" w:beforeAutospacing="1" w:after="100" w:afterAutospacing="1" w:line="360" w:lineRule="auto"/>
        <w:jc w:val="both"/>
        <w:rPr>
          <w:rFonts w:ascii="Times New Roman" w:hAnsi="Times New Roman" w:cs="Times New Roman"/>
        </w:rPr>
      </w:pPr>
      <w:r w:rsidRPr="003F6CD2">
        <w:rPr>
          <w:rFonts w:ascii="Times New Roman" w:hAnsi="Times New Roman" w:cs="Times New Roman"/>
        </w:rPr>
        <w:t>E-</w:t>
      </w:r>
      <w:proofErr w:type="gramStart"/>
      <w:r w:rsidRPr="003F6CD2">
        <w:rPr>
          <w:rFonts w:ascii="Times New Roman" w:hAnsi="Times New Roman" w:cs="Times New Roman"/>
        </w:rPr>
        <w:t>commerce ....................................................................</w:t>
      </w:r>
      <w:proofErr w:type="gramEnd"/>
      <w:r w:rsidRPr="003F6CD2">
        <w:rPr>
          <w:rFonts w:ascii="Times New Roman" w:hAnsi="Times New Roman" w:cs="Times New Roman"/>
        </w:rPr>
        <w:t xml:space="preserve"> 3</w:t>
      </w:r>
    </w:p>
    <w:p w:rsidR="000D2AC2" w:rsidRPr="003F6CD2" w:rsidRDefault="000D2AC2" w:rsidP="003F6CD2">
      <w:pPr>
        <w:numPr>
          <w:ilvl w:val="1"/>
          <w:numId w:val="11"/>
        </w:numPr>
        <w:spacing w:before="100" w:beforeAutospacing="1" w:after="100" w:afterAutospacing="1" w:line="360" w:lineRule="auto"/>
        <w:jc w:val="both"/>
        <w:rPr>
          <w:rFonts w:ascii="Times New Roman" w:hAnsi="Times New Roman" w:cs="Times New Roman"/>
        </w:rPr>
      </w:pPr>
      <w:r w:rsidRPr="003F6CD2">
        <w:rPr>
          <w:rFonts w:ascii="Times New Roman" w:hAnsi="Times New Roman" w:cs="Times New Roman"/>
        </w:rPr>
        <w:t>Education ........................................................................ 4</w:t>
      </w:r>
    </w:p>
    <w:p w:rsidR="000D2AC2" w:rsidRPr="003F6CD2" w:rsidRDefault="000D2AC2" w:rsidP="003F6CD2">
      <w:pPr>
        <w:numPr>
          <w:ilvl w:val="1"/>
          <w:numId w:val="11"/>
        </w:numPr>
        <w:spacing w:before="100" w:beforeAutospacing="1" w:after="100" w:afterAutospacing="1" w:line="360" w:lineRule="auto"/>
        <w:jc w:val="both"/>
        <w:rPr>
          <w:rFonts w:ascii="Times New Roman" w:hAnsi="Times New Roman" w:cs="Times New Roman"/>
        </w:rPr>
      </w:pPr>
      <w:r w:rsidRPr="003F6CD2">
        <w:rPr>
          <w:rFonts w:ascii="Times New Roman" w:hAnsi="Times New Roman" w:cs="Times New Roman"/>
        </w:rPr>
        <w:t>Entertainment ................................................................ 4</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User Engagement Metrics</w:t>
      </w:r>
      <w:r w:rsidRPr="003F6CD2">
        <w:rPr>
          <w:rFonts w:ascii="Times New Roman" w:hAnsi="Times New Roman" w:cs="Times New Roman"/>
        </w:rPr>
        <w:t xml:space="preserve"> ................................................... 5</w:t>
      </w:r>
    </w:p>
    <w:p w:rsidR="000D2AC2" w:rsidRPr="003F6CD2" w:rsidRDefault="000D2AC2" w:rsidP="003F6CD2">
      <w:pPr>
        <w:numPr>
          <w:ilvl w:val="1"/>
          <w:numId w:val="11"/>
        </w:numPr>
        <w:spacing w:before="100" w:beforeAutospacing="1" w:after="100" w:afterAutospacing="1" w:line="360" w:lineRule="auto"/>
        <w:jc w:val="both"/>
        <w:rPr>
          <w:rFonts w:ascii="Times New Roman" w:hAnsi="Times New Roman" w:cs="Times New Roman"/>
        </w:rPr>
      </w:pPr>
      <w:r w:rsidRPr="003F6CD2">
        <w:rPr>
          <w:rFonts w:ascii="Times New Roman" w:hAnsi="Times New Roman" w:cs="Times New Roman"/>
        </w:rPr>
        <w:t xml:space="preserve">Case Study: IKEA Place </w:t>
      </w:r>
      <w:proofErr w:type="gramStart"/>
      <w:r w:rsidRPr="003F6CD2">
        <w:rPr>
          <w:rFonts w:ascii="Times New Roman" w:hAnsi="Times New Roman" w:cs="Times New Roman"/>
        </w:rPr>
        <w:t>App .........................................</w:t>
      </w:r>
      <w:proofErr w:type="gramEnd"/>
      <w:r w:rsidRPr="003F6CD2">
        <w:rPr>
          <w:rFonts w:ascii="Times New Roman" w:hAnsi="Times New Roman" w:cs="Times New Roman"/>
        </w:rPr>
        <w:t xml:space="preserve"> 5</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 xml:space="preserve">Design Principles for AR and </w:t>
      </w:r>
      <w:proofErr w:type="gramStart"/>
      <w:r w:rsidRPr="003F6CD2">
        <w:rPr>
          <w:rStyle w:val="Strong"/>
          <w:rFonts w:ascii="Times New Roman" w:hAnsi="Times New Roman" w:cs="Times New Roman"/>
        </w:rPr>
        <w:t>VR</w:t>
      </w:r>
      <w:r w:rsidRPr="003F6CD2">
        <w:rPr>
          <w:rFonts w:ascii="Times New Roman" w:hAnsi="Times New Roman" w:cs="Times New Roman"/>
        </w:rPr>
        <w:t xml:space="preserve"> ......................................</w:t>
      </w:r>
      <w:proofErr w:type="gramEnd"/>
      <w:r w:rsidRPr="003F6CD2">
        <w:rPr>
          <w:rFonts w:ascii="Times New Roman" w:hAnsi="Times New Roman" w:cs="Times New Roman"/>
        </w:rPr>
        <w:t xml:space="preserve"> 6</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 xml:space="preserve">Literature </w:t>
      </w:r>
      <w:proofErr w:type="gramStart"/>
      <w:r w:rsidRPr="003F6CD2">
        <w:rPr>
          <w:rStyle w:val="Strong"/>
          <w:rFonts w:ascii="Times New Roman" w:hAnsi="Times New Roman" w:cs="Times New Roman"/>
        </w:rPr>
        <w:t>Review</w:t>
      </w:r>
      <w:r w:rsidRPr="003F6CD2">
        <w:rPr>
          <w:rFonts w:ascii="Times New Roman" w:hAnsi="Times New Roman" w:cs="Times New Roman"/>
        </w:rPr>
        <w:t xml:space="preserve"> .................................................................</w:t>
      </w:r>
      <w:proofErr w:type="gramEnd"/>
      <w:r w:rsidRPr="003F6CD2">
        <w:rPr>
          <w:rFonts w:ascii="Times New Roman" w:hAnsi="Times New Roman" w:cs="Times New Roman"/>
        </w:rPr>
        <w:t xml:space="preserve"> 7</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 xml:space="preserve">User Feedback </w:t>
      </w:r>
      <w:proofErr w:type="gramStart"/>
      <w:r w:rsidRPr="003F6CD2">
        <w:rPr>
          <w:rStyle w:val="Strong"/>
          <w:rFonts w:ascii="Times New Roman" w:hAnsi="Times New Roman" w:cs="Times New Roman"/>
        </w:rPr>
        <w:t>Mechanisms</w:t>
      </w:r>
      <w:r w:rsidRPr="003F6CD2">
        <w:rPr>
          <w:rFonts w:ascii="Times New Roman" w:hAnsi="Times New Roman" w:cs="Times New Roman"/>
        </w:rPr>
        <w:t xml:space="preserve"> ...............................................</w:t>
      </w:r>
      <w:proofErr w:type="gramEnd"/>
      <w:r w:rsidRPr="003F6CD2">
        <w:rPr>
          <w:rFonts w:ascii="Times New Roman" w:hAnsi="Times New Roman" w:cs="Times New Roman"/>
        </w:rPr>
        <w:t xml:space="preserve"> 8</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 xml:space="preserve">Prototyping and Case </w:t>
      </w:r>
      <w:proofErr w:type="gramStart"/>
      <w:r w:rsidRPr="003F6CD2">
        <w:rPr>
          <w:rStyle w:val="Strong"/>
          <w:rFonts w:ascii="Times New Roman" w:hAnsi="Times New Roman" w:cs="Times New Roman"/>
        </w:rPr>
        <w:t>Studies</w:t>
      </w:r>
      <w:r w:rsidRPr="003F6CD2">
        <w:rPr>
          <w:rFonts w:ascii="Times New Roman" w:hAnsi="Times New Roman" w:cs="Times New Roman"/>
        </w:rPr>
        <w:t xml:space="preserve"> ............................................</w:t>
      </w:r>
      <w:proofErr w:type="gramEnd"/>
      <w:r w:rsidRPr="003F6CD2">
        <w:rPr>
          <w:rFonts w:ascii="Times New Roman" w:hAnsi="Times New Roman" w:cs="Times New Roman"/>
        </w:rPr>
        <w:t xml:space="preserve"> 9</w:t>
      </w:r>
    </w:p>
    <w:p w:rsidR="000D2AC2" w:rsidRPr="003F6CD2" w:rsidRDefault="000D2AC2" w:rsidP="003F6CD2">
      <w:pPr>
        <w:numPr>
          <w:ilvl w:val="1"/>
          <w:numId w:val="11"/>
        </w:numPr>
        <w:spacing w:before="100" w:beforeAutospacing="1" w:after="100" w:afterAutospacing="1" w:line="360" w:lineRule="auto"/>
        <w:jc w:val="both"/>
        <w:rPr>
          <w:rFonts w:ascii="Times New Roman" w:hAnsi="Times New Roman" w:cs="Times New Roman"/>
        </w:rPr>
      </w:pPr>
      <w:r w:rsidRPr="003F6CD2">
        <w:rPr>
          <w:rFonts w:ascii="Times New Roman" w:hAnsi="Times New Roman" w:cs="Times New Roman"/>
        </w:rPr>
        <w:t xml:space="preserve">Case Study: Google </w:t>
      </w:r>
      <w:proofErr w:type="gramStart"/>
      <w:r w:rsidRPr="003F6CD2">
        <w:rPr>
          <w:rFonts w:ascii="Times New Roman" w:hAnsi="Times New Roman" w:cs="Times New Roman"/>
        </w:rPr>
        <w:t>Expeditions ...................................</w:t>
      </w:r>
      <w:proofErr w:type="gramEnd"/>
      <w:r w:rsidRPr="003F6CD2">
        <w:rPr>
          <w:rFonts w:ascii="Times New Roman" w:hAnsi="Times New Roman" w:cs="Times New Roman"/>
        </w:rPr>
        <w:t xml:space="preserve"> 9</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Conclusion</w:t>
      </w:r>
      <w:r w:rsidRPr="003F6CD2">
        <w:rPr>
          <w:rFonts w:ascii="Times New Roman" w:hAnsi="Times New Roman" w:cs="Times New Roman"/>
        </w:rPr>
        <w:t xml:space="preserve"> ........................................................................ 10</w:t>
      </w:r>
    </w:p>
    <w:p w:rsidR="000D2AC2" w:rsidRPr="003F6CD2" w:rsidRDefault="000D2AC2" w:rsidP="003F6CD2">
      <w:pPr>
        <w:numPr>
          <w:ilvl w:val="0"/>
          <w:numId w:val="11"/>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References</w:t>
      </w:r>
      <w:r w:rsidRPr="003F6CD2">
        <w:rPr>
          <w:rFonts w:ascii="Times New Roman" w:hAnsi="Times New Roman" w:cs="Times New Roman"/>
        </w:rPr>
        <w:t xml:space="preserve"> ......................................................................... 11</w:t>
      </w:r>
    </w:p>
    <w:p w:rsidR="000D2AC2" w:rsidRPr="003F6CD2" w:rsidRDefault="000D2AC2" w:rsidP="003F6CD2">
      <w:pPr>
        <w:spacing w:before="100" w:beforeAutospacing="1" w:after="100" w:afterAutospacing="1" w:line="360" w:lineRule="auto"/>
        <w:jc w:val="both"/>
        <w:outlineLvl w:val="0"/>
        <w:rPr>
          <w:rFonts w:ascii="Times New Roman" w:eastAsia="Times New Roman" w:hAnsi="Times New Roman" w:cs="Times New Roman"/>
          <w:b/>
          <w:bCs/>
          <w:kern w:val="36"/>
        </w:rPr>
      </w:pPr>
    </w:p>
    <w:p w:rsidR="000D2AC2" w:rsidRPr="003F6CD2" w:rsidRDefault="000D2AC2" w:rsidP="003F6CD2">
      <w:pPr>
        <w:spacing w:before="100" w:beforeAutospacing="1" w:after="100" w:afterAutospacing="1" w:line="360" w:lineRule="auto"/>
        <w:jc w:val="both"/>
        <w:outlineLvl w:val="0"/>
        <w:rPr>
          <w:rFonts w:ascii="Times New Roman" w:eastAsia="Times New Roman" w:hAnsi="Times New Roman" w:cs="Times New Roman"/>
          <w:b/>
          <w:bCs/>
          <w:kern w:val="36"/>
        </w:rPr>
      </w:pPr>
    </w:p>
    <w:p w:rsidR="000D2AC2" w:rsidRPr="003F6CD2" w:rsidRDefault="000D2AC2" w:rsidP="003F6CD2">
      <w:pPr>
        <w:spacing w:before="100" w:beforeAutospacing="1" w:after="100" w:afterAutospacing="1" w:line="360" w:lineRule="auto"/>
        <w:jc w:val="both"/>
        <w:outlineLvl w:val="0"/>
        <w:rPr>
          <w:rFonts w:ascii="Times New Roman" w:eastAsia="Times New Roman" w:hAnsi="Times New Roman" w:cs="Times New Roman"/>
          <w:b/>
          <w:bCs/>
          <w:kern w:val="36"/>
        </w:rPr>
      </w:pPr>
    </w:p>
    <w:p w:rsidR="000D2AC2" w:rsidRPr="003F6CD2" w:rsidRDefault="000D2AC2" w:rsidP="003F6CD2">
      <w:pPr>
        <w:spacing w:before="100" w:beforeAutospacing="1" w:after="100" w:afterAutospacing="1" w:line="360" w:lineRule="auto"/>
        <w:jc w:val="both"/>
        <w:outlineLvl w:val="0"/>
        <w:rPr>
          <w:rFonts w:ascii="Times New Roman" w:eastAsia="Times New Roman" w:hAnsi="Times New Roman" w:cs="Times New Roman"/>
          <w:b/>
          <w:bCs/>
          <w:kern w:val="36"/>
        </w:rPr>
      </w:pPr>
    </w:p>
    <w:p w:rsidR="000D2AC2" w:rsidRPr="003F6CD2" w:rsidRDefault="000D2AC2" w:rsidP="003F6CD2">
      <w:pPr>
        <w:spacing w:before="100" w:beforeAutospacing="1" w:after="100" w:afterAutospacing="1" w:line="360" w:lineRule="auto"/>
        <w:jc w:val="both"/>
        <w:outlineLvl w:val="0"/>
        <w:rPr>
          <w:rFonts w:ascii="Times New Roman" w:eastAsia="Times New Roman" w:hAnsi="Times New Roman" w:cs="Times New Roman"/>
          <w:b/>
          <w:bCs/>
          <w:kern w:val="36"/>
        </w:rPr>
      </w:pPr>
    </w:p>
    <w:p w:rsidR="000D2AC2" w:rsidRPr="003F6CD2" w:rsidRDefault="000D2AC2" w:rsidP="003F6CD2">
      <w:pPr>
        <w:spacing w:before="100" w:beforeAutospacing="1" w:after="100" w:afterAutospacing="1" w:line="360" w:lineRule="auto"/>
        <w:jc w:val="both"/>
        <w:outlineLvl w:val="0"/>
        <w:rPr>
          <w:rFonts w:ascii="Times New Roman" w:eastAsia="Times New Roman" w:hAnsi="Times New Roman" w:cs="Times New Roman"/>
          <w:b/>
          <w:bCs/>
          <w:kern w:val="36"/>
        </w:rPr>
      </w:pPr>
    </w:p>
    <w:p w:rsidR="000D2AC2" w:rsidRPr="003F6CD2" w:rsidRDefault="000D2AC2" w:rsidP="003F6CD2">
      <w:pPr>
        <w:spacing w:before="100" w:beforeAutospacing="1" w:after="100" w:afterAutospacing="1" w:line="360" w:lineRule="auto"/>
        <w:jc w:val="both"/>
        <w:outlineLvl w:val="0"/>
        <w:rPr>
          <w:rFonts w:ascii="Times New Roman" w:eastAsia="Times New Roman" w:hAnsi="Times New Roman" w:cs="Times New Roman"/>
          <w:b/>
          <w:bCs/>
          <w:kern w:val="36"/>
        </w:rPr>
      </w:pPr>
    </w:p>
    <w:p w:rsidR="000D2AC2" w:rsidRPr="003F6CD2" w:rsidRDefault="000D2AC2" w:rsidP="003F6CD2">
      <w:pPr>
        <w:spacing w:before="100" w:beforeAutospacing="1" w:after="100" w:afterAutospacing="1" w:line="360" w:lineRule="auto"/>
        <w:jc w:val="both"/>
        <w:outlineLvl w:val="0"/>
        <w:rPr>
          <w:rFonts w:ascii="Times New Roman" w:eastAsia="Times New Roman" w:hAnsi="Times New Roman" w:cs="Times New Roman"/>
          <w:b/>
          <w:bCs/>
          <w:kern w:val="36"/>
        </w:rPr>
      </w:pPr>
    </w:p>
    <w:p w:rsidR="000D2AC2" w:rsidRPr="003F6CD2" w:rsidRDefault="000D2AC2" w:rsidP="003F6CD2">
      <w:pPr>
        <w:spacing w:before="100" w:beforeAutospacing="1" w:after="100" w:afterAutospacing="1" w:line="360" w:lineRule="auto"/>
        <w:jc w:val="both"/>
        <w:outlineLvl w:val="0"/>
        <w:rPr>
          <w:rFonts w:ascii="Times New Roman" w:eastAsia="Times New Roman" w:hAnsi="Times New Roman" w:cs="Times New Roman"/>
          <w:b/>
          <w:bCs/>
          <w:kern w:val="36"/>
        </w:rPr>
      </w:pPr>
    </w:p>
    <w:p w:rsidR="000E4938" w:rsidRPr="000E4938" w:rsidRDefault="000E4938" w:rsidP="003F6CD2">
      <w:pPr>
        <w:spacing w:before="100" w:beforeAutospacing="1" w:after="100" w:afterAutospacing="1" w:line="360" w:lineRule="auto"/>
        <w:jc w:val="both"/>
        <w:outlineLvl w:val="0"/>
        <w:rPr>
          <w:rFonts w:ascii="Times New Roman" w:eastAsia="Times New Roman" w:hAnsi="Times New Roman" w:cs="Times New Roman"/>
          <w:b/>
          <w:bCs/>
        </w:rPr>
      </w:pPr>
      <w:r w:rsidRPr="000E4938">
        <w:rPr>
          <w:rFonts w:ascii="Times New Roman" w:eastAsia="Times New Roman" w:hAnsi="Times New Roman" w:cs="Times New Roman"/>
          <w:b/>
          <w:bCs/>
        </w:rPr>
        <w:lastRenderedPageBreak/>
        <w:t>Abstract</w:t>
      </w:r>
    </w:p>
    <w:p w:rsidR="000E4938" w:rsidRPr="003F6CD2" w:rsidRDefault="000E4938" w:rsidP="003F6CD2">
      <w:pPr>
        <w:spacing w:before="100" w:beforeAutospacing="1" w:after="100" w:afterAutospacing="1" w:line="360" w:lineRule="auto"/>
        <w:jc w:val="both"/>
        <w:rPr>
          <w:rFonts w:ascii="Times New Roman" w:hAnsi="Times New Roman" w:cs="Times New Roman"/>
        </w:rPr>
      </w:pPr>
      <w:r w:rsidRPr="003F6CD2">
        <w:rPr>
          <w:rFonts w:ascii="Times New Roman" w:hAnsi="Times New Roman" w:cs="Times New Roman"/>
        </w:rPr>
        <w:t>This paper investigates the transformative potential of Augmented Reality (AR) and Virtual Reality (VR) in enhancing user engagement on the web. As digital experiences evolve, the integration of immersive technologies offers new avenues for interaction, enabling users to engage with content in more meaningful and impactful ways. With the proliferation of smart devices and improved internet connectivity, AR and VR have become increasingly accessible, prompting a shift in how users experience online content across various sectors, including e-commerce, education, and entertainment.</w:t>
      </w:r>
    </w:p>
    <w:p w:rsidR="0010209C" w:rsidRPr="003F6CD2" w:rsidRDefault="0010209C" w:rsidP="003F6CD2">
      <w:pPr>
        <w:spacing w:before="100" w:beforeAutospacing="1" w:after="100" w:afterAutospacing="1" w:line="360" w:lineRule="auto"/>
        <w:jc w:val="both"/>
        <w:rPr>
          <w:rFonts w:ascii="Times New Roman" w:hAnsi="Times New Roman" w:cs="Times New Roman"/>
        </w:rPr>
      </w:pPr>
      <w:r w:rsidRPr="003F6CD2">
        <w:rPr>
          <w:rFonts w:ascii="Times New Roman" w:hAnsi="Times New Roman" w:cs="Times New Roman"/>
        </w:rPr>
        <w:t>This study outlines the current landscape of AR and VR applications in web environments, identifying successful case studies that exemplify effective implementation. It further develops metrics for measuring user engagement in these immersive experiences, highlighting key performance indicators such as interaction rates, time spent within environments, and user retention levels. By establishing these metrics, this research aims to provide a framework for assessing the effectiveness of AR and VR in capturing user attention and fostering deeper connections with digital content.</w:t>
      </w:r>
    </w:p>
    <w:p w:rsidR="0010209C" w:rsidRPr="003F6CD2" w:rsidRDefault="0010209C" w:rsidP="003F6CD2">
      <w:pPr>
        <w:spacing w:before="100" w:beforeAutospacing="1" w:after="100" w:afterAutospacing="1" w:line="360" w:lineRule="auto"/>
        <w:jc w:val="both"/>
        <w:rPr>
          <w:rFonts w:ascii="Times New Roman" w:hAnsi="Times New Roman" w:cs="Times New Roman"/>
        </w:rPr>
      </w:pPr>
      <w:r w:rsidRPr="003F6CD2">
        <w:rPr>
          <w:rFonts w:ascii="Times New Roman" w:hAnsi="Times New Roman" w:cs="Times New Roman"/>
        </w:rPr>
        <w:t>Additionally, the paper identifies best practices and design principles for creating user-centric AR and VR experiences. It emphasizes the importance of intuitive navigation, consistent feedback, and accessibility to enhance usability and ensure inclusivity for diverse audiences. Through qualitative and quantitative user feedback mechanisms, including surveys and interviews, this study gathers insights on user perceptions and emotional responses to AR and VR interactions.</w:t>
      </w:r>
    </w:p>
    <w:p w:rsidR="0010209C" w:rsidRPr="003F6CD2" w:rsidRDefault="0010209C" w:rsidP="003F6CD2">
      <w:pPr>
        <w:spacing w:before="100" w:beforeAutospacing="1" w:after="100" w:afterAutospacing="1" w:line="360" w:lineRule="auto"/>
        <w:jc w:val="both"/>
        <w:rPr>
          <w:rFonts w:ascii="Times New Roman" w:eastAsia="Times New Roman" w:hAnsi="Times New Roman" w:cs="Times New Roman"/>
        </w:rPr>
      </w:pPr>
      <w:r w:rsidRPr="003F6CD2">
        <w:rPr>
          <w:rFonts w:ascii="Times New Roman" w:hAnsi="Times New Roman" w:cs="Times New Roman"/>
        </w:rPr>
        <w:t>Ultimately, this research aims to contribute to the understanding of how immersive technologies can transform web engagement strategies. By examining the synergies between AR, VR, and user experience, this paper seeks to pave the way for innovative applications that enhance digital interaction, creating richer and more engaging online environments for users.</w:t>
      </w: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D6293" w:rsidRDefault="000D6293" w:rsidP="003F6CD2">
      <w:pPr>
        <w:pStyle w:val="Heading2"/>
        <w:spacing w:line="360" w:lineRule="auto"/>
        <w:jc w:val="both"/>
        <w:rPr>
          <w:b w:val="0"/>
          <w:bCs w:val="0"/>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Introduction</w:t>
      </w:r>
    </w:p>
    <w:p w:rsidR="000D6293" w:rsidRPr="000D6293" w:rsidRDefault="000D6293" w:rsidP="000D6293">
      <w:pPr>
        <w:pStyle w:val="NormalWeb"/>
        <w:spacing w:line="360" w:lineRule="auto"/>
        <w:jc w:val="both"/>
        <w:rPr>
          <w:sz w:val="22"/>
          <w:szCs w:val="22"/>
        </w:rPr>
      </w:pPr>
      <w:r w:rsidRPr="000D6293">
        <w:rPr>
          <w:sz w:val="22"/>
          <w:szCs w:val="22"/>
        </w:rPr>
        <w:t>The rapid advancement of Augmented Reality (AR) and Virtual Reality (VR) technologies is fundamentally transforming the way we interact with digital content. As the internet continues to evolve, traditional web experiences are increasingly being supplemented—and in some cases replaced—by immersive environments that offer deeper engagement and interaction. Users today are not merely passive consumers of information; they seek out interactive and dynamic experiences that captivate their attention and foster a stronger connection to the content they engage with. This shift is driven by the growing expectation for more personalized and immersive digital experiences that resonate on an emotional level.</w:t>
      </w:r>
    </w:p>
    <w:p w:rsidR="000D6293" w:rsidRPr="000D6293" w:rsidRDefault="000D6293" w:rsidP="000D6293">
      <w:pPr>
        <w:pStyle w:val="NormalWeb"/>
        <w:spacing w:line="360" w:lineRule="auto"/>
        <w:jc w:val="both"/>
        <w:rPr>
          <w:sz w:val="22"/>
          <w:szCs w:val="22"/>
        </w:rPr>
      </w:pPr>
      <w:r w:rsidRPr="000D6293">
        <w:rPr>
          <w:sz w:val="22"/>
          <w:szCs w:val="22"/>
        </w:rPr>
        <w:t>AR and VR technologies serve as powerful tools to fulfill these expectations by blending the physical and digital worlds, enabling users to engage with content in ways that were previously unimaginable. AR overlays digital information onto the real world, enhancing users' perceptions and interactions with their environment, while VR immerses users in entirely virtual worlds, creating a sense of presence that can be profoundly engaging. These technologies are being adopted across a variety of sectors, including e-commerce, education, entertainment, and healthcare, each of which is exploring innovative ways to leverage AR and VR to improve user experience and engagement.</w:t>
      </w:r>
    </w:p>
    <w:p w:rsidR="000D6293" w:rsidRPr="000D6293" w:rsidRDefault="000D6293" w:rsidP="000D6293">
      <w:pPr>
        <w:pStyle w:val="NormalWeb"/>
        <w:spacing w:line="360" w:lineRule="auto"/>
        <w:jc w:val="both"/>
        <w:rPr>
          <w:sz w:val="22"/>
          <w:szCs w:val="22"/>
        </w:rPr>
      </w:pPr>
      <w:r w:rsidRPr="000D6293">
        <w:rPr>
          <w:sz w:val="22"/>
          <w:szCs w:val="22"/>
        </w:rPr>
        <w:t>In e-commerce, for instance, companies are using AR to allow customers to visualize products in their own spaces before making a purchase. This capability not only enhances the shopping experience but also significantly reduces the uncertainty often associated with online shopping. Studies have shown that AR can increase purchase intent and customer satisfaction, thereby transforming the online retail landscape. Similarly, in education, VR is being used to create immersive learning environments that allow students to explore complex subjects in interactive ways. Educational institutions that adopt these technologies report improved engagement and retention rates, as immersive learning experiences can enhance understan</w:t>
      </w:r>
      <w:r>
        <w:rPr>
          <w:sz w:val="22"/>
          <w:szCs w:val="22"/>
        </w:rPr>
        <w:t>ding and recall of information.</w:t>
      </w:r>
    </w:p>
    <w:p w:rsidR="000D6293" w:rsidRPr="000D6293" w:rsidRDefault="000D6293" w:rsidP="000D6293">
      <w:pPr>
        <w:pStyle w:val="NormalWeb"/>
        <w:spacing w:line="360" w:lineRule="auto"/>
        <w:jc w:val="both"/>
        <w:rPr>
          <w:sz w:val="22"/>
          <w:szCs w:val="22"/>
        </w:rPr>
      </w:pPr>
      <w:r w:rsidRPr="000D6293">
        <w:rPr>
          <w:sz w:val="22"/>
          <w:szCs w:val="22"/>
        </w:rPr>
        <w:t>This paper aims to explore the current state of AR and VR in web applications, highlighting successful case studies that illustrate their impact on user engagement. By examining these technologies' applications across various sectors, we aim to identify effective strategies and best practices for their implementation. The paper will also develop metrics for measuring user engagement in immersive experiences and outline design principles to guide the creation of user-</w:t>
      </w:r>
      <w:r>
        <w:rPr>
          <w:sz w:val="22"/>
          <w:szCs w:val="22"/>
        </w:rPr>
        <w:t>centric AR and VR applications.</w:t>
      </w: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D6293" w:rsidRDefault="000D6293" w:rsidP="003F6CD2">
      <w:pPr>
        <w:pStyle w:val="Heading2"/>
        <w:spacing w:line="360" w:lineRule="auto"/>
        <w:jc w:val="both"/>
        <w:rPr>
          <w:b w:val="0"/>
          <w:bCs w:val="0"/>
          <w:sz w:val="22"/>
          <w:szCs w:val="22"/>
        </w:rPr>
      </w:pPr>
    </w:p>
    <w:p w:rsidR="000D2AC2" w:rsidRPr="003F6CD2" w:rsidRDefault="000D2AC2" w:rsidP="003F6CD2">
      <w:pPr>
        <w:pStyle w:val="Heading2"/>
        <w:spacing w:line="360" w:lineRule="auto"/>
        <w:jc w:val="both"/>
        <w:rPr>
          <w:sz w:val="22"/>
          <w:szCs w:val="22"/>
        </w:rPr>
      </w:pPr>
      <w:bookmarkStart w:id="0" w:name="_GoBack"/>
      <w:bookmarkEnd w:id="0"/>
      <w:r w:rsidRPr="003F6CD2">
        <w:rPr>
          <w:sz w:val="22"/>
          <w:szCs w:val="22"/>
        </w:rPr>
        <w:lastRenderedPageBreak/>
        <w:t>Objectives</w:t>
      </w:r>
    </w:p>
    <w:p w:rsidR="000D2AC2" w:rsidRPr="003F6CD2" w:rsidRDefault="000D2AC2" w:rsidP="003F6CD2">
      <w:pPr>
        <w:numPr>
          <w:ilvl w:val="0"/>
          <w:numId w:val="8"/>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Analyze Current Trends</w:t>
      </w:r>
      <w:r w:rsidRPr="003F6CD2">
        <w:rPr>
          <w:rFonts w:ascii="Times New Roman" w:hAnsi="Times New Roman" w:cs="Times New Roman"/>
        </w:rPr>
        <w:t>: Identify successful applications of AR and VR in various industries.</w:t>
      </w:r>
    </w:p>
    <w:p w:rsidR="000D2AC2" w:rsidRPr="003F6CD2" w:rsidRDefault="000D2AC2" w:rsidP="003F6CD2">
      <w:pPr>
        <w:numPr>
          <w:ilvl w:val="0"/>
          <w:numId w:val="8"/>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Develop Engagement Metrics</w:t>
      </w:r>
      <w:r w:rsidRPr="003F6CD2">
        <w:rPr>
          <w:rFonts w:ascii="Times New Roman" w:hAnsi="Times New Roman" w:cs="Times New Roman"/>
        </w:rPr>
        <w:t>: Establish criteria for measuring user engagement in immersive environments.</w:t>
      </w:r>
    </w:p>
    <w:p w:rsidR="000D2AC2" w:rsidRPr="003F6CD2" w:rsidRDefault="000D2AC2" w:rsidP="003F6CD2">
      <w:pPr>
        <w:numPr>
          <w:ilvl w:val="0"/>
          <w:numId w:val="8"/>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Identify Design Principles</w:t>
      </w:r>
      <w:r w:rsidRPr="003F6CD2">
        <w:rPr>
          <w:rFonts w:ascii="Times New Roman" w:hAnsi="Times New Roman" w:cs="Times New Roman"/>
        </w:rPr>
        <w:t>: Outline best practices for creating effective AR and VR web experiences.</w:t>
      </w:r>
    </w:p>
    <w:p w:rsidR="000D2AC2" w:rsidRPr="003F6CD2" w:rsidRDefault="000D2AC2" w:rsidP="003F6CD2">
      <w:pPr>
        <w:numPr>
          <w:ilvl w:val="0"/>
          <w:numId w:val="8"/>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Gather User Insights</w:t>
      </w:r>
      <w:r w:rsidRPr="003F6CD2">
        <w:rPr>
          <w:rFonts w:ascii="Times New Roman" w:hAnsi="Times New Roman" w:cs="Times New Roman"/>
        </w:rPr>
        <w:t>: Collect qualitative and quantitative data on user experiences with AR and VR.</w:t>
      </w:r>
    </w:p>
    <w:p w:rsidR="000D2AC2" w:rsidRPr="003F6CD2" w:rsidRDefault="000D2AC2" w:rsidP="003F6CD2">
      <w:pPr>
        <w:spacing w:before="100" w:beforeAutospacing="1" w:after="100" w:afterAutospacing="1" w:line="360" w:lineRule="auto"/>
        <w:jc w:val="both"/>
        <w:rPr>
          <w:rFonts w:ascii="Times New Roman" w:eastAsia="Times New Roman" w:hAnsi="Times New Roman" w:cs="Times New Roman"/>
        </w:rPr>
      </w:pP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E4938" w:rsidRPr="003F6CD2" w:rsidRDefault="000E4938" w:rsidP="003F6CD2">
      <w:pPr>
        <w:spacing w:before="100" w:beforeAutospacing="1" w:after="100" w:afterAutospacing="1" w:line="360" w:lineRule="auto"/>
        <w:jc w:val="both"/>
        <w:rPr>
          <w:rFonts w:ascii="Times New Roman" w:eastAsia="Times New Roman" w:hAnsi="Times New Roman" w:cs="Times New Roman"/>
        </w:rPr>
      </w:pPr>
    </w:p>
    <w:p w:rsidR="000E4938" w:rsidRPr="000E4938" w:rsidRDefault="000E4938" w:rsidP="003F6CD2">
      <w:pPr>
        <w:spacing w:before="100" w:beforeAutospacing="1" w:after="100" w:afterAutospacing="1" w:line="360" w:lineRule="auto"/>
        <w:jc w:val="both"/>
        <w:rPr>
          <w:rFonts w:ascii="Times New Roman" w:eastAsia="Times New Roman" w:hAnsi="Times New Roman" w:cs="Times New Roman"/>
        </w:rPr>
      </w:pPr>
    </w:p>
    <w:p w:rsidR="003D0C34" w:rsidRPr="003F6CD2" w:rsidRDefault="003D0C34"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6293" w:rsidRDefault="000D6293" w:rsidP="003F6CD2">
      <w:pPr>
        <w:pStyle w:val="Heading2"/>
        <w:spacing w:line="360" w:lineRule="auto"/>
        <w:jc w:val="both"/>
        <w:rPr>
          <w:rFonts w:eastAsiaTheme="minorHAnsi"/>
          <w:b w:val="0"/>
          <w:bCs w:val="0"/>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Current Trends in AR and VR</w:t>
      </w:r>
    </w:p>
    <w:p w:rsidR="000D2AC2" w:rsidRPr="003F6CD2" w:rsidRDefault="000D2AC2" w:rsidP="003F6CD2">
      <w:pPr>
        <w:pStyle w:val="NormalWeb"/>
        <w:spacing w:line="360" w:lineRule="auto"/>
        <w:jc w:val="both"/>
        <w:rPr>
          <w:sz w:val="22"/>
          <w:szCs w:val="22"/>
        </w:rPr>
      </w:pPr>
      <w:r w:rsidRPr="003F6CD2">
        <w:rPr>
          <w:sz w:val="22"/>
          <w:szCs w:val="22"/>
        </w:rPr>
        <w:t>The use of AR and VR technologies is proliferating across multiple sectors, including:</w:t>
      </w:r>
    </w:p>
    <w:p w:rsidR="000D2AC2" w:rsidRPr="003F6CD2" w:rsidRDefault="000D2AC2" w:rsidP="003F6CD2">
      <w:pPr>
        <w:pStyle w:val="NormalWeb"/>
        <w:numPr>
          <w:ilvl w:val="0"/>
          <w:numId w:val="9"/>
        </w:numPr>
        <w:spacing w:line="360" w:lineRule="auto"/>
        <w:jc w:val="both"/>
        <w:rPr>
          <w:sz w:val="22"/>
          <w:szCs w:val="22"/>
        </w:rPr>
      </w:pPr>
      <w:r w:rsidRPr="003F6CD2">
        <w:rPr>
          <w:rStyle w:val="Strong"/>
          <w:sz w:val="22"/>
          <w:szCs w:val="22"/>
        </w:rPr>
        <w:t>E-commerce</w:t>
      </w:r>
      <w:r w:rsidRPr="003F6CD2">
        <w:rPr>
          <w:sz w:val="22"/>
          <w:szCs w:val="22"/>
        </w:rPr>
        <w:t>: Brands like IKEA and Sephora use AR to allow customers to visualize products in their own environments. For instance, IKEA’s Place app enables users to see how furniture fits in their homes before making a purchase (IKEA, 2021). Research indicates that AR features can significantly enhance customer engagement and purchase intent (Huang &amp; Liao, 2015).</w:t>
      </w:r>
    </w:p>
    <w:p w:rsidR="000D2AC2" w:rsidRPr="003F6CD2" w:rsidRDefault="000D2AC2" w:rsidP="003F6CD2">
      <w:pPr>
        <w:pStyle w:val="NormalWeb"/>
        <w:numPr>
          <w:ilvl w:val="0"/>
          <w:numId w:val="9"/>
        </w:numPr>
        <w:spacing w:line="360" w:lineRule="auto"/>
        <w:jc w:val="both"/>
        <w:rPr>
          <w:sz w:val="22"/>
          <w:szCs w:val="22"/>
        </w:rPr>
      </w:pPr>
      <w:r w:rsidRPr="003F6CD2">
        <w:rPr>
          <w:rStyle w:val="Strong"/>
          <w:sz w:val="22"/>
          <w:szCs w:val="22"/>
        </w:rPr>
        <w:t>Education</w:t>
      </w:r>
      <w:r w:rsidRPr="003F6CD2">
        <w:rPr>
          <w:sz w:val="22"/>
          <w:szCs w:val="22"/>
        </w:rPr>
        <w:t xml:space="preserve">: Google Expeditions offers VR tours of historical sites and scientific phenomena, allowing students to explore immersive learning environments. A study by Dunleavy and </w:t>
      </w:r>
      <w:proofErr w:type="spellStart"/>
      <w:r w:rsidRPr="003F6CD2">
        <w:rPr>
          <w:sz w:val="22"/>
          <w:szCs w:val="22"/>
        </w:rPr>
        <w:t>Dede</w:t>
      </w:r>
      <w:proofErr w:type="spellEnd"/>
      <w:r w:rsidRPr="003F6CD2">
        <w:rPr>
          <w:sz w:val="22"/>
          <w:szCs w:val="22"/>
        </w:rPr>
        <w:t xml:space="preserve"> (2014) highlighted that VR and AR can lead to deeper learning experiences by providing interactive and contextual information. Additionally, using AR in educational settings has been shown to improve retention and understanding of complex concepts (</w:t>
      </w:r>
      <w:proofErr w:type="spellStart"/>
      <w:r w:rsidRPr="003F6CD2">
        <w:rPr>
          <w:sz w:val="22"/>
          <w:szCs w:val="22"/>
        </w:rPr>
        <w:t>Bacca</w:t>
      </w:r>
      <w:proofErr w:type="spellEnd"/>
      <w:r w:rsidRPr="003F6CD2">
        <w:rPr>
          <w:sz w:val="22"/>
          <w:szCs w:val="22"/>
        </w:rPr>
        <w:t xml:space="preserve">, </w:t>
      </w:r>
      <w:proofErr w:type="spellStart"/>
      <w:r w:rsidRPr="003F6CD2">
        <w:rPr>
          <w:sz w:val="22"/>
          <w:szCs w:val="22"/>
        </w:rPr>
        <w:t>Baldassarri</w:t>
      </w:r>
      <w:proofErr w:type="spellEnd"/>
      <w:r w:rsidRPr="003F6CD2">
        <w:rPr>
          <w:sz w:val="22"/>
          <w:szCs w:val="22"/>
        </w:rPr>
        <w:t>, &amp; Torres, 2014).</w:t>
      </w:r>
    </w:p>
    <w:p w:rsidR="000D2AC2" w:rsidRPr="003F6CD2" w:rsidRDefault="000D2AC2" w:rsidP="003F6CD2">
      <w:pPr>
        <w:pStyle w:val="NormalWeb"/>
        <w:numPr>
          <w:ilvl w:val="0"/>
          <w:numId w:val="9"/>
        </w:numPr>
        <w:spacing w:line="360" w:lineRule="auto"/>
        <w:jc w:val="both"/>
        <w:rPr>
          <w:sz w:val="22"/>
          <w:szCs w:val="22"/>
        </w:rPr>
      </w:pPr>
      <w:r w:rsidRPr="003F6CD2">
        <w:rPr>
          <w:rStyle w:val="Strong"/>
          <w:sz w:val="22"/>
          <w:szCs w:val="22"/>
        </w:rPr>
        <w:t>Entertainment</w:t>
      </w:r>
      <w:r w:rsidRPr="003F6CD2">
        <w:rPr>
          <w:sz w:val="22"/>
          <w:szCs w:val="22"/>
        </w:rPr>
        <w:t>: Platforms like Oculus and PlayStation VR provide immersive gaming experiences that captivate users. A report by the International Data Corporation (IDC, 2021) forecasts substantial growth in VR gaming revenue over the next few years. Furthermore, immersive storytelling in gaming has been shown to enhance user engagement and emotional connection (</w:t>
      </w:r>
      <w:proofErr w:type="spellStart"/>
      <w:r w:rsidRPr="003F6CD2">
        <w:rPr>
          <w:sz w:val="22"/>
          <w:szCs w:val="22"/>
        </w:rPr>
        <w:t>Besse</w:t>
      </w:r>
      <w:proofErr w:type="spellEnd"/>
      <w:r w:rsidRPr="003F6CD2">
        <w:rPr>
          <w:sz w:val="22"/>
          <w:szCs w:val="22"/>
        </w:rPr>
        <w:t>, 2019).</w:t>
      </w: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6293" w:rsidRDefault="000D6293" w:rsidP="003F6CD2">
      <w:pPr>
        <w:pStyle w:val="Heading2"/>
        <w:spacing w:line="360" w:lineRule="auto"/>
        <w:jc w:val="both"/>
        <w:rPr>
          <w:rFonts w:eastAsiaTheme="minorHAnsi"/>
          <w:b w:val="0"/>
          <w:bCs w:val="0"/>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User Engagement Metrics</w:t>
      </w:r>
    </w:p>
    <w:p w:rsidR="000D2AC2" w:rsidRPr="003F6CD2" w:rsidRDefault="000D2AC2" w:rsidP="003F6CD2">
      <w:pPr>
        <w:pStyle w:val="NormalWeb"/>
        <w:spacing w:line="360" w:lineRule="auto"/>
        <w:jc w:val="both"/>
        <w:rPr>
          <w:sz w:val="22"/>
          <w:szCs w:val="22"/>
        </w:rPr>
      </w:pPr>
      <w:r w:rsidRPr="003F6CD2">
        <w:rPr>
          <w:sz w:val="22"/>
          <w:szCs w:val="22"/>
        </w:rPr>
        <w:t>To assess the effectiveness of AR and VR in enhancing user engagement, the following metrics can be established:</w:t>
      </w:r>
    </w:p>
    <w:p w:rsidR="000D2AC2" w:rsidRPr="003F6CD2" w:rsidRDefault="000D2AC2" w:rsidP="003F6CD2">
      <w:pPr>
        <w:numPr>
          <w:ilvl w:val="0"/>
          <w:numId w:val="12"/>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Time Spent in Experience</w:t>
      </w:r>
      <w:r w:rsidRPr="003F6CD2">
        <w:rPr>
          <w:rFonts w:ascii="Times New Roman" w:hAnsi="Times New Roman" w:cs="Times New Roman"/>
        </w:rPr>
        <w:t>: Measuring the duration of user interaction with AR/VR content.</w:t>
      </w:r>
    </w:p>
    <w:p w:rsidR="000D2AC2" w:rsidRPr="003F6CD2" w:rsidRDefault="000D2AC2" w:rsidP="003F6CD2">
      <w:pPr>
        <w:numPr>
          <w:ilvl w:val="0"/>
          <w:numId w:val="12"/>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Interaction Rate</w:t>
      </w:r>
      <w:r w:rsidRPr="003F6CD2">
        <w:rPr>
          <w:rFonts w:ascii="Times New Roman" w:hAnsi="Times New Roman" w:cs="Times New Roman"/>
        </w:rPr>
        <w:t>: Evaluating how often users interact with various elements within the immersive experience.</w:t>
      </w:r>
    </w:p>
    <w:p w:rsidR="000D2AC2" w:rsidRPr="003F6CD2" w:rsidRDefault="000D2AC2" w:rsidP="003F6CD2">
      <w:pPr>
        <w:numPr>
          <w:ilvl w:val="0"/>
          <w:numId w:val="12"/>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User Retention</w:t>
      </w:r>
      <w:r w:rsidRPr="003F6CD2">
        <w:rPr>
          <w:rFonts w:ascii="Times New Roman" w:hAnsi="Times New Roman" w:cs="Times New Roman"/>
        </w:rPr>
        <w:t>: Tracking return visits and user loyalty to determine the lasting impact of the experience.</w:t>
      </w:r>
    </w:p>
    <w:p w:rsidR="000D2AC2" w:rsidRPr="003F6CD2" w:rsidRDefault="000D2AC2" w:rsidP="003F6CD2">
      <w:pPr>
        <w:pStyle w:val="Heading3"/>
        <w:spacing w:line="360" w:lineRule="auto"/>
        <w:jc w:val="both"/>
        <w:rPr>
          <w:sz w:val="22"/>
          <w:szCs w:val="22"/>
        </w:rPr>
      </w:pPr>
      <w:r w:rsidRPr="003F6CD2">
        <w:rPr>
          <w:sz w:val="22"/>
          <w:szCs w:val="22"/>
        </w:rPr>
        <w:t>Case Study: IKEA Place App</w:t>
      </w:r>
    </w:p>
    <w:p w:rsidR="000D2AC2" w:rsidRPr="003F6CD2" w:rsidRDefault="000D2AC2" w:rsidP="003F6CD2">
      <w:pPr>
        <w:pStyle w:val="NormalWeb"/>
        <w:spacing w:line="360" w:lineRule="auto"/>
        <w:jc w:val="both"/>
        <w:rPr>
          <w:sz w:val="22"/>
          <w:szCs w:val="22"/>
        </w:rPr>
      </w:pPr>
      <w:r w:rsidRPr="003F6CD2">
        <w:rPr>
          <w:sz w:val="22"/>
          <w:szCs w:val="22"/>
        </w:rPr>
        <w:t>IKEA’s Place app exemplifies effective AR integration, allowing users to visualize furniture in their own spaces. By leveraging AR technology, the app provides a realistic preview of how products will look in a customer's home, significantly enhancing the online shopping experience. Users can simply point their device's camera at a space, and the app will overlay 3D models of furniture in real-time.</w:t>
      </w:r>
    </w:p>
    <w:p w:rsidR="000D2AC2" w:rsidRPr="003F6CD2" w:rsidRDefault="000D2AC2" w:rsidP="003F6CD2">
      <w:pPr>
        <w:pStyle w:val="NormalWeb"/>
        <w:spacing w:line="360" w:lineRule="auto"/>
        <w:jc w:val="both"/>
        <w:rPr>
          <w:sz w:val="22"/>
          <w:szCs w:val="22"/>
        </w:rPr>
      </w:pPr>
      <w:r w:rsidRPr="003F6CD2">
        <w:rPr>
          <w:sz w:val="22"/>
          <w:szCs w:val="22"/>
        </w:rPr>
        <w:t xml:space="preserve">Metrics indicated a significant increase in user engagement, with a reported 90% of users feeling more confident in their purchase decisions after using the app (IKEA, 2021). Furthermore, a study by </w:t>
      </w:r>
      <w:proofErr w:type="spellStart"/>
      <w:r w:rsidRPr="003F6CD2">
        <w:rPr>
          <w:sz w:val="22"/>
          <w:szCs w:val="22"/>
        </w:rPr>
        <w:t>Poushneh</w:t>
      </w:r>
      <w:proofErr w:type="spellEnd"/>
      <w:r w:rsidRPr="003F6CD2">
        <w:rPr>
          <w:sz w:val="22"/>
          <w:szCs w:val="22"/>
        </w:rPr>
        <w:t xml:space="preserve"> and Vasquez-</w:t>
      </w:r>
      <w:proofErr w:type="spellStart"/>
      <w:r w:rsidRPr="003F6CD2">
        <w:rPr>
          <w:sz w:val="22"/>
          <w:szCs w:val="22"/>
        </w:rPr>
        <w:t>Parraga</w:t>
      </w:r>
      <w:proofErr w:type="spellEnd"/>
      <w:r w:rsidRPr="003F6CD2">
        <w:rPr>
          <w:sz w:val="22"/>
          <w:szCs w:val="22"/>
        </w:rPr>
        <w:t xml:space="preserve"> (2017) found that AR can enhance customer satisfaction and reduce the perceived risk associated with online shopping. The IKEA Place app also includes features that allow users to save their favorite items and share their designs on social media, further enhancing user engagement and brand loyalty.</w:t>
      </w:r>
      <w:r w:rsidR="007F2379">
        <w:rPr>
          <w:sz w:val="22"/>
          <w:szCs w:val="22"/>
        </w:rPr>
        <w:t xml:space="preserve">  </w:t>
      </w:r>
    </w:p>
    <w:p w:rsidR="000D2AC2" w:rsidRPr="003F6CD2" w:rsidRDefault="000D2AC2" w:rsidP="003F6CD2">
      <w:pPr>
        <w:pStyle w:val="NormalWeb"/>
        <w:spacing w:line="360" w:lineRule="auto"/>
        <w:jc w:val="both"/>
        <w:rPr>
          <w:sz w:val="22"/>
          <w:szCs w:val="22"/>
        </w:rPr>
      </w:pPr>
      <w:r w:rsidRPr="003F6CD2">
        <w:rPr>
          <w:sz w:val="22"/>
          <w:szCs w:val="22"/>
        </w:rPr>
        <w:t>This case demonstrates the efficacy of AR in not only improving user experience but also driving sales and customer retention in the competitive e-commerce landscape.</w:t>
      </w: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6293" w:rsidRDefault="000D6293" w:rsidP="003F6CD2">
      <w:pPr>
        <w:pStyle w:val="Heading2"/>
        <w:spacing w:line="360" w:lineRule="auto"/>
        <w:jc w:val="both"/>
        <w:rPr>
          <w:rFonts w:eastAsiaTheme="minorHAnsi"/>
          <w:b w:val="0"/>
          <w:bCs w:val="0"/>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Design Principles for AR and VR</w:t>
      </w:r>
    </w:p>
    <w:p w:rsidR="000D2AC2" w:rsidRPr="003F6CD2" w:rsidRDefault="000D2AC2" w:rsidP="003F6CD2">
      <w:pPr>
        <w:pStyle w:val="NormalWeb"/>
        <w:spacing w:line="360" w:lineRule="auto"/>
        <w:jc w:val="both"/>
        <w:rPr>
          <w:sz w:val="22"/>
          <w:szCs w:val="22"/>
        </w:rPr>
      </w:pPr>
      <w:r w:rsidRPr="003F6CD2">
        <w:rPr>
          <w:sz w:val="22"/>
          <w:szCs w:val="22"/>
        </w:rPr>
        <w:t>Effective AR and VR web experiences should adhere to the following design principles:</w:t>
      </w:r>
    </w:p>
    <w:p w:rsidR="000D2AC2" w:rsidRPr="003F6CD2" w:rsidRDefault="000D2AC2" w:rsidP="003F6CD2">
      <w:pPr>
        <w:numPr>
          <w:ilvl w:val="0"/>
          <w:numId w:val="13"/>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User-Centric Design</w:t>
      </w:r>
      <w:r w:rsidRPr="003F6CD2">
        <w:rPr>
          <w:rFonts w:ascii="Times New Roman" w:hAnsi="Times New Roman" w:cs="Times New Roman"/>
        </w:rPr>
        <w:t>: Prioritize usability and accessibility, ensuring that experiences cater to diverse user needs.</w:t>
      </w:r>
    </w:p>
    <w:p w:rsidR="000D2AC2" w:rsidRPr="003F6CD2" w:rsidRDefault="000D2AC2" w:rsidP="003F6CD2">
      <w:pPr>
        <w:numPr>
          <w:ilvl w:val="0"/>
          <w:numId w:val="13"/>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Intuitive Navigation</w:t>
      </w:r>
      <w:r w:rsidRPr="003F6CD2">
        <w:rPr>
          <w:rFonts w:ascii="Times New Roman" w:hAnsi="Times New Roman" w:cs="Times New Roman"/>
        </w:rPr>
        <w:t>: Create clear and easy navigation paths within immersive environments to avoid user frustration.</w:t>
      </w:r>
    </w:p>
    <w:p w:rsidR="000D2AC2" w:rsidRPr="003F6CD2" w:rsidRDefault="000D2AC2" w:rsidP="003F6CD2">
      <w:pPr>
        <w:numPr>
          <w:ilvl w:val="0"/>
          <w:numId w:val="13"/>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Consistent Feedback</w:t>
      </w:r>
      <w:r w:rsidRPr="003F6CD2">
        <w:rPr>
          <w:rFonts w:ascii="Times New Roman" w:hAnsi="Times New Roman" w:cs="Times New Roman"/>
        </w:rPr>
        <w:t>: Provide users with immediate feedback on their interactions to enhance engagement and learning.</w:t>
      </w: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3F6CD2" w:rsidRDefault="003F6CD2" w:rsidP="003F6CD2">
      <w:pPr>
        <w:pStyle w:val="Heading2"/>
        <w:spacing w:line="360" w:lineRule="auto"/>
        <w:jc w:val="both"/>
        <w:rPr>
          <w:rFonts w:eastAsiaTheme="minorHAnsi"/>
          <w:b w:val="0"/>
          <w:bCs w:val="0"/>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Literature Review</w:t>
      </w:r>
    </w:p>
    <w:p w:rsidR="000D2AC2" w:rsidRPr="003F6CD2" w:rsidRDefault="000D2AC2" w:rsidP="003F6CD2">
      <w:pPr>
        <w:pStyle w:val="NormalWeb"/>
        <w:numPr>
          <w:ilvl w:val="0"/>
          <w:numId w:val="14"/>
        </w:numPr>
        <w:spacing w:line="360" w:lineRule="auto"/>
        <w:jc w:val="both"/>
        <w:rPr>
          <w:sz w:val="22"/>
          <w:szCs w:val="22"/>
        </w:rPr>
      </w:pPr>
      <w:proofErr w:type="spellStart"/>
      <w:r w:rsidRPr="003F6CD2">
        <w:rPr>
          <w:sz w:val="22"/>
          <w:szCs w:val="22"/>
        </w:rPr>
        <w:t>Bacca</w:t>
      </w:r>
      <w:proofErr w:type="spellEnd"/>
      <w:r w:rsidRPr="003F6CD2">
        <w:rPr>
          <w:sz w:val="22"/>
          <w:szCs w:val="22"/>
        </w:rPr>
        <w:t xml:space="preserve">, J., </w:t>
      </w:r>
      <w:proofErr w:type="spellStart"/>
      <w:r w:rsidRPr="003F6CD2">
        <w:rPr>
          <w:sz w:val="22"/>
          <w:szCs w:val="22"/>
        </w:rPr>
        <w:t>Baldassarri</w:t>
      </w:r>
      <w:proofErr w:type="spellEnd"/>
      <w:r w:rsidRPr="003F6CD2">
        <w:rPr>
          <w:sz w:val="22"/>
          <w:szCs w:val="22"/>
        </w:rPr>
        <w:t xml:space="preserve">, S., &amp; Torres, J. (2014). Augmented reality in education: A systematic review. </w:t>
      </w:r>
      <w:r w:rsidRPr="003F6CD2">
        <w:rPr>
          <w:rStyle w:val="Emphasis"/>
          <w:sz w:val="22"/>
          <w:szCs w:val="22"/>
        </w:rPr>
        <w:t>Educational Technology &amp; Society</w:t>
      </w:r>
      <w:r w:rsidRPr="003F6CD2">
        <w:rPr>
          <w:sz w:val="22"/>
          <w:szCs w:val="22"/>
        </w:rPr>
        <w:t>, 17(4), 99-110.</w:t>
      </w:r>
    </w:p>
    <w:p w:rsidR="000D2AC2" w:rsidRPr="003F6CD2" w:rsidRDefault="000D2AC2" w:rsidP="003F6CD2">
      <w:pPr>
        <w:pStyle w:val="NormalWeb"/>
        <w:numPr>
          <w:ilvl w:val="0"/>
          <w:numId w:val="14"/>
        </w:numPr>
        <w:spacing w:line="360" w:lineRule="auto"/>
        <w:jc w:val="both"/>
        <w:rPr>
          <w:sz w:val="22"/>
          <w:szCs w:val="22"/>
        </w:rPr>
      </w:pPr>
      <w:proofErr w:type="spellStart"/>
      <w:r w:rsidRPr="003F6CD2">
        <w:rPr>
          <w:sz w:val="22"/>
          <w:szCs w:val="22"/>
        </w:rPr>
        <w:t>Besse</w:t>
      </w:r>
      <w:proofErr w:type="spellEnd"/>
      <w:r w:rsidRPr="003F6CD2">
        <w:rPr>
          <w:sz w:val="22"/>
          <w:szCs w:val="22"/>
        </w:rPr>
        <w:t xml:space="preserve">, C. (2019). The importance of immersive storytelling for user engagement in virtual reality games. </w:t>
      </w:r>
      <w:r w:rsidRPr="003F6CD2">
        <w:rPr>
          <w:rStyle w:val="Emphasis"/>
          <w:sz w:val="22"/>
          <w:szCs w:val="22"/>
        </w:rPr>
        <w:t>Journal of Interactive Media in Education</w:t>
      </w:r>
      <w:r w:rsidRPr="003F6CD2">
        <w:rPr>
          <w:sz w:val="22"/>
          <w:szCs w:val="22"/>
        </w:rPr>
        <w:t>, 1(1), 15. https://doi.org/10.5334/jime.498</w:t>
      </w:r>
    </w:p>
    <w:p w:rsidR="000D2AC2" w:rsidRPr="003F6CD2" w:rsidRDefault="000D2AC2" w:rsidP="003F6CD2">
      <w:pPr>
        <w:pStyle w:val="NormalWeb"/>
        <w:numPr>
          <w:ilvl w:val="0"/>
          <w:numId w:val="14"/>
        </w:numPr>
        <w:spacing w:line="360" w:lineRule="auto"/>
        <w:jc w:val="both"/>
        <w:rPr>
          <w:sz w:val="22"/>
          <w:szCs w:val="22"/>
        </w:rPr>
      </w:pPr>
      <w:r w:rsidRPr="003F6CD2">
        <w:rPr>
          <w:sz w:val="22"/>
          <w:szCs w:val="22"/>
        </w:rPr>
        <w:t xml:space="preserve">Dunleavy, M., &amp; </w:t>
      </w:r>
      <w:proofErr w:type="spellStart"/>
      <w:r w:rsidRPr="003F6CD2">
        <w:rPr>
          <w:sz w:val="22"/>
          <w:szCs w:val="22"/>
        </w:rPr>
        <w:t>Dede</w:t>
      </w:r>
      <w:proofErr w:type="spellEnd"/>
      <w:r w:rsidRPr="003F6CD2">
        <w:rPr>
          <w:sz w:val="22"/>
          <w:szCs w:val="22"/>
        </w:rPr>
        <w:t xml:space="preserve">, C. (2014). Augmented reality teaching and learning in higher education. </w:t>
      </w:r>
      <w:r w:rsidRPr="003F6CD2">
        <w:rPr>
          <w:rStyle w:val="Emphasis"/>
          <w:sz w:val="22"/>
          <w:szCs w:val="22"/>
        </w:rPr>
        <w:t>International Journal of Educational Technology in Higher Education</w:t>
      </w:r>
      <w:r w:rsidRPr="003F6CD2">
        <w:rPr>
          <w:sz w:val="22"/>
          <w:szCs w:val="22"/>
        </w:rPr>
        <w:t>, 11(1), 1-15. https://doi.org/10.7238/rufus</w:t>
      </w:r>
    </w:p>
    <w:p w:rsidR="000D2AC2" w:rsidRPr="003F6CD2" w:rsidRDefault="000D2AC2" w:rsidP="003F6CD2">
      <w:pPr>
        <w:pStyle w:val="NormalWeb"/>
        <w:numPr>
          <w:ilvl w:val="0"/>
          <w:numId w:val="14"/>
        </w:numPr>
        <w:spacing w:line="360" w:lineRule="auto"/>
        <w:jc w:val="both"/>
        <w:rPr>
          <w:sz w:val="22"/>
          <w:szCs w:val="22"/>
        </w:rPr>
      </w:pPr>
      <w:r w:rsidRPr="003F6CD2">
        <w:rPr>
          <w:sz w:val="22"/>
          <w:szCs w:val="22"/>
        </w:rPr>
        <w:t xml:space="preserve">Google. (2020). </w:t>
      </w:r>
      <w:proofErr w:type="gramStart"/>
      <w:r w:rsidRPr="003F6CD2">
        <w:rPr>
          <w:sz w:val="22"/>
          <w:szCs w:val="22"/>
        </w:rPr>
        <w:t>The</w:t>
      </w:r>
      <w:proofErr w:type="gramEnd"/>
      <w:r w:rsidRPr="003F6CD2">
        <w:rPr>
          <w:sz w:val="22"/>
          <w:szCs w:val="22"/>
        </w:rPr>
        <w:t xml:space="preserve"> impact of Google Expeditions on student learning. Retrieved from </w:t>
      </w:r>
      <w:hyperlink r:id="rId7" w:tgtFrame="_new" w:history="1">
        <w:r w:rsidRPr="003F6CD2">
          <w:rPr>
            <w:rStyle w:val="Hyperlink"/>
            <w:sz w:val="22"/>
            <w:szCs w:val="22"/>
          </w:rPr>
          <w:t>https://www.google.com</w:t>
        </w:r>
      </w:hyperlink>
    </w:p>
    <w:p w:rsidR="000D2AC2" w:rsidRPr="003F6CD2" w:rsidRDefault="000D2AC2" w:rsidP="003F6CD2">
      <w:pPr>
        <w:pStyle w:val="NormalWeb"/>
        <w:numPr>
          <w:ilvl w:val="0"/>
          <w:numId w:val="14"/>
        </w:numPr>
        <w:spacing w:line="360" w:lineRule="auto"/>
        <w:jc w:val="both"/>
        <w:rPr>
          <w:sz w:val="22"/>
          <w:szCs w:val="22"/>
        </w:rPr>
      </w:pPr>
      <w:r w:rsidRPr="003F6CD2">
        <w:rPr>
          <w:sz w:val="22"/>
          <w:szCs w:val="22"/>
        </w:rPr>
        <w:t xml:space="preserve">IKEA. (2021). IKEA Place: The future of home furnishing. Retrieved from </w:t>
      </w:r>
      <w:hyperlink r:id="rId8" w:tgtFrame="_new" w:history="1">
        <w:r w:rsidRPr="003F6CD2">
          <w:rPr>
            <w:rStyle w:val="Hyperlink"/>
            <w:sz w:val="22"/>
            <w:szCs w:val="22"/>
          </w:rPr>
          <w:t>https://www.ikea.com</w:t>
        </w:r>
      </w:hyperlink>
    </w:p>
    <w:p w:rsidR="000D2AC2" w:rsidRPr="003F6CD2" w:rsidRDefault="000D2AC2" w:rsidP="003F6CD2">
      <w:pPr>
        <w:pStyle w:val="NormalWeb"/>
        <w:numPr>
          <w:ilvl w:val="0"/>
          <w:numId w:val="14"/>
        </w:numPr>
        <w:spacing w:line="360" w:lineRule="auto"/>
        <w:jc w:val="both"/>
        <w:rPr>
          <w:sz w:val="22"/>
          <w:szCs w:val="22"/>
        </w:rPr>
      </w:pPr>
      <w:r w:rsidRPr="003F6CD2">
        <w:rPr>
          <w:sz w:val="22"/>
          <w:szCs w:val="22"/>
        </w:rPr>
        <w:t xml:space="preserve">International Data Corporation (IDC). (2021). Worldwide AR and VR market forecast. Retrieved from </w:t>
      </w:r>
      <w:hyperlink r:id="rId9" w:tgtFrame="_new" w:history="1">
        <w:r w:rsidRPr="003F6CD2">
          <w:rPr>
            <w:rStyle w:val="Hyperlink"/>
            <w:sz w:val="22"/>
            <w:szCs w:val="22"/>
          </w:rPr>
          <w:t>https://www.idc.com</w:t>
        </w:r>
      </w:hyperlink>
    </w:p>
    <w:p w:rsidR="000D2AC2" w:rsidRPr="003F6CD2" w:rsidRDefault="000D2AC2" w:rsidP="003F6CD2">
      <w:pPr>
        <w:pStyle w:val="NormalWeb"/>
        <w:numPr>
          <w:ilvl w:val="0"/>
          <w:numId w:val="14"/>
        </w:numPr>
        <w:spacing w:line="360" w:lineRule="auto"/>
        <w:jc w:val="both"/>
        <w:rPr>
          <w:sz w:val="22"/>
          <w:szCs w:val="22"/>
        </w:rPr>
      </w:pPr>
      <w:proofErr w:type="spellStart"/>
      <w:r w:rsidRPr="003F6CD2">
        <w:rPr>
          <w:sz w:val="22"/>
          <w:szCs w:val="22"/>
        </w:rPr>
        <w:t>Mikropoulos</w:t>
      </w:r>
      <w:proofErr w:type="spellEnd"/>
      <w:r w:rsidRPr="003F6CD2">
        <w:rPr>
          <w:sz w:val="22"/>
          <w:szCs w:val="22"/>
        </w:rPr>
        <w:t xml:space="preserve">, T. A., &amp; </w:t>
      </w:r>
      <w:proofErr w:type="spellStart"/>
      <w:r w:rsidRPr="003F6CD2">
        <w:rPr>
          <w:sz w:val="22"/>
          <w:szCs w:val="22"/>
        </w:rPr>
        <w:t>Natsis</w:t>
      </w:r>
      <w:proofErr w:type="spellEnd"/>
      <w:r w:rsidRPr="003F6CD2">
        <w:rPr>
          <w:sz w:val="22"/>
          <w:szCs w:val="22"/>
        </w:rPr>
        <w:t xml:space="preserve">, A. (2011). Educational virtual environments: A review of the research. </w:t>
      </w:r>
      <w:r w:rsidRPr="003F6CD2">
        <w:rPr>
          <w:rStyle w:val="Emphasis"/>
          <w:sz w:val="22"/>
          <w:szCs w:val="22"/>
        </w:rPr>
        <w:t>Educational Technology &amp; Society</w:t>
      </w:r>
      <w:r w:rsidRPr="003F6CD2">
        <w:rPr>
          <w:sz w:val="22"/>
          <w:szCs w:val="22"/>
        </w:rPr>
        <w:t>, 14(2), 78-84.</w:t>
      </w:r>
    </w:p>
    <w:p w:rsidR="000D2AC2" w:rsidRPr="003F6CD2" w:rsidRDefault="000D2AC2" w:rsidP="003F6CD2">
      <w:pPr>
        <w:pStyle w:val="NormalWeb"/>
        <w:numPr>
          <w:ilvl w:val="0"/>
          <w:numId w:val="14"/>
        </w:numPr>
        <w:spacing w:line="360" w:lineRule="auto"/>
        <w:jc w:val="both"/>
        <w:rPr>
          <w:sz w:val="22"/>
          <w:szCs w:val="22"/>
        </w:rPr>
      </w:pPr>
      <w:proofErr w:type="spellStart"/>
      <w:r w:rsidRPr="003F6CD2">
        <w:rPr>
          <w:sz w:val="22"/>
          <w:szCs w:val="22"/>
        </w:rPr>
        <w:t>Poushneh</w:t>
      </w:r>
      <w:proofErr w:type="spellEnd"/>
      <w:r w:rsidRPr="003F6CD2">
        <w:rPr>
          <w:sz w:val="22"/>
          <w:szCs w:val="22"/>
        </w:rPr>
        <w:t>, A., &amp; Vasquez-</w:t>
      </w:r>
      <w:proofErr w:type="spellStart"/>
      <w:r w:rsidRPr="003F6CD2">
        <w:rPr>
          <w:sz w:val="22"/>
          <w:szCs w:val="22"/>
        </w:rPr>
        <w:t>Parraga</w:t>
      </w:r>
      <w:proofErr w:type="spellEnd"/>
      <w:r w:rsidRPr="003F6CD2">
        <w:rPr>
          <w:sz w:val="22"/>
          <w:szCs w:val="22"/>
        </w:rPr>
        <w:t xml:space="preserve">, A. H. (2017). Augmented reality in retail: A qualitative approach to consumer behavior. </w:t>
      </w:r>
      <w:r w:rsidRPr="003F6CD2">
        <w:rPr>
          <w:rStyle w:val="Emphasis"/>
          <w:sz w:val="22"/>
          <w:szCs w:val="22"/>
        </w:rPr>
        <w:t>Journal of Retailing and Consumer Services</w:t>
      </w:r>
      <w:r w:rsidRPr="003F6CD2">
        <w:rPr>
          <w:sz w:val="22"/>
          <w:szCs w:val="22"/>
        </w:rPr>
        <w:t>, 34, 229-234. https://doi.org/10.1016/j.jretconser.2016.09.003</w:t>
      </w:r>
    </w:p>
    <w:p w:rsidR="000D2AC2" w:rsidRPr="003F6CD2" w:rsidRDefault="000D2AC2" w:rsidP="003F6CD2">
      <w:pPr>
        <w:pStyle w:val="NormalWeb"/>
        <w:numPr>
          <w:ilvl w:val="0"/>
          <w:numId w:val="14"/>
        </w:numPr>
        <w:spacing w:line="360" w:lineRule="auto"/>
        <w:jc w:val="both"/>
        <w:rPr>
          <w:sz w:val="22"/>
          <w:szCs w:val="22"/>
        </w:rPr>
      </w:pPr>
      <w:r w:rsidRPr="003F6CD2">
        <w:rPr>
          <w:sz w:val="22"/>
          <w:szCs w:val="22"/>
        </w:rPr>
        <w:t xml:space="preserve">Slater, M., &amp; Wilbur, S. (1997). A framework for immersive virtual environments (FIVE): Speculations on the role of presence in virtual environments. </w:t>
      </w:r>
      <w:r w:rsidRPr="003F6CD2">
        <w:rPr>
          <w:rStyle w:val="Emphasis"/>
          <w:sz w:val="22"/>
          <w:szCs w:val="22"/>
        </w:rPr>
        <w:t xml:space="preserve">Presence: </w:t>
      </w:r>
      <w:proofErr w:type="spellStart"/>
      <w:r w:rsidRPr="003F6CD2">
        <w:rPr>
          <w:rStyle w:val="Emphasis"/>
          <w:sz w:val="22"/>
          <w:szCs w:val="22"/>
        </w:rPr>
        <w:t>Teleoperators</w:t>
      </w:r>
      <w:proofErr w:type="spellEnd"/>
      <w:r w:rsidRPr="003F6CD2">
        <w:rPr>
          <w:rStyle w:val="Emphasis"/>
          <w:sz w:val="22"/>
          <w:szCs w:val="22"/>
        </w:rPr>
        <w:t xml:space="preserve"> and Virtual Environments</w:t>
      </w:r>
      <w:r w:rsidRPr="003F6CD2">
        <w:rPr>
          <w:sz w:val="22"/>
          <w:szCs w:val="22"/>
        </w:rPr>
        <w:t>, 6(6), 603-616.</w:t>
      </w: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3F6CD2" w:rsidRDefault="003F6CD2" w:rsidP="003F6CD2">
      <w:pPr>
        <w:pStyle w:val="Heading2"/>
        <w:spacing w:line="360" w:lineRule="auto"/>
        <w:jc w:val="both"/>
        <w:rPr>
          <w:rFonts w:eastAsiaTheme="minorHAnsi"/>
          <w:b w:val="0"/>
          <w:bCs w:val="0"/>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User Feedback Mechanisms</w:t>
      </w:r>
    </w:p>
    <w:p w:rsidR="000D2AC2" w:rsidRPr="003F6CD2" w:rsidRDefault="000D2AC2" w:rsidP="003F6CD2">
      <w:pPr>
        <w:pStyle w:val="NormalWeb"/>
        <w:spacing w:line="360" w:lineRule="auto"/>
        <w:jc w:val="both"/>
        <w:rPr>
          <w:sz w:val="22"/>
          <w:szCs w:val="22"/>
        </w:rPr>
      </w:pPr>
      <w:r w:rsidRPr="003F6CD2">
        <w:rPr>
          <w:sz w:val="22"/>
          <w:szCs w:val="22"/>
        </w:rPr>
        <w:t>To gain insights into user perceptions and preferences, the following methods can be employed:</w:t>
      </w:r>
    </w:p>
    <w:p w:rsidR="000D2AC2" w:rsidRPr="003F6CD2" w:rsidRDefault="000D2AC2" w:rsidP="003F6CD2">
      <w:pPr>
        <w:numPr>
          <w:ilvl w:val="0"/>
          <w:numId w:val="15"/>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Surveys</w:t>
      </w:r>
      <w:r w:rsidRPr="003F6CD2">
        <w:rPr>
          <w:rFonts w:ascii="Times New Roman" w:hAnsi="Times New Roman" w:cs="Times New Roman"/>
        </w:rPr>
        <w:t>: Conduct post-experience surveys to gather user satisfaction ratings and suggestions for improvement.</w:t>
      </w:r>
    </w:p>
    <w:p w:rsidR="000D2AC2" w:rsidRPr="003F6CD2" w:rsidRDefault="000D2AC2" w:rsidP="003F6CD2">
      <w:pPr>
        <w:numPr>
          <w:ilvl w:val="0"/>
          <w:numId w:val="15"/>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Interviews</w:t>
      </w:r>
      <w:r w:rsidRPr="003F6CD2">
        <w:rPr>
          <w:rFonts w:ascii="Times New Roman" w:hAnsi="Times New Roman" w:cs="Times New Roman"/>
        </w:rPr>
        <w:t>: Engage users in interviews to explore their qualitative experiences and emotional responses.</w:t>
      </w:r>
    </w:p>
    <w:p w:rsidR="000D2AC2" w:rsidRPr="003F6CD2" w:rsidRDefault="000D2AC2" w:rsidP="003F6CD2">
      <w:pPr>
        <w:numPr>
          <w:ilvl w:val="0"/>
          <w:numId w:val="15"/>
        </w:numPr>
        <w:spacing w:before="100" w:beforeAutospacing="1" w:after="100" w:afterAutospacing="1" w:line="360" w:lineRule="auto"/>
        <w:jc w:val="both"/>
        <w:rPr>
          <w:rFonts w:ascii="Times New Roman" w:hAnsi="Times New Roman" w:cs="Times New Roman"/>
        </w:rPr>
      </w:pPr>
      <w:r w:rsidRPr="003F6CD2">
        <w:rPr>
          <w:rStyle w:val="Strong"/>
          <w:rFonts w:ascii="Times New Roman" w:hAnsi="Times New Roman" w:cs="Times New Roman"/>
        </w:rPr>
        <w:t>A/B Testing</w:t>
      </w:r>
      <w:r w:rsidRPr="003F6CD2">
        <w:rPr>
          <w:rFonts w:ascii="Times New Roman" w:hAnsi="Times New Roman" w:cs="Times New Roman"/>
        </w:rPr>
        <w:t>: Implement A/B testing to compare different design approaches and their impact on user engagement.</w:t>
      </w: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3F6CD2" w:rsidRDefault="003F6CD2" w:rsidP="003F6CD2">
      <w:pPr>
        <w:pStyle w:val="Heading2"/>
        <w:spacing w:line="360" w:lineRule="auto"/>
        <w:jc w:val="both"/>
        <w:rPr>
          <w:rFonts w:eastAsiaTheme="minorHAnsi"/>
          <w:b w:val="0"/>
          <w:bCs w:val="0"/>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3F6CD2" w:rsidRDefault="003F6CD2" w:rsidP="003F6CD2">
      <w:pPr>
        <w:pStyle w:val="Heading2"/>
        <w:spacing w:line="360" w:lineRule="auto"/>
        <w:jc w:val="both"/>
        <w:rPr>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Prototyping and Case Studies</w:t>
      </w:r>
    </w:p>
    <w:p w:rsidR="000D2AC2" w:rsidRPr="003F6CD2" w:rsidRDefault="000D2AC2" w:rsidP="003F6CD2">
      <w:pPr>
        <w:pStyle w:val="Heading3"/>
        <w:spacing w:line="360" w:lineRule="auto"/>
        <w:jc w:val="both"/>
        <w:rPr>
          <w:sz w:val="22"/>
          <w:szCs w:val="22"/>
        </w:rPr>
      </w:pPr>
      <w:r w:rsidRPr="003F6CD2">
        <w:rPr>
          <w:sz w:val="22"/>
          <w:szCs w:val="22"/>
        </w:rPr>
        <w:t>Case Study: Google Expeditions</w:t>
      </w:r>
    </w:p>
    <w:p w:rsidR="000D2AC2" w:rsidRPr="003F6CD2" w:rsidRDefault="000D2AC2" w:rsidP="003F6CD2">
      <w:pPr>
        <w:pStyle w:val="NormalWeb"/>
        <w:spacing w:line="360" w:lineRule="auto"/>
        <w:jc w:val="both"/>
        <w:rPr>
          <w:sz w:val="22"/>
          <w:szCs w:val="22"/>
        </w:rPr>
      </w:pPr>
      <w:r w:rsidRPr="003F6CD2">
        <w:rPr>
          <w:sz w:val="22"/>
          <w:szCs w:val="22"/>
        </w:rPr>
        <w:t>Google Expeditions has successfully utilized VR in educational settings, enabling students to explore historical sites, outer space, and various scientific phenomena through immersive virtual experiences. The application allows teachers to lead virtual field trips, where students can engage with 360-degree environments and access interactive content that enhances their learning experience.</w:t>
      </w:r>
    </w:p>
    <w:p w:rsidR="000D2AC2" w:rsidRPr="003F6CD2" w:rsidRDefault="000D2AC2" w:rsidP="003F6CD2">
      <w:pPr>
        <w:pStyle w:val="NormalWeb"/>
        <w:spacing w:line="360" w:lineRule="auto"/>
        <w:jc w:val="both"/>
        <w:rPr>
          <w:sz w:val="22"/>
          <w:szCs w:val="22"/>
        </w:rPr>
      </w:pPr>
      <w:r w:rsidRPr="003F6CD2">
        <w:rPr>
          <w:sz w:val="22"/>
          <w:szCs w:val="22"/>
        </w:rPr>
        <w:t xml:space="preserve">Feedback from educators indicated that 85% of students reported increased engagement during VR lessons compared to traditional teaching methods (Google, 2020). Additionally, studies have shown that such immersive experiences help improve students' understanding of complex topics by providing contextual and visual information that traditional textbooks cannot offer (Dunleavy &amp; </w:t>
      </w:r>
      <w:proofErr w:type="spellStart"/>
      <w:r w:rsidRPr="003F6CD2">
        <w:rPr>
          <w:sz w:val="22"/>
          <w:szCs w:val="22"/>
        </w:rPr>
        <w:t>Dede</w:t>
      </w:r>
      <w:proofErr w:type="spellEnd"/>
      <w:r w:rsidRPr="003F6CD2">
        <w:rPr>
          <w:sz w:val="22"/>
          <w:szCs w:val="22"/>
        </w:rPr>
        <w:t>, 2014).</w:t>
      </w:r>
    </w:p>
    <w:p w:rsidR="000D2AC2" w:rsidRPr="003F6CD2" w:rsidRDefault="000D2AC2" w:rsidP="003F6CD2">
      <w:pPr>
        <w:pStyle w:val="NormalWeb"/>
        <w:spacing w:line="360" w:lineRule="auto"/>
        <w:jc w:val="both"/>
        <w:rPr>
          <w:sz w:val="22"/>
          <w:szCs w:val="22"/>
        </w:rPr>
      </w:pPr>
      <w:r w:rsidRPr="003F6CD2">
        <w:rPr>
          <w:sz w:val="22"/>
          <w:szCs w:val="22"/>
        </w:rPr>
        <w:t>Moreover, the platform encourages collaboration among students, as they can share their findings and experiences with peers, fostering a sense of community and enhancing social learning. The integration of VR in the classroom demonstrates the potential of immersive technologies to create engaging educational experiences that cater to various learning styles.</w:t>
      </w: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0D2AC2" w:rsidRPr="003F6CD2" w:rsidRDefault="000D2AC2" w:rsidP="003F6CD2">
      <w:pPr>
        <w:spacing w:line="360" w:lineRule="auto"/>
        <w:jc w:val="both"/>
        <w:rPr>
          <w:rFonts w:ascii="Times New Roman" w:hAnsi="Times New Roman" w:cs="Times New Roman"/>
        </w:rPr>
      </w:pPr>
    </w:p>
    <w:p w:rsidR="003F6CD2" w:rsidRDefault="003F6CD2" w:rsidP="003F6CD2">
      <w:pPr>
        <w:pStyle w:val="Heading2"/>
        <w:spacing w:line="360" w:lineRule="auto"/>
        <w:jc w:val="both"/>
        <w:rPr>
          <w:rFonts w:eastAsiaTheme="minorHAnsi"/>
          <w:b w:val="0"/>
          <w:bCs w:val="0"/>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Conclusion</w:t>
      </w:r>
    </w:p>
    <w:p w:rsidR="000D2AC2" w:rsidRPr="003F6CD2" w:rsidRDefault="000D2AC2" w:rsidP="003F6CD2">
      <w:pPr>
        <w:pStyle w:val="NormalWeb"/>
        <w:spacing w:line="360" w:lineRule="auto"/>
        <w:jc w:val="both"/>
        <w:rPr>
          <w:sz w:val="22"/>
          <w:szCs w:val="22"/>
        </w:rPr>
      </w:pPr>
      <w:r w:rsidRPr="003F6CD2">
        <w:rPr>
          <w:sz w:val="22"/>
          <w:szCs w:val="22"/>
        </w:rPr>
        <w:t>The integration of AR and VR into web experiences holds significant promise for enhancing user engagement. As digital interactions become more critical in an increasingly competitive landscape, businesses and educators must leverage immersive technologies to create captivating experiences that resonate with users. This research highlights the transformative potential of AR and VR, illustrating how these technologies can enrich user interactions across various sectors, including e-commerce, education, and entertainment.</w:t>
      </w:r>
    </w:p>
    <w:p w:rsidR="000D2AC2" w:rsidRPr="003F6CD2" w:rsidRDefault="000D2AC2" w:rsidP="003F6CD2">
      <w:pPr>
        <w:pStyle w:val="NormalWeb"/>
        <w:spacing w:line="360" w:lineRule="auto"/>
        <w:jc w:val="both"/>
        <w:rPr>
          <w:sz w:val="22"/>
          <w:szCs w:val="22"/>
        </w:rPr>
      </w:pPr>
      <w:r w:rsidRPr="003F6CD2">
        <w:rPr>
          <w:sz w:val="22"/>
          <w:szCs w:val="22"/>
        </w:rPr>
        <w:t>By examining successful case studies such as IKEA Place and Google Expeditions, we see tangible evidence of how AR and VR can elevate user engagement, drive sales, and enhance learning outcomes. The IKEA Place app showcases the power of AR in reducing purchase anxiety and increasing customer satisfaction, while Google Expeditions demonstrates how VR can make education more interactive and accessible. These examples underscore the necessity for organizations to adopt innovative strategies that incorporate immersive technologies to meet evolving user expectations.</w:t>
      </w:r>
    </w:p>
    <w:p w:rsidR="000D2AC2" w:rsidRPr="003F6CD2" w:rsidRDefault="000D2AC2" w:rsidP="003F6CD2">
      <w:pPr>
        <w:pStyle w:val="NormalWeb"/>
        <w:spacing w:line="360" w:lineRule="auto"/>
        <w:jc w:val="both"/>
        <w:rPr>
          <w:sz w:val="22"/>
          <w:szCs w:val="22"/>
        </w:rPr>
      </w:pPr>
      <w:r w:rsidRPr="003F6CD2">
        <w:rPr>
          <w:sz w:val="22"/>
          <w:szCs w:val="22"/>
        </w:rPr>
        <w:t>Furthermore, establishing robust user engagement metrics is crucial for assessing the effectiveness of AR and VR implementations. Metrics such as time spent in experience, interaction rates, and user retention provide valuable insights into how users engage with immersive content. Organizations can leverage this data to refine their offerings continually, ensuring they provide relevant and engaging experiences that foster loyalty and enhance brand reputation.</w:t>
      </w:r>
    </w:p>
    <w:p w:rsidR="000D2AC2" w:rsidRPr="003F6CD2" w:rsidRDefault="000D2AC2" w:rsidP="003F6CD2">
      <w:pPr>
        <w:pStyle w:val="NormalWeb"/>
        <w:spacing w:line="360" w:lineRule="auto"/>
        <w:jc w:val="both"/>
        <w:rPr>
          <w:sz w:val="22"/>
          <w:szCs w:val="22"/>
        </w:rPr>
      </w:pPr>
      <w:r w:rsidRPr="003F6CD2">
        <w:rPr>
          <w:sz w:val="22"/>
          <w:szCs w:val="22"/>
        </w:rPr>
        <w:t>In addition to metrics, adhering to best design principles is vital for creating user-centric AR and VR experiences. Prioritizing usability, intuitive navigation, and consistent feedback not only enhances user satisfaction but also promotes inclusivity. As these technologies become more mainstream, it is essential to consider diverse user needs and accessibility to ensure that immersive experiences are available to all.</w:t>
      </w:r>
    </w:p>
    <w:p w:rsidR="000D2AC2" w:rsidRPr="003F6CD2" w:rsidRDefault="000D2AC2" w:rsidP="003F6CD2">
      <w:pPr>
        <w:pStyle w:val="NormalWeb"/>
        <w:spacing w:line="360" w:lineRule="auto"/>
        <w:jc w:val="both"/>
        <w:rPr>
          <w:sz w:val="22"/>
          <w:szCs w:val="22"/>
        </w:rPr>
      </w:pPr>
      <w:r w:rsidRPr="003F6CD2">
        <w:rPr>
          <w:sz w:val="22"/>
          <w:szCs w:val="22"/>
        </w:rPr>
        <w:t>In conclusion, AR and VR technologies represent a pivotal shift in how we engage with the web. As these technologies continue to evolve and integrate into everyday digital experiences, they hold the potential to create richer, more meaningful interactions for users. For organizations willing to embrace these innovations, the opportunity exists not only to enhance user engagement but also to redefine their connection with customers and learners in a rapidly changing digital landscape. The insights gleaned from this research serve as a foundation for future exploration and development, paving the way for new, innovative applications of AR and VR that will shape the future of web experiences.</w:t>
      </w:r>
    </w:p>
    <w:p w:rsidR="003F6CD2" w:rsidRDefault="003F6CD2" w:rsidP="003F6CD2">
      <w:pPr>
        <w:pStyle w:val="Heading2"/>
        <w:spacing w:line="360" w:lineRule="auto"/>
        <w:jc w:val="both"/>
        <w:rPr>
          <w:sz w:val="22"/>
          <w:szCs w:val="22"/>
        </w:rPr>
      </w:pPr>
    </w:p>
    <w:p w:rsidR="000D2AC2" w:rsidRPr="003F6CD2" w:rsidRDefault="000D2AC2" w:rsidP="003F6CD2">
      <w:pPr>
        <w:pStyle w:val="Heading2"/>
        <w:spacing w:line="360" w:lineRule="auto"/>
        <w:jc w:val="both"/>
        <w:rPr>
          <w:sz w:val="22"/>
          <w:szCs w:val="22"/>
        </w:rPr>
      </w:pPr>
      <w:r w:rsidRPr="003F6CD2">
        <w:rPr>
          <w:sz w:val="22"/>
          <w:szCs w:val="22"/>
        </w:rPr>
        <w:lastRenderedPageBreak/>
        <w:t>References</w:t>
      </w:r>
    </w:p>
    <w:p w:rsidR="000D2AC2" w:rsidRPr="003F6CD2" w:rsidRDefault="000D2AC2" w:rsidP="003F6CD2">
      <w:pPr>
        <w:pStyle w:val="NormalWeb"/>
        <w:numPr>
          <w:ilvl w:val="0"/>
          <w:numId w:val="16"/>
        </w:numPr>
        <w:spacing w:line="360" w:lineRule="auto"/>
        <w:jc w:val="both"/>
        <w:rPr>
          <w:sz w:val="22"/>
          <w:szCs w:val="22"/>
        </w:rPr>
      </w:pPr>
      <w:proofErr w:type="spellStart"/>
      <w:r w:rsidRPr="003F6CD2">
        <w:rPr>
          <w:sz w:val="22"/>
          <w:szCs w:val="22"/>
        </w:rPr>
        <w:t>Bacca</w:t>
      </w:r>
      <w:proofErr w:type="spellEnd"/>
      <w:r w:rsidRPr="003F6CD2">
        <w:rPr>
          <w:sz w:val="22"/>
          <w:szCs w:val="22"/>
        </w:rPr>
        <w:t xml:space="preserve">, J., </w:t>
      </w:r>
      <w:proofErr w:type="spellStart"/>
      <w:r w:rsidRPr="003F6CD2">
        <w:rPr>
          <w:sz w:val="22"/>
          <w:szCs w:val="22"/>
        </w:rPr>
        <w:t>Baldassarri</w:t>
      </w:r>
      <w:proofErr w:type="spellEnd"/>
      <w:r w:rsidRPr="003F6CD2">
        <w:rPr>
          <w:sz w:val="22"/>
          <w:szCs w:val="22"/>
        </w:rPr>
        <w:t xml:space="preserve">, S., &amp; Torres, J. (2014). Augmented reality in education: A systematic review. </w:t>
      </w:r>
      <w:r w:rsidRPr="003F6CD2">
        <w:rPr>
          <w:rStyle w:val="Emphasis"/>
          <w:sz w:val="22"/>
          <w:szCs w:val="22"/>
        </w:rPr>
        <w:t>Educational Technology &amp; Society</w:t>
      </w:r>
      <w:r w:rsidRPr="003F6CD2">
        <w:rPr>
          <w:sz w:val="22"/>
          <w:szCs w:val="22"/>
        </w:rPr>
        <w:t>, 17(4), 99-110.</w:t>
      </w:r>
    </w:p>
    <w:p w:rsidR="000D2AC2" w:rsidRPr="003F6CD2" w:rsidRDefault="000D2AC2" w:rsidP="003F6CD2">
      <w:pPr>
        <w:pStyle w:val="NormalWeb"/>
        <w:numPr>
          <w:ilvl w:val="0"/>
          <w:numId w:val="16"/>
        </w:numPr>
        <w:spacing w:line="360" w:lineRule="auto"/>
        <w:jc w:val="both"/>
        <w:rPr>
          <w:sz w:val="22"/>
          <w:szCs w:val="22"/>
        </w:rPr>
      </w:pPr>
      <w:proofErr w:type="spellStart"/>
      <w:r w:rsidRPr="003F6CD2">
        <w:rPr>
          <w:sz w:val="22"/>
          <w:szCs w:val="22"/>
        </w:rPr>
        <w:t>Besse</w:t>
      </w:r>
      <w:proofErr w:type="spellEnd"/>
      <w:r w:rsidRPr="003F6CD2">
        <w:rPr>
          <w:sz w:val="22"/>
          <w:szCs w:val="22"/>
        </w:rPr>
        <w:t xml:space="preserve">, C. (2019). The importance of immersive storytelling for user engagement in virtual reality games. </w:t>
      </w:r>
      <w:r w:rsidRPr="003F6CD2">
        <w:rPr>
          <w:rStyle w:val="Emphasis"/>
          <w:sz w:val="22"/>
          <w:szCs w:val="22"/>
        </w:rPr>
        <w:t>Journal of Interactive Media in Education</w:t>
      </w:r>
      <w:r w:rsidRPr="003F6CD2">
        <w:rPr>
          <w:sz w:val="22"/>
          <w:szCs w:val="22"/>
        </w:rPr>
        <w:t>, 1(1), 15. https://doi.org/10.5334/jime.498</w:t>
      </w:r>
    </w:p>
    <w:p w:rsidR="000D2AC2" w:rsidRPr="003F6CD2" w:rsidRDefault="000D2AC2" w:rsidP="003F6CD2">
      <w:pPr>
        <w:pStyle w:val="NormalWeb"/>
        <w:numPr>
          <w:ilvl w:val="0"/>
          <w:numId w:val="16"/>
        </w:numPr>
        <w:spacing w:line="360" w:lineRule="auto"/>
        <w:jc w:val="both"/>
        <w:rPr>
          <w:sz w:val="22"/>
          <w:szCs w:val="22"/>
        </w:rPr>
      </w:pPr>
      <w:r w:rsidRPr="003F6CD2">
        <w:rPr>
          <w:sz w:val="22"/>
          <w:szCs w:val="22"/>
        </w:rPr>
        <w:t xml:space="preserve">Dunleavy, M., &amp; </w:t>
      </w:r>
      <w:proofErr w:type="spellStart"/>
      <w:r w:rsidRPr="003F6CD2">
        <w:rPr>
          <w:sz w:val="22"/>
          <w:szCs w:val="22"/>
        </w:rPr>
        <w:t>Dede</w:t>
      </w:r>
      <w:proofErr w:type="spellEnd"/>
      <w:r w:rsidRPr="003F6CD2">
        <w:rPr>
          <w:sz w:val="22"/>
          <w:szCs w:val="22"/>
        </w:rPr>
        <w:t xml:space="preserve">, C. (2014). Augmented reality teaching and learning in higher education. </w:t>
      </w:r>
      <w:r w:rsidRPr="003F6CD2">
        <w:rPr>
          <w:rStyle w:val="Emphasis"/>
          <w:sz w:val="22"/>
          <w:szCs w:val="22"/>
        </w:rPr>
        <w:t>International Journal of Educational Technology in Higher Education</w:t>
      </w:r>
      <w:r w:rsidRPr="003F6CD2">
        <w:rPr>
          <w:sz w:val="22"/>
          <w:szCs w:val="22"/>
        </w:rPr>
        <w:t>, 11(1), 1-15. https://doi.org/10.7238/rufus</w:t>
      </w:r>
    </w:p>
    <w:p w:rsidR="000D2AC2" w:rsidRPr="003F6CD2" w:rsidRDefault="000D2AC2" w:rsidP="003F6CD2">
      <w:pPr>
        <w:pStyle w:val="NormalWeb"/>
        <w:numPr>
          <w:ilvl w:val="0"/>
          <w:numId w:val="16"/>
        </w:numPr>
        <w:spacing w:line="360" w:lineRule="auto"/>
        <w:jc w:val="both"/>
        <w:rPr>
          <w:sz w:val="22"/>
          <w:szCs w:val="22"/>
        </w:rPr>
      </w:pPr>
      <w:r w:rsidRPr="003F6CD2">
        <w:rPr>
          <w:sz w:val="22"/>
          <w:szCs w:val="22"/>
        </w:rPr>
        <w:t xml:space="preserve">Google. (2020). </w:t>
      </w:r>
      <w:proofErr w:type="gramStart"/>
      <w:r w:rsidRPr="003F6CD2">
        <w:rPr>
          <w:sz w:val="22"/>
          <w:szCs w:val="22"/>
        </w:rPr>
        <w:t>The</w:t>
      </w:r>
      <w:proofErr w:type="gramEnd"/>
      <w:r w:rsidRPr="003F6CD2">
        <w:rPr>
          <w:sz w:val="22"/>
          <w:szCs w:val="22"/>
        </w:rPr>
        <w:t xml:space="preserve"> impact of Google Expeditions on student learning. Retrieved from </w:t>
      </w:r>
      <w:hyperlink r:id="rId10" w:tgtFrame="_new" w:history="1">
        <w:r w:rsidRPr="003F6CD2">
          <w:rPr>
            <w:rStyle w:val="Hyperlink"/>
            <w:sz w:val="22"/>
            <w:szCs w:val="22"/>
          </w:rPr>
          <w:t>https://www.google.com</w:t>
        </w:r>
      </w:hyperlink>
    </w:p>
    <w:p w:rsidR="000D2AC2" w:rsidRPr="003F6CD2" w:rsidRDefault="000D2AC2" w:rsidP="003F6CD2">
      <w:pPr>
        <w:pStyle w:val="NormalWeb"/>
        <w:numPr>
          <w:ilvl w:val="0"/>
          <w:numId w:val="16"/>
        </w:numPr>
        <w:spacing w:line="360" w:lineRule="auto"/>
        <w:jc w:val="both"/>
        <w:rPr>
          <w:sz w:val="22"/>
          <w:szCs w:val="22"/>
        </w:rPr>
      </w:pPr>
      <w:r w:rsidRPr="003F6CD2">
        <w:rPr>
          <w:sz w:val="22"/>
          <w:szCs w:val="22"/>
        </w:rPr>
        <w:t xml:space="preserve">IKEA. (2021). IKEA Place: The future of home furnishing. Retrieved from </w:t>
      </w:r>
      <w:hyperlink r:id="rId11" w:tgtFrame="_new" w:history="1">
        <w:r w:rsidRPr="003F6CD2">
          <w:rPr>
            <w:rStyle w:val="Hyperlink"/>
            <w:sz w:val="22"/>
            <w:szCs w:val="22"/>
          </w:rPr>
          <w:t>https://www.ikea.com</w:t>
        </w:r>
      </w:hyperlink>
    </w:p>
    <w:p w:rsidR="000D2AC2" w:rsidRPr="003F6CD2" w:rsidRDefault="000D2AC2" w:rsidP="003F6CD2">
      <w:pPr>
        <w:pStyle w:val="NormalWeb"/>
        <w:numPr>
          <w:ilvl w:val="0"/>
          <w:numId w:val="16"/>
        </w:numPr>
        <w:spacing w:line="360" w:lineRule="auto"/>
        <w:jc w:val="both"/>
        <w:rPr>
          <w:sz w:val="22"/>
          <w:szCs w:val="22"/>
        </w:rPr>
      </w:pPr>
      <w:r w:rsidRPr="003F6CD2">
        <w:rPr>
          <w:sz w:val="22"/>
          <w:szCs w:val="22"/>
        </w:rPr>
        <w:t xml:space="preserve">International Data Corporation (IDC). (2021). Worldwide AR and VR market forecast. Retrieved from </w:t>
      </w:r>
      <w:hyperlink r:id="rId12" w:tgtFrame="_new" w:history="1">
        <w:r w:rsidRPr="003F6CD2">
          <w:rPr>
            <w:rStyle w:val="Hyperlink"/>
            <w:sz w:val="22"/>
            <w:szCs w:val="22"/>
          </w:rPr>
          <w:t>https://www.idc.com</w:t>
        </w:r>
      </w:hyperlink>
    </w:p>
    <w:p w:rsidR="000D2AC2" w:rsidRPr="003F6CD2" w:rsidRDefault="000D2AC2" w:rsidP="003F6CD2">
      <w:pPr>
        <w:pStyle w:val="NormalWeb"/>
        <w:numPr>
          <w:ilvl w:val="0"/>
          <w:numId w:val="16"/>
        </w:numPr>
        <w:spacing w:line="360" w:lineRule="auto"/>
        <w:jc w:val="both"/>
        <w:rPr>
          <w:sz w:val="22"/>
          <w:szCs w:val="22"/>
        </w:rPr>
      </w:pPr>
      <w:proofErr w:type="spellStart"/>
      <w:r w:rsidRPr="003F6CD2">
        <w:rPr>
          <w:sz w:val="22"/>
          <w:szCs w:val="22"/>
        </w:rPr>
        <w:t>Mikropoulos</w:t>
      </w:r>
      <w:proofErr w:type="spellEnd"/>
      <w:r w:rsidRPr="003F6CD2">
        <w:rPr>
          <w:sz w:val="22"/>
          <w:szCs w:val="22"/>
        </w:rPr>
        <w:t xml:space="preserve">, T. A., &amp; </w:t>
      </w:r>
      <w:proofErr w:type="spellStart"/>
      <w:r w:rsidRPr="003F6CD2">
        <w:rPr>
          <w:sz w:val="22"/>
          <w:szCs w:val="22"/>
        </w:rPr>
        <w:t>Natsis</w:t>
      </w:r>
      <w:proofErr w:type="spellEnd"/>
      <w:r w:rsidRPr="003F6CD2">
        <w:rPr>
          <w:sz w:val="22"/>
          <w:szCs w:val="22"/>
        </w:rPr>
        <w:t xml:space="preserve">, A. (2011). Educational virtual environments: A review of the research. </w:t>
      </w:r>
      <w:r w:rsidRPr="003F6CD2">
        <w:rPr>
          <w:rStyle w:val="Emphasis"/>
          <w:sz w:val="22"/>
          <w:szCs w:val="22"/>
        </w:rPr>
        <w:t>Educational Technology &amp; Society</w:t>
      </w:r>
      <w:r w:rsidRPr="003F6CD2">
        <w:rPr>
          <w:sz w:val="22"/>
          <w:szCs w:val="22"/>
        </w:rPr>
        <w:t>, 14(2), 78-84.</w:t>
      </w:r>
    </w:p>
    <w:p w:rsidR="000D2AC2" w:rsidRPr="003F6CD2" w:rsidRDefault="000D2AC2" w:rsidP="003F6CD2">
      <w:pPr>
        <w:pStyle w:val="NormalWeb"/>
        <w:numPr>
          <w:ilvl w:val="0"/>
          <w:numId w:val="16"/>
        </w:numPr>
        <w:spacing w:line="360" w:lineRule="auto"/>
        <w:jc w:val="both"/>
        <w:rPr>
          <w:sz w:val="22"/>
          <w:szCs w:val="22"/>
        </w:rPr>
      </w:pPr>
      <w:proofErr w:type="spellStart"/>
      <w:r w:rsidRPr="003F6CD2">
        <w:rPr>
          <w:sz w:val="22"/>
          <w:szCs w:val="22"/>
        </w:rPr>
        <w:t>Poushneh</w:t>
      </w:r>
      <w:proofErr w:type="spellEnd"/>
      <w:r w:rsidRPr="003F6CD2">
        <w:rPr>
          <w:sz w:val="22"/>
          <w:szCs w:val="22"/>
        </w:rPr>
        <w:t>, A., &amp; Vasquez-</w:t>
      </w:r>
      <w:proofErr w:type="spellStart"/>
      <w:r w:rsidRPr="003F6CD2">
        <w:rPr>
          <w:sz w:val="22"/>
          <w:szCs w:val="22"/>
        </w:rPr>
        <w:t>Parraga</w:t>
      </w:r>
      <w:proofErr w:type="spellEnd"/>
      <w:r w:rsidRPr="003F6CD2">
        <w:rPr>
          <w:sz w:val="22"/>
          <w:szCs w:val="22"/>
        </w:rPr>
        <w:t xml:space="preserve">, A. H. (2017). Augmented reality in retail: A qualitative approach to consumer behavior. </w:t>
      </w:r>
      <w:r w:rsidRPr="003F6CD2">
        <w:rPr>
          <w:rStyle w:val="Emphasis"/>
          <w:sz w:val="22"/>
          <w:szCs w:val="22"/>
        </w:rPr>
        <w:t>Journal of Retailing and Consumer Services</w:t>
      </w:r>
      <w:r w:rsidRPr="003F6CD2">
        <w:rPr>
          <w:sz w:val="22"/>
          <w:szCs w:val="22"/>
        </w:rPr>
        <w:t>, 34, 229-234. https://doi.org/10.1016/j.jretconser.2016.09.003</w:t>
      </w:r>
    </w:p>
    <w:p w:rsidR="000D2AC2" w:rsidRPr="003F6CD2" w:rsidRDefault="000D2AC2" w:rsidP="003F6CD2">
      <w:pPr>
        <w:pStyle w:val="NormalWeb"/>
        <w:numPr>
          <w:ilvl w:val="0"/>
          <w:numId w:val="16"/>
        </w:numPr>
        <w:spacing w:line="360" w:lineRule="auto"/>
        <w:jc w:val="both"/>
        <w:rPr>
          <w:sz w:val="22"/>
          <w:szCs w:val="22"/>
        </w:rPr>
      </w:pPr>
      <w:r w:rsidRPr="003F6CD2">
        <w:rPr>
          <w:sz w:val="22"/>
          <w:szCs w:val="22"/>
        </w:rPr>
        <w:t xml:space="preserve">Slater, M., &amp; Wilbur, S. (1997). A framework for immersive virtual environments (FIVE): Speculations on the role of presence in virtual environments. </w:t>
      </w:r>
      <w:r w:rsidRPr="003F6CD2">
        <w:rPr>
          <w:rStyle w:val="Emphasis"/>
          <w:sz w:val="22"/>
          <w:szCs w:val="22"/>
        </w:rPr>
        <w:t xml:space="preserve">Presence: </w:t>
      </w:r>
      <w:r w:rsidR="003F6CD2" w:rsidRPr="003F6CD2">
        <w:rPr>
          <w:rStyle w:val="Emphasis"/>
          <w:sz w:val="22"/>
          <w:szCs w:val="22"/>
        </w:rPr>
        <w:t xml:space="preserve">          </w:t>
      </w:r>
      <w:proofErr w:type="spellStart"/>
      <w:r w:rsidR="003F6CD2" w:rsidRPr="003F6CD2">
        <w:rPr>
          <w:rStyle w:val="Emphasis"/>
          <w:sz w:val="22"/>
          <w:szCs w:val="22"/>
        </w:rPr>
        <w:t>mmmjjkjnm</w:t>
      </w:r>
      <w:proofErr w:type="spellEnd"/>
      <w:r w:rsidR="003F6CD2" w:rsidRPr="003F6CD2">
        <w:rPr>
          <w:rStyle w:val="Emphasis"/>
          <w:sz w:val="22"/>
          <w:szCs w:val="22"/>
        </w:rPr>
        <w:t>,</w:t>
      </w:r>
      <w:r w:rsidRPr="003F6CD2">
        <w:rPr>
          <w:rStyle w:val="Emphasis"/>
          <w:sz w:val="22"/>
          <w:szCs w:val="22"/>
        </w:rPr>
        <w:t xml:space="preserve"> and Virtual Environments</w:t>
      </w:r>
      <w:r w:rsidRPr="003F6CD2">
        <w:rPr>
          <w:sz w:val="22"/>
          <w:szCs w:val="22"/>
        </w:rPr>
        <w:t>, 6(6), 603-616.</w:t>
      </w:r>
    </w:p>
    <w:p w:rsidR="000D2AC2" w:rsidRPr="003F6CD2" w:rsidRDefault="000D2AC2" w:rsidP="003F6CD2">
      <w:pPr>
        <w:spacing w:line="360" w:lineRule="auto"/>
        <w:jc w:val="both"/>
        <w:rPr>
          <w:rFonts w:ascii="Times New Roman" w:hAnsi="Times New Roman" w:cs="Times New Roman"/>
        </w:rPr>
      </w:pPr>
    </w:p>
    <w:sectPr w:rsidR="000D2AC2" w:rsidRPr="003F6CD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4243" w:rsidRDefault="00E94243" w:rsidP="000D6293">
      <w:pPr>
        <w:spacing w:after="0" w:line="240" w:lineRule="auto"/>
      </w:pPr>
      <w:r>
        <w:separator/>
      </w:r>
    </w:p>
  </w:endnote>
  <w:endnote w:type="continuationSeparator" w:id="0">
    <w:p w:rsidR="00E94243" w:rsidRDefault="00E94243" w:rsidP="000D6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293" w:rsidRDefault="000D62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293" w:rsidRDefault="000D62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293" w:rsidRDefault="000D6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4243" w:rsidRDefault="00E94243" w:rsidP="000D6293">
      <w:pPr>
        <w:spacing w:after="0" w:line="240" w:lineRule="auto"/>
      </w:pPr>
      <w:r>
        <w:separator/>
      </w:r>
    </w:p>
  </w:footnote>
  <w:footnote w:type="continuationSeparator" w:id="0">
    <w:p w:rsidR="00E94243" w:rsidRDefault="00E94243" w:rsidP="000D6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293" w:rsidRDefault="000D629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399813"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JKYLE"/>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293" w:rsidRDefault="000D629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399814"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JKYLE"/>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293" w:rsidRDefault="000D629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399812"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JKYL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6793D"/>
    <w:multiLevelType w:val="multilevel"/>
    <w:tmpl w:val="BC94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F3B01"/>
    <w:multiLevelType w:val="multilevel"/>
    <w:tmpl w:val="C7F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C19C2"/>
    <w:multiLevelType w:val="multilevel"/>
    <w:tmpl w:val="A33A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040CB"/>
    <w:multiLevelType w:val="multilevel"/>
    <w:tmpl w:val="C14C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87FE6"/>
    <w:multiLevelType w:val="multilevel"/>
    <w:tmpl w:val="ECE6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911F8"/>
    <w:multiLevelType w:val="multilevel"/>
    <w:tmpl w:val="0A023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16512"/>
    <w:multiLevelType w:val="multilevel"/>
    <w:tmpl w:val="64F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54686"/>
    <w:multiLevelType w:val="multilevel"/>
    <w:tmpl w:val="87D8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30294"/>
    <w:multiLevelType w:val="multilevel"/>
    <w:tmpl w:val="26E8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D4FA6"/>
    <w:multiLevelType w:val="multilevel"/>
    <w:tmpl w:val="C17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75E41"/>
    <w:multiLevelType w:val="multilevel"/>
    <w:tmpl w:val="3EB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82121"/>
    <w:multiLevelType w:val="multilevel"/>
    <w:tmpl w:val="57746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043AB1"/>
    <w:multiLevelType w:val="multilevel"/>
    <w:tmpl w:val="A806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01C8C"/>
    <w:multiLevelType w:val="multilevel"/>
    <w:tmpl w:val="C712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4B38AC"/>
    <w:multiLevelType w:val="multilevel"/>
    <w:tmpl w:val="C01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E5E68"/>
    <w:multiLevelType w:val="multilevel"/>
    <w:tmpl w:val="05F0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5"/>
  </w:num>
  <w:num w:numId="4">
    <w:abstractNumId w:val="2"/>
  </w:num>
  <w:num w:numId="5">
    <w:abstractNumId w:val="14"/>
  </w:num>
  <w:num w:numId="6">
    <w:abstractNumId w:val="7"/>
  </w:num>
  <w:num w:numId="7">
    <w:abstractNumId w:val="8"/>
  </w:num>
  <w:num w:numId="8">
    <w:abstractNumId w:val="11"/>
  </w:num>
  <w:num w:numId="9">
    <w:abstractNumId w:val="10"/>
  </w:num>
  <w:num w:numId="10">
    <w:abstractNumId w:val="9"/>
  </w:num>
  <w:num w:numId="11">
    <w:abstractNumId w:val="5"/>
  </w:num>
  <w:num w:numId="12">
    <w:abstractNumId w:val="6"/>
  </w:num>
  <w:num w:numId="13">
    <w:abstractNumId w:val="0"/>
  </w:num>
  <w:num w:numId="14">
    <w:abstractNumId w:val="4"/>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938"/>
    <w:rsid w:val="000D2AC2"/>
    <w:rsid w:val="000D6293"/>
    <w:rsid w:val="000E4938"/>
    <w:rsid w:val="0010209C"/>
    <w:rsid w:val="003D0C34"/>
    <w:rsid w:val="003F6CD2"/>
    <w:rsid w:val="007F2379"/>
    <w:rsid w:val="00E9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38F4C3C"/>
  <w15:chartTrackingRefBased/>
  <w15:docId w15:val="{604F8297-C626-4332-ABC1-C8DE7D2ED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E49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49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49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9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49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49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49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4938"/>
    <w:rPr>
      <w:b/>
      <w:bCs/>
    </w:rPr>
  </w:style>
  <w:style w:type="character" w:styleId="Emphasis">
    <w:name w:val="Emphasis"/>
    <w:basedOn w:val="DefaultParagraphFont"/>
    <w:uiPriority w:val="20"/>
    <w:qFormat/>
    <w:rsid w:val="000E4938"/>
    <w:rPr>
      <w:i/>
      <w:iCs/>
    </w:rPr>
  </w:style>
  <w:style w:type="character" w:styleId="Hyperlink">
    <w:name w:val="Hyperlink"/>
    <w:basedOn w:val="DefaultParagraphFont"/>
    <w:uiPriority w:val="99"/>
    <w:semiHidden/>
    <w:unhideWhenUsed/>
    <w:rsid w:val="000E4938"/>
    <w:rPr>
      <w:color w:val="0000FF"/>
      <w:u w:val="single"/>
    </w:rPr>
  </w:style>
  <w:style w:type="paragraph" w:styleId="Header">
    <w:name w:val="header"/>
    <w:basedOn w:val="Normal"/>
    <w:link w:val="HeaderChar"/>
    <w:uiPriority w:val="99"/>
    <w:unhideWhenUsed/>
    <w:rsid w:val="000D6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293"/>
  </w:style>
  <w:style w:type="paragraph" w:styleId="Footer">
    <w:name w:val="footer"/>
    <w:basedOn w:val="Normal"/>
    <w:link w:val="FooterChar"/>
    <w:uiPriority w:val="99"/>
    <w:unhideWhenUsed/>
    <w:rsid w:val="000D6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21293">
      <w:bodyDiv w:val="1"/>
      <w:marLeft w:val="0"/>
      <w:marRight w:val="0"/>
      <w:marTop w:val="0"/>
      <w:marBottom w:val="0"/>
      <w:divBdr>
        <w:top w:val="none" w:sz="0" w:space="0" w:color="auto"/>
        <w:left w:val="none" w:sz="0" w:space="0" w:color="auto"/>
        <w:bottom w:val="none" w:sz="0" w:space="0" w:color="auto"/>
        <w:right w:val="none" w:sz="0" w:space="0" w:color="auto"/>
      </w:divBdr>
    </w:div>
    <w:div w:id="180358718">
      <w:bodyDiv w:val="1"/>
      <w:marLeft w:val="0"/>
      <w:marRight w:val="0"/>
      <w:marTop w:val="0"/>
      <w:marBottom w:val="0"/>
      <w:divBdr>
        <w:top w:val="none" w:sz="0" w:space="0" w:color="auto"/>
        <w:left w:val="none" w:sz="0" w:space="0" w:color="auto"/>
        <w:bottom w:val="none" w:sz="0" w:space="0" w:color="auto"/>
        <w:right w:val="none" w:sz="0" w:space="0" w:color="auto"/>
      </w:divBdr>
    </w:div>
    <w:div w:id="455830168">
      <w:bodyDiv w:val="1"/>
      <w:marLeft w:val="0"/>
      <w:marRight w:val="0"/>
      <w:marTop w:val="0"/>
      <w:marBottom w:val="0"/>
      <w:divBdr>
        <w:top w:val="none" w:sz="0" w:space="0" w:color="auto"/>
        <w:left w:val="none" w:sz="0" w:space="0" w:color="auto"/>
        <w:bottom w:val="none" w:sz="0" w:space="0" w:color="auto"/>
        <w:right w:val="none" w:sz="0" w:space="0" w:color="auto"/>
      </w:divBdr>
    </w:div>
    <w:div w:id="929385348">
      <w:bodyDiv w:val="1"/>
      <w:marLeft w:val="0"/>
      <w:marRight w:val="0"/>
      <w:marTop w:val="0"/>
      <w:marBottom w:val="0"/>
      <w:divBdr>
        <w:top w:val="none" w:sz="0" w:space="0" w:color="auto"/>
        <w:left w:val="none" w:sz="0" w:space="0" w:color="auto"/>
        <w:bottom w:val="none" w:sz="0" w:space="0" w:color="auto"/>
        <w:right w:val="none" w:sz="0" w:space="0" w:color="auto"/>
      </w:divBdr>
    </w:div>
    <w:div w:id="1158837328">
      <w:bodyDiv w:val="1"/>
      <w:marLeft w:val="0"/>
      <w:marRight w:val="0"/>
      <w:marTop w:val="0"/>
      <w:marBottom w:val="0"/>
      <w:divBdr>
        <w:top w:val="none" w:sz="0" w:space="0" w:color="auto"/>
        <w:left w:val="none" w:sz="0" w:space="0" w:color="auto"/>
        <w:bottom w:val="none" w:sz="0" w:space="0" w:color="auto"/>
        <w:right w:val="none" w:sz="0" w:space="0" w:color="auto"/>
      </w:divBdr>
    </w:div>
    <w:div w:id="1334845412">
      <w:bodyDiv w:val="1"/>
      <w:marLeft w:val="0"/>
      <w:marRight w:val="0"/>
      <w:marTop w:val="0"/>
      <w:marBottom w:val="0"/>
      <w:divBdr>
        <w:top w:val="none" w:sz="0" w:space="0" w:color="auto"/>
        <w:left w:val="none" w:sz="0" w:space="0" w:color="auto"/>
        <w:bottom w:val="none" w:sz="0" w:space="0" w:color="auto"/>
        <w:right w:val="none" w:sz="0" w:space="0" w:color="auto"/>
      </w:divBdr>
    </w:div>
    <w:div w:id="1338461333">
      <w:bodyDiv w:val="1"/>
      <w:marLeft w:val="0"/>
      <w:marRight w:val="0"/>
      <w:marTop w:val="0"/>
      <w:marBottom w:val="0"/>
      <w:divBdr>
        <w:top w:val="none" w:sz="0" w:space="0" w:color="auto"/>
        <w:left w:val="none" w:sz="0" w:space="0" w:color="auto"/>
        <w:bottom w:val="none" w:sz="0" w:space="0" w:color="auto"/>
        <w:right w:val="none" w:sz="0" w:space="0" w:color="auto"/>
      </w:divBdr>
    </w:div>
    <w:div w:id="1460876650">
      <w:bodyDiv w:val="1"/>
      <w:marLeft w:val="0"/>
      <w:marRight w:val="0"/>
      <w:marTop w:val="0"/>
      <w:marBottom w:val="0"/>
      <w:divBdr>
        <w:top w:val="none" w:sz="0" w:space="0" w:color="auto"/>
        <w:left w:val="none" w:sz="0" w:space="0" w:color="auto"/>
        <w:bottom w:val="none" w:sz="0" w:space="0" w:color="auto"/>
        <w:right w:val="none" w:sz="0" w:space="0" w:color="auto"/>
      </w:divBdr>
    </w:div>
    <w:div w:id="1611010368">
      <w:bodyDiv w:val="1"/>
      <w:marLeft w:val="0"/>
      <w:marRight w:val="0"/>
      <w:marTop w:val="0"/>
      <w:marBottom w:val="0"/>
      <w:divBdr>
        <w:top w:val="none" w:sz="0" w:space="0" w:color="auto"/>
        <w:left w:val="none" w:sz="0" w:space="0" w:color="auto"/>
        <w:bottom w:val="none" w:sz="0" w:space="0" w:color="auto"/>
        <w:right w:val="none" w:sz="0" w:space="0" w:color="auto"/>
      </w:divBdr>
    </w:div>
    <w:div w:id="1720281438">
      <w:bodyDiv w:val="1"/>
      <w:marLeft w:val="0"/>
      <w:marRight w:val="0"/>
      <w:marTop w:val="0"/>
      <w:marBottom w:val="0"/>
      <w:divBdr>
        <w:top w:val="none" w:sz="0" w:space="0" w:color="auto"/>
        <w:left w:val="none" w:sz="0" w:space="0" w:color="auto"/>
        <w:bottom w:val="none" w:sz="0" w:space="0" w:color="auto"/>
        <w:right w:val="none" w:sz="0" w:space="0" w:color="auto"/>
      </w:divBdr>
    </w:div>
    <w:div w:id="1758792003">
      <w:bodyDiv w:val="1"/>
      <w:marLeft w:val="0"/>
      <w:marRight w:val="0"/>
      <w:marTop w:val="0"/>
      <w:marBottom w:val="0"/>
      <w:divBdr>
        <w:top w:val="none" w:sz="0" w:space="0" w:color="auto"/>
        <w:left w:val="none" w:sz="0" w:space="0" w:color="auto"/>
        <w:bottom w:val="none" w:sz="0" w:space="0" w:color="auto"/>
        <w:right w:val="none" w:sz="0" w:space="0" w:color="auto"/>
      </w:divBdr>
    </w:div>
    <w:div w:id="1785540343">
      <w:bodyDiv w:val="1"/>
      <w:marLeft w:val="0"/>
      <w:marRight w:val="0"/>
      <w:marTop w:val="0"/>
      <w:marBottom w:val="0"/>
      <w:divBdr>
        <w:top w:val="none" w:sz="0" w:space="0" w:color="auto"/>
        <w:left w:val="none" w:sz="0" w:space="0" w:color="auto"/>
        <w:bottom w:val="none" w:sz="0" w:space="0" w:color="auto"/>
        <w:right w:val="none" w:sz="0" w:space="0" w:color="auto"/>
      </w:divBdr>
    </w:div>
    <w:div w:id="1964841079">
      <w:bodyDiv w:val="1"/>
      <w:marLeft w:val="0"/>
      <w:marRight w:val="0"/>
      <w:marTop w:val="0"/>
      <w:marBottom w:val="0"/>
      <w:divBdr>
        <w:top w:val="none" w:sz="0" w:space="0" w:color="auto"/>
        <w:left w:val="none" w:sz="0" w:space="0" w:color="auto"/>
        <w:bottom w:val="none" w:sz="0" w:space="0" w:color="auto"/>
        <w:right w:val="none" w:sz="0" w:space="0" w:color="auto"/>
      </w:divBdr>
    </w:div>
    <w:div w:id="208830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kea.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google.com" TargetMode="External"/><Relationship Id="rId12" Type="http://schemas.openxmlformats.org/officeDocument/2006/relationships/hyperlink" Target="https://www.idc.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kea.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google.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dc.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2619</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2024-11-02T04:16:00Z</dcterms:created>
  <dcterms:modified xsi:type="dcterms:W3CDTF">2024-11-02T05:11:00Z</dcterms:modified>
</cp:coreProperties>
</file>