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National Park Guide</w:t>
      </w:r>
    </w:p>
    <w:p>
      <w:r>
        <w:t>activitiescontact_infodescriptionlocationnamenps_park_imagespark_codepark_operating_hoursweather_overview</w:t>
      </w:r>
    </w:p>
    <w:p>
      <w:r>
        <w:t>activitiescontact_infodescriptionlocationnamenps_park_imagespark_codepark_operating_hoursweather_overview</w:t>
      </w:r>
    </w:p>
    <w:p>
      <w:r>
        <w:t>activitiescontact_infodescriptionlocationnamenps_park_imagespark_codepark_operating_hoursweather_overview</w:t>
      </w:r>
    </w:p>
    <w:p>
      <w:r>
        <w:t>activitiescontact_infodescriptionlocationnamenps_park_imagespark_codepark_operating_hoursweather_overview</w:t>
      </w:r>
    </w:p>
    <w:p>
      <w:r>
        <w:t>activitiescontact_infodescriptionlocationnamenps_park_imagespark_codepark_operating_hoursweather_overview</w:t>
      </w:r>
    </w:p>
    <w:p>
      <w:r>
        <w:drawing>
          <wp:inline xmlns:a="http://schemas.openxmlformats.org/drawingml/2006/main" xmlns:pic="http://schemas.openxmlformats.org/drawingml/2006/picture">
            <wp:extent cx="26009600" cy="1734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0" cy="17348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