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9A8E7" w14:textId="77777777" w:rsidR="00803883" w:rsidRDefault="00803883"/>
    <w:p w14:paraId="58DE7817" w14:textId="77777777" w:rsidR="00803883" w:rsidRDefault="00803883" w:rsidP="00803883">
      <w:r>
        <w:t>Title: Collaborative fisheries research reveals reserve size and age determine efficacy across a network of marine protected areas</w:t>
      </w:r>
    </w:p>
    <w:p w14:paraId="69B1F906" w14:textId="77777777" w:rsidR="00803883" w:rsidRDefault="00803883" w:rsidP="00803883">
      <w:r>
        <w:t xml:space="preserve">Authors: Shelby L. Ziegler, Rachel O. Brooks, Lyall </w:t>
      </w:r>
      <w:proofErr w:type="spellStart"/>
      <w:r>
        <w:t>Bellquist</w:t>
      </w:r>
      <w:proofErr w:type="spellEnd"/>
      <w:r>
        <w:t xml:space="preserve">, Jennifer E. </w:t>
      </w:r>
      <w:proofErr w:type="spellStart"/>
      <w:r>
        <w:t>Caselle</w:t>
      </w:r>
      <w:proofErr w:type="spellEnd"/>
      <w:r>
        <w:t xml:space="preserve">, Steven Morgan, Timothy J. Mulligan, Benjamin I. </w:t>
      </w:r>
      <w:proofErr w:type="spellStart"/>
      <w:r>
        <w:t>Ruttenberg</w:t>
      </w:r>
      <w:proofErr w:type="spellEnd"/>
      <w:r>
        <w:t xml:space="preserve">, Brice Semmens, Richard M. Starr, Joe </w:t>
      </w:r>
      <w:proofErr w:type="spellStart"/>
      <w:r>
        <w:t>Tyburczy</w:t>
      </w:r>
      <w:proofErr w:type="spellEnd"/>
      <w:r>
        <w:t xml:space="preserve">, Dean Wendt, Salvador J. Jorgensen, Andre </w:t>
      </w:r>
      <w:proofErr w:type="spellStart"/>
      <w:r>
        <w:t>Buchheister</w:t>
      </w:r>
      <w:proofErr w:type="spellEnd"/>
      <w:r>
        <w:t xml:space="preserve">, Jose R. Marin </w:t>
      </w:r>
      <w:proofErr w:type="spellStart"/>
      <w:r>
        <w:t>Jarrin</w:t>
      </w:r>
      <w:proofErr w:type="spellEnd"/>
      <w:r>
        <w:t xml:space="preserve">, Christina </w:t>
      </w:r>
      <w:proofErr w:type="spellStart"/>
      <w:r>
        <w:t>Pasparakis</w:t>
      </w:r>
      <w:proofErr w:type="spellEnd"/>
      <w:r>
        <w:t xml:space="preserve">, Jennifer A. Chiu, Jordan Colby, Connor </w:t>
      </w:r>
      <w:proofErr w:type="spellStart"/>
      <w:r>
        <w:t>Coscino</w:t>
      </w:r>
      <w:proofErr w:type="spellEnd"/>
      <w:r>
        <w:t xml:space="preserve">, Leon Davis, Francine de Castro, Jack </w:t>
      </w:r>
      <w:proofErr w:type="spellStart"/>
      <w:r>
        <w:t>Elstner</w:t>
      </w:r>
      <w:proofErr w:type="spellEnd"/>
      <w:r>
        <w:t xml:space="preserve">, Christopher </w:t>
      </w:r>
      <w:proofErr w:type="spellStart"/>
      <w:r>
        <w:t>Honeyman</w:t>
      </w:r>
      <w:proofErr w:type="spellEnd"/>
      <w:r>
        <w:t xml:space="preserve">, Erin Johnston, Erica Mason, Sadie Small, Jay </w:t>
      </w:r>
      <w:proofErr w:type="spellStart"/>
      <w:r>
        <w:t>Staton</w:t>
      </w:r>
      <w:proofErr w:type="spellEnd"/>
      <w:r>
        <w:t xml:space="preserve">, Grant Waltz, Bonnie Basnett, Erin </w:t>
      </w:r>
      <w:proofErr w:type="spellStart"/>
      <w:r>
        <w:t>Satterwaite</w:t>
      </w:r>
      <w:proofErr w:type="spellEnd"/>
      <w:r>
        <w:t xml:space="preserve">, Helen </w:t>
      </w:r>
      <w:proofErr w:type="spellStart"/>
      <w:r>
        <w:t>Kileen</w:t>
      </w:r>
      <w:proofErr w:type="spellEnd"/>
      <w:r>
        <w:t>, Connor Dibble, and Scott L. Hamilton</w:t>
      </w:r>
    </w:p>
    <w:p w14:paraId="6BAB3FE2" w14:textId="77777777" w:rsidR="00803883" w:rsidRDefault="00803883" w:rsidP="00803883"/>
    <w:p w14:paraId="23BE9FBD" w14:textId="1D6DFA32" w:rsidR="00803883" w:rsidRDefault="00803883" w:rsidP="00803883">
      <w:r>
        <w:t xml:space="preserve">Abstract: A variety of criteria may influence the efficacy of networks of marine protected areas (MPA) designed to enhance biodiversity conservation and provide fisheries benefits. Meta-analyses have evaluated the influence of MPA attributes on abundance, biomass, and size structure of harvested species, reporting that MPA size, age, depth, and connectivity influence the strength of MPA responses. However, few empirical MPA evaluation studies have used consistent </w:t>
      </w:r>
      <w:proofErr w:type="spellStart"/>
      <w:r>
        <w:t>sam</w:t>
      </w:r>
      <w:proofErr w:type="spellEnd"/>
      <w:r>
        <w:t>-pling methodology across multiple MPAs and years. Our collaborative fisheries research program systematically sampled 12 no-take or highly protective limited- take MPAs and paired fished reference areas across a network spanning 1100 km of coastline to evaluate the factors driving MPA efficacy across a large geo- graphic region. We found that increased size and age consistently contributed to increased fish catch, biomass, and positive species responses inside MPAs, while accounting for factors such as latitude, primary productivity, and distance to the nearest MPA. Our study provides a model framework to collaboratively engage diverse stakeholders in fisheries research and provide high-quality data to assess the success of conservation strategies.</w:t>
      </w:r>
    </w:p>
    <w:p w14:paraId="6AF97554" w14:textId="77777777" w:rsidR="00803883" w:rsidRDefault="00803883"/>
    <w:p w14:paraId="2E30D114" w14:textId="77777777" w:rsidR="00803883" w:rsidRDefault="00803883" w:rsidP="00803883">
      <w:proofErr w:type="spellStart"/>
      <w:r>
        <w:t>Github</w:t>
      </w:r>
      <w:proofErr w:type="spellEnd"/>
      <w:r>
        <w:t xml:space="preserve"> repo: </w:t>
      </w:r>
      <w:hyperlink r:id="rId5" w:history="1">
        <w:r w:rsidRPr="00607AD0">
          <w:rPr>
            <w:rStyle w:val="Hyperlink"/>
          </w:rPr>
          <w:t>https://github.com/slziegler/CCFRP2017-2022Statewide</w:t>
        </w:r>
      </w:hyperlink>
    </w:p>
    <w:p w14:paraId="1969EC59" w14:textId="21D1C4AF" w:rsidR="00803883" w:rsidRDefault="00803883"/>
    <w:p w14:paraId="7099F808" w14:textId="0CBA65F0" w:rsidR="00803883" w:rsidRDefault="00803883" w:rsidP="00803883">
      <w:r>
        <w:t>Data</w:t>
      </w:r>
      <w:r>
        <w:t>:</w:t>
      </w:r>
    </w:p>
    <w:p w14:paraId="25E73871" w14:textId="78BB2C8B" w:rsidR="00803883" w:rsidRDefault="00803883" w:rsidP="00803883">
      <w:pPr>
        <w:pStyle w:val="ListParagraph"/>
        <w:numPr>
          <w:ilvl w:val="0"/>
          <w:numId w:val="1"/>
        </w:numPr>
      </w:pPr>
      <w:r>
        <w:t>Biomass Per Unit Effort for all sites and years(BPUE-per-IDcell-CCFRP-2022.csv)</w:t>
      </w:r>
    </w:p>
    <w:p w14:paraId="326D1E1E" w14:textId="1F247CB7" w:rsidR="00803883" w:rsidRDefault="00803883" w:rsidP="00803883">
      <w:pPr>
        <w:pStyle w:val="ListParagraph"/>
        <w:numPr>
          <w:ilvl w:val="0"/>
          <w:numId w:val="1"/>
        </w:numPr>
      </w:pPr>
      <w:r>
        <w:t xml:space="preserve">CPFV landings data extracted from </w:t>
      </w:r>
      <w:proofErr w:type="spellStart"/>
      <w:r>
        <w:t>CalFish</w:t>
      </w:r>
      <w:proofErr w:type="spellEnd"/>
      <w:r>
        <w:t xml:space="preserve"> database [Free et al. 2021] (CPFVlandings-2017-2019.csv)</w:t>
      </w:r>
    </w:p>
    <w:p w14:paraId="68B62B26" w14:textId="2ACC3FF1" w:rsidR="00803883" w:rsidRDefault="00803883" w:rsidP="00803883">
      <w:pPr>
        <w:pStyle w:val="ListParagraph"/>
        <w:numPr>
          <w:ilvl w:val="0"/>
          <w:numId w:val="1"/>
        </w:numPr>
      </w:pPr>
      <w:r>
        <w:t>MPA site characteristics (mpa-data-2021.csv)</w:t>
      </w:r>
    </w:p>
    <w:p w14:paraId="618C662D" w14:textId="77777777" w:rsidR="00320FE4" w:rsidRDefault="00320FE4" w:rsidP="00320FE4"/>
    <w:p w14:paraId="54C54095" w14:textId="1FA82E0B" w:rsidR="00320FE4" w:rsidRDefault="00320FE4" w:rsidP="00320FE4">
      <w:r>
        <w:t>Analyses:</w:t>
      </w:r>
    </w:p>
    <w:p w14:paraId="6B281D1D" w14:textId="5B13EFDC" w:rsidR="00320FE4" w:rsidRDefault="00320FE4" w:rsidP="00320FE4">
      <w:r>
        <w:t>Authors use log response ratio of abundance and biomass as the response variables: log(MPA/reference).</w:t>
      </w:r>
    </w:p>
    <w:p w14:paraId="3FF690AE" w14:textId="27EC2DC9" w:rsidR="00320FE4" w:rsidRDefault="00320FE4" w:rsidP="00320FE4">
      <w:r>
        <w:t>You can fucus on one response variable.</w:t>
      </w:r>
    </w:p>
    <w:p w14:paraId="394F9956" w14:textId="77777777" w:rsidR="00320FE4" w:rsidRDefault="00320FE4" w:rsidP="00320FE4"/>
    <w:sectPr w:rsidR="00320F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342F5"/>
    <w:multiLevelType w:val="hybridMultilevel"/>
    <w:tmpl w:val="87CE582C"/>
    <w:lvl w:ilvl="0" w:tplc="6A1659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717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83"/>
    <w:rsid w:val="00004AF7"/>
    <w:rsid w:val="000F6E98"/>
    <w:rsid w:val="00225192"/>
    <w:rsid w:val="002839BD"/>
    <w:rsid w:val="00294B87"/>
    <w:rsid w:val="00320FE4"/>
    <w:rsid w:val="00413940"/>
    <w:rsid w:val="0044056C"/>
    <w:rsid w:val="00465BD9"/>
    <w:rsid w:val="004822AD"/>
    <w:rsid w:val="004A79DD"/>
    <w:rsid w:val="004B0EB1"/>
    <w:rsid w:val="005016C8"/>
    <w:rsid w:val="00556613"/>
    <w:rsid w:val="00583247"/>
    <w:rsid w:val="005B288F"/>
    <w:rsid w:val="005C0B00"/>
    <w:rsid w:val="00752291"/>
    <w:rsid w:val="007F0FFB"/>
    <w:rsid w:val="00803883"/>
    <w:rsid w:val="008E1A1D"/>
    <w:rsid w:val="008E3D5B"/>
    <w:rsid w:val="00994429"/>
    <w:rsid w:val="00A24AE8"/>
    <w:rsid w:val="00A301E5"/>
    <w:rsid w:val="00A439CA"/>
    <w:rsid w:val="00AA1395"/>
    <w:rsid w:val="00C43958"/>
    <w:rsid w:val="00C919D0"/>
    <w:rsid w:val="00CB3B57"/>
    <w:rsid w:val="00CD53C1"/>
    <w:rsid w:val="00CE46E9"/>
    <w:rsid w:val="00D379ED"/>
    <w:rsid w:val="00DA2CB7"/>
    <w:rsid w:val="00E41D75"/>
    <w:rsid w:val="00E4672C"/>
    <w:rsid w:val="00E66C85"/>
    <w:rsid w:val="00EA6FAD"/>
    <w:rsid w:val="00ED04EE"/>
    <w:rsid w:val="00F248C9"/>
    <w:rsid w:val="00F271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76DD546D"/>
  <w15:chartTrackingRefBased/>
  <w15:docId w15:val="{A44CA8A0-EEA6-F848-9551-AB208FB5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83"/>
    <w:rPr>
      <w:rFonts w:eastAsiaTheme="majorEastAsia" w:cstheme="majorBidi"/>
      <w:color w:val="272727" w:themeColor="text1" w:themeTint="D8"/>
    </w:rPr>
  </w:style>
  <w:style w:type="paragraph" w:styleId="Title">
    <w:name w:val="Title"/>
    <w:basedOn w:val="Normal"/>
    <w:next w:val="Normal"/>
    <w:link w:val="TitleChar"/>
    <w:uiPriority w:val="10"/>
    <w:qFormat/>
    <w:rsid w:val="00803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3883"/>
    <w:rPr>
      <w:i/>
      <w:iCs/>
      <w:color w:val="404040" w:themeColor="text1" w:themeTint="BF"/>
    </w:rPr>
  </w:style>
  <w:style w:type="paragraph" w:styleId="ListParagraph">
    <w:name w:val="List Paragraph"/>
    <w:basedOn w:val="Normal"/>
    <w:uiPriority w:val="34"/>
    <w:qFormat/>
    <w:rsid w:val="00803883"/>
    <w:pPr>
      <w:ind w:left="720"/>
      <w:contextualSpacing/>
    </w:pPr>
  </w:style>
  <w:style w:type="character" w:styleId="IntenseEmphasis">
    <w:name w:val="Intense Emphasis"/>
    <w:basedOn w:val="DefaultParagraphFont"/>
    <w:uiPriority w:val="21"/>
    <w:qFormat/>
    <w:rsid w:val="00803883"/>
    <w:rPr>
      <w:i/>
      <w:iCs/>
      <w:color w:val="0F4761" w:themeColor="accent1" w:themeShade="BF"/>
    </w:rPr>
  </w:style>
  <w:style w:type="paragraph" w:styleId="IntenseQuote">
    <w:name w:val="Intense Quote"/>
    <w:basedOn w:val="Normal"/>
    <w:next w:val="Normal"/>
    <w:link w:val="IntenseQuoteChar"/>
    <w:uiPriority w:val="30"/>
    <w:qFormat/>
    <w:rsid w:val="00803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883"/>
    <w:rPr>
      <w:i/>
      <w:iCs/>
      <w:color w:val="0F4761" w:themeColor="accent1" w:themeShade="BF"/>
    </w:rPr>
  </w:style>
  <w:style w:type="character" w:styleId="IntenseReference">
    <w:name w:val="Intense Reference"/>
    <w:basedOn w:val="DefaultParagraphFont"/>
    <w:uiPriority w:val="32"/>
    <w:qFormat/>
    <w:rsid w:val="00803883"/>
    <w:rPr>
      <w:b/>
      <w:bCs/>
      <w:smallCaps/>
      <w:color w:val="0F4761" w:themeColor="accent1" w:themeShade="BF"/>
      <w:spacing w:val="5"/>
    </w:rPr>
  </w:style>
  <w:style w:type="character" w:styleId="Hyperlink">
    <w:name w:val="Hyperlink"/>
    <w:basedOn w:val="DefaultParagraphFont"/>
    <w:uiPriority w:val="99"/>
    <w:unhideWhenUsed/>
    <w:rsid w:val="00803883"/>
    <w:rPr>
      <w:color w:val="467886" w:themeColor="hyperlink"/>
      <w:u w:val="single"/>
    </w:rPr>
  </w:style>
  <w:style w:type="character" w:styleId="UnresolvedMention">
    <w:name w:val="Unresolved Mention"/>
    <w:basedOn w:val="DefaultParagraphFont"/>
    <w:uiPriority w:val="99"/>
    <w:semiHidden/>
    <w:unhideWhenUsed/>
    <w:rsid w:val="00803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418783">
      <w:bodyDiv w:val="1"/>
      <w:marLeft w:val="0"/>
      <w:marRight w:val="0"/>
      <w:marTop w:val="0"/>
      <w:marBottom w:val="0"/>
      <w:divBdr>
        <w:top w:val="none" w:sz="0" w:space="0" w:color="auto"/>
        <w:left w:val="none" w:sz="0" w:space="0" w:color="auto"/>
        <w:bottom w:val="none" w:sz="0" w:space="0" w:color="auto"/>
        <w:right w:val="none" w:sz="0" w:space="0" w:color="auto"/>
      </w:divBdr>
      <w:divsChild>
        <w:div w:id="155609340">
          <w:marLeft w:val="0"/>
          <w:marRight w:val="0"/>
          <w:marTop w:val="0"/>
          <w:marBottom w:val="0"/>
          <w:divBdr>
            <w:top w:val="none" w:sz="0" w:space="0" w:color="auto"/>
            <w:left w:val="none" w:sz="0" w:space="0" w:color="auto"/>
            <w:bottom w:val="none" w:sz="0" w:space="0" w:color="auto"/>
            <w:right w:val="none" w:sz="0" w:space="0" w:color="auto"/>
          </w:divBdr>
        </w:div>
        <w:div w:id="817571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lziegler/CCFRP2017-2022Statew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3</TotalTime>
  <Pages>1</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Marraffini</dc:creator>
  <cp:keywords/>
  <dc:description/>
  <cp:lastModifiedBy>Michelle Marraffini</cp:lastModifiedBy>
  <cp:revision>3</cp:revision>
  <dcterms:created xsi:type="dcterms:W3CDTF">2024-06-26T23:11:00Z</dcterms:created>
  <dcterms:modified xsi:type="dcterms:W3CDTF">2024-06-26T23:18:00Z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9e4d68-54d0-40a5-8c9a-85a36c87352c_Enabled">
    <vt:lpwstr>true</vt:lpwstr>
  </property>
  <property fmtid="{D5CDD505-2E9C-101B-9397-08002B2CF9AE}" pid="3" name="MSIP_Label_bd9e4d68-54d0-40a5-8c9a-85a36c87352c_SetDate">
    <vt:lpwstr>2024-06-26T23:13:23Z</vt:lpwstr>
  </property>
  <property fmtid="{D5CDD505-2E9C-101B-9397-08002B2CF9AE}" pid="4" name="MSIP_Label_bd9e4d68-54d0-40a5-8c9a-85a36c87352c_Method">
    <vt:lpwstr>Standard</vt:lpwstr>
  </property>
  <property fmtid="{D5CDD505-2E9C-101B-9397-08002B2CF9AE}" pid="5" name="MSIP_Label_bd9e4d68-54d0-40a5-8c9a-85a36c87352c_Name">
    <vt:lpwstr>Unclassified</vt:lpwstr>
  </property>
  <property fmtid="{D5CDD505-2E9C-101B-9397-08002B2CF9AE}" pid="6" name="MSIP_Label_bd9e4d68-54d0-40a5-8c9a-85a36c87352c_SiteId">
    <vt:lpwstr>388728e1-bbd0-4378-98dc-f8682e644300</vt:lpwstr>
  </property>
  <property fmtid="{D5CDD505-2E9C-101B-9397-08002B2CF9AE}" pid="7" name="MSIP_Label_bd9e4d68-54d0-40a5-8c9a-85a36c87352c_ActionId">
    <vt:lpwstr>b9fb4036-641d-43a8-98c2-ae9547e9d3c0</vt:lpwstr>
  </property>
  <property fmtid="{D5CDD505-2E9C-101B-9397-08002B2CF9AE}" pid="8" name="MSIP_Label_bd9e4d68-54d0-40a5-8c9a-85a36c87352c_ContentBits">
    <vt:lpwstr>0</vt:lpwstr>
  </property>
</Properties>
</file>